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215FF">
      <w:pPr>
        <w:rPr>
          <w:rFonts w:hint="eastAsia"/>
          <w:color w:val="auto"/>
          <w:highlight w:val="none"/>
        </w:rPr>
      </w:pPr>
      <w:bookmarkStart w:id="0" w:name="EB03c4275abc5b4e04a97139c45efc2211"/>
      <w:r>
        <w:rPr>
          <w:rFonts w:hint="eastAsia"/>
          <w:color w:val="auto"/>
          <w:sz w:val="20"/>
          <w:highlight w:val="none"/>
        </w:rPr>
        <w:t xml:space="preserve"> </w:t>
      </w:r>
      <w:bookmarkEnd w:id="0"/>
    </w:p>
    <w:p w14:paraId="4C69C756">
      <w:pPr>
        <w:rPr>
          <w:rFonts w:hint="eastAsia"/>
          <w:color w:val="auto"/>
          <w:highlight w:val="none"/>
        </w:rPr>
      </w:pPr>
      <w:bookmarkStart w:id="1" w:name="EB2a769f7a1d6247e58c7f588fe54fc6fb"/>
      <w:r>
        <w:rPr>
          <w:rFonts w:hint="eastAsia"/>
          <w:color w:val="auto"/>
          <w:sz w:val="20"/>
          <w:highlight w:val="none"/>
        </w:rPr>
        <w:t xml:space="preserve"> </w:t>
      </w:r>
      <w:bookmarkEnd w:id="1"/>
    </w:p>
    <w:p w14:paraId="57624E90">
      <w:pPr>
        <w:rPr>
          <w:rFonts w:hint="eastAsia"/>
          <w:color w:val="auto"/>
          <w:highlight w:val="none"/>
        </w:rPr>
      </w:pPr>
    </w:p>
    <w:p w14:paraId="1E0AD83C">
      <w:pPr>
        <w:rPr>
          <w:rFonts w:hint="eastAsia"/>
          <w:color w:val="auto"/>
          <w:highlight w:val="none"/>
        </w:rPr>
      </w:pPr>
    </w:p>
    <w:p w14:paraId="52EFE208">
      <w:pPr>
        <w:rPr>
          <w:rFonts w:hint="eastAsia"/>
          <w:color w:val="auto"/>
          <w:highlight w:val="none"/>
        </w:rPr>
      </w:pPr>
    </w:p>
    <w:p w14:paraId="556801C1">
      <w:pPr>
        <w:rPr>
          <w:rFonts w:hint="eastAsia"/>
          <w:color w:val="auto"/>
          <w:highlight w:val="none"/>
        </w:rPr>
      </w:pPr>
    </w:p>
    <w:p w14:paraId="2111B275">
      <w:pPr>
        <w:rPr>
          <w:rFonts w:hint="eastAsia"/>
          <w:color w:val="auto"/>
          <w:highlight w:val="none"/>
        </w:rPr>
      </w:pPr>
    </w:p>
    <w:p w14:paraId="25096DC0">
      <w:pPr>
        <w:rPr>
          <w:rFonts w:hint="eastAsia"/>
          <w:color w:val="auto"/>
          <w:highlight w:val="none"/>
        </w:rPr>
      </w:pPr>
    </w:p>
    <w:p w14:paraId="543A6A5C">
      <w:pPr>
        <w:spacing w:line="540" w:lineRule="exact"/>
        <w:ind w:firstLine="437"/>
        <w:jc w:val="center"/>
        <w:rPr>
          <w:rFonts w:hint="eastAsia" w:ascii="宋体" w:hAnsi="宋体"/>
          <w:color w:val="auto"/>
          <w:sz w:val="32"/>
          <w:szCs w:val="32"/>
          <w:highlight w:val="none"/>
        </w:rPr>
      </w:pPr>
      <w:r>
        <w:rPr>
          <w:rFonts w:hint="eastAsia" w:ascii="黑体" w:hAnsi="黑体" w:eastAsia="黑体"/>
          <w:color w:val="auto"/>
          <w:sz w:val="32"/>
          <w:szCs w:val="32"/>
          <w:highlight w:val="none"/>
          <w:lang w:eastAsia="zh-CN"/>
        </w:rPr>
        <w:t>大冶市第二中学改扩建工程（二期二标段）</w:t>
      </w:r>
      <w:r>
        <w:rPr>
          <w:rFonts w:hint="eastAsia" w:ascii="黑体" w:hAnsi="黑体" w:eastAsia="黑体"/>
          <w:color w:val="auto"/>
          <w:sz w:val="32"/>
          <w:szCs w:val="32"/>
          <w:highlight w:val="none"/>
        </w:rPr>
        <w:t>（项目名称）</w:t>
      </w:r>
      <w:r>
        <w:rPr>
          <w:rFonts w:hint="eastAsia" w:ascii="黑体" w:hAnsi="黑体" w:eastAsia="黑体"/>
          <w:color w:val="auto"/>
          <w:sz w:val="32"/>
          <w:szCs w:val="32"/>
          <w:highlight w:val="none"/>
          <w:lang w:val="en-US" w:eastAsia="zh-CN"/>
        </w:rPr>
        <w:t>/</w:t>
      </w:r>
      <w:r>
        <w:rPr>
          <w:rFonts w:hint="eastAsia" w:ascii="黑体" w:hAnsi="黑体" w:eastAsia="黑体"/>
          <w:color w:val="auto"/>
          <w:sz w:val="32"/>
          <w:szCs w:val="32"/>
          <w:highlight w:val="none"/>
          <w:lang w:eastAsia="zh-CN"/>
        </w:rPr>
        <w:t>大冶市第二中学改扩建工程（二期二标段）</w:t>
      </w:r>
      <w:r>
        <w:rPr>
          <w:rFonts w:hint="eastAsia" w:ascii="黑体" w:hAnsi="宋体" w:eastAsia="黑体"/>
          <w:color w:val="auto"/>
          <w:sz w:val="32"/>
          <w:szCs w:val="32"/>
          <w:highlight w:val="none"/>
        </w:rPr>
        <w:t>（标段名称）施工招标</w:t>
      </w:r>
    </w:p>
    <w:p w14:paraId="0DE7BAAA">
      <w:pPr>
        <w:spacing w:line="460" w:lineRule="exact"/>
        <w:ind w:firstLine="437"/>
        <w:rPr>
          <w:rFonts w:hint="eastAsia" w:ascii="宋体" w:hAnsi="宋体"/>
          <w:color w:val="auto"/>
          <w:szCs w:val="21"/>
          <w:highlight w:val="none"/>
        </w:rPr>
      </w:pPr>
    </w:p>
    <w:p w14:paraId="50911F6D">
      <w:pPr>
        <w:spacing w:line="540" w:lineRule="exact"/>
        <w:rPr>
          <w:rFonts w:hint="eastAsia" w:ascii="宋体" w:hAnsi="宋体"/>
          <w:color w:val="auto"/>
          <w:szCs w:val="21"/>
          <w:highlight w:val="none"/>
        </w:rPr>
      </w:pPr>
    </w:p>
    <w:p w14:paraId="5EE7F84A">
      <w:pPr>
        <w:spacing w:line="540" w:lineRule="exact"/>
        <w:rPr>
          <w:rFonts w:hint="eastAsia" w:ascii="宋体" w:hAnsi="宋体"/>
          <w:color w:val="auto"/>
          <w:szCs w:val="21"/>
          <w:highlight w:val="none"/>
        </w:rPr>
      </w:pPr>
    </w:p>
    <w:p w14:paraId="55A20CEF">
      <w:pPr>
        <w:jc w:val="center"/>
        <w:rPr>
          <w:rFonts w:hint="eastAsia" w:ascii="黑体" w:hAnsi="宋体" w:eastAsia="黑体"/>
          <w:color w:val="auto"/>
          <w:sz w:val="72"/>
          <w:szCs w:val="72"/>
          <w:highlight w:val="none"/>
        </w:rPr>
      </w:pPr>
      <w:r>
        <w:rPr>
          <w:rFonts w:hint="eastAsia" w:ascii="黑体" w:hAnsi="宋体" w:eastAsia="黑体"/>
          <w:color w:val="auto"/>
          <w:sz w:val="72"/>
          <w:szCs w:val="72"/>
          <w:highlight w:val="none"/>
        </w:rPr>
        <w:t>招 标 文 件</w:t>
      </w:r>
    </w:p>
    <w:p w14:paraId="2245B3ED">
      <w:pPr>
        <w:spacing w:line="540" w:lineRule="exact"/>
        <w:rPr>
          <w:rFonts w:hint="eastAsia" w:ascii="黑体" w:eastAsia="黑体"/>
          <w:color w:val="auto"/>
          <w:sz w:val="28"/>
          <w:szCs w:val="28"/>
          <w:highlight w:val="none"/>
        </w:rPr>
      </w:pPr>
    </w:p>
    <w:p w14:paraId="21AA212D">
      <w:pPr>
        <w:spacing w:line="54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招标编号：</w:t>
      </w:r>
    </w:p>
    <w:p w14:paraId="07D77EA3">
      <w:pPr>
        <w:spacing w:line="540" w:lineRule="exact"/>
        <w:jc w:val="center"/>
        <w:rPr>
          <w:rFonts w:hint="eastAsia" w:ascii="宋体" w:hAnsi="宋体"/>
          <w:color w:val="auto"/>
          <w:szCs w:val="21"/>
          <w:highlight w:val="none"/>
        </w:rPr>
      </w:pPr>
    </w:p>
    <w:p w14:paraId="5E43E640">
      <w:pPr>
        <w:spacing w:line="540" w:lineRule="exact"/>
        <w:ind w:firstLine="437"/>
        <w:rPr>
          <w:rFonts w:hint="eastAsia" w:ascii="宋体" w:hAnsi="宋体"/>
          <w:color w:val="auto"/>
          <w:szCs w:val="21"/>
          <w:highlight w:val="none"/>
        </w:rPr>
      </w:pPr>
    </w:p>
    <w:p w14:paraId="1D9F68E6">
      <w:pPr>
        <w:spacing w:line="540" w:lineRule="exact"/>
        <w:ind w:firstLine="437"/>
        <w:rPr>
          <w:rFonts w:hint="eastAsia" w:ascii="宋体" w:hAnsi="宋体"/>
          <w:color w:val="auto"/>
          <w:szCs w:val="21"/>
          <w:highlight w:val="none"/>
        </w:rPr>
      </w:pPr>
    </w:p>
    <w:p w14:paraId="3A6B10D7">
      <w:pPr>
        <w:spacing w:line="540" w:lineRule="exact"/>
        <w:ind w:firstLine="437"/>
        <w:rPr>
          <w:rFonts w:hint="eastAsia" w:ascii="宋体" w:hAnsi="宋体"/>
          <w:color w:val="auto"/>
          <w:szCs w:val="21"/>
          <w:highlight w:val="none"/>
        </w:rPr>
      </w:pPr>
    </w:p>
    <w:p w14:paraId="78967331">
      <w:pPr>
        <w:spacing w:line="540" w:lineRule="exact"/>
        <w:ind w:firstLine="437"/>
        <w:rPr>
          <w:rFonts w:hint="eastAsia" w:ascii="宋体" w:hAnsi="宋体"/>
          <w:color w:val="auto"/>
          <w:szCs w:val="21"/>
          <w:highlight w:val="none"/>
        </w:rPr>
      </w:pPr>
    </w:p>
    <w:p w14:paraId="7EBC9F23">
      <w:pPr>
        <w:spacing w:line="360" w:lineRule="auto"/>
        <w:ind w:firstLine="437"/>
        <w:jc w:val="center"/>
        <w:rPr>
          <w:rFonts w:hint="eastAsia" w:ascii="宋体" w:hAnsi="宋体"/>
          <w:color w:val="auto"/>
          <w:sz w:val="32"/>
          <w:szCs w:val="32"/>
          <w:highlight w:val="none"/>
          <w:u w:val="single"/>
        </w:rPr>
      </w:pPr>
      <w:r>
        <w:rPr>
          <w:rFonts w:hint="eastAsia" w:ascii="黑体" w:hAnsi="宋体" w:eastAsia="黑体"/>
          <w:color w:val="auto"/>
          <w:sz w:val="32"/>
          <w:szCs w:val="32"/>
          <w:highlight w:val="none"/>
        </w:rPr>
        <w:t>招标人/招标代理机构（盖章）：</w:t>
      </w:r>
    </w:p>
    <w:p w14:paraId="35DEB765">
      <w:pPr>
        <w:spacing w:line="540" w:lineRule="exact"/>
        <w:ind w:firstLine="437"/>
        <w:jc w:val="center"/>
        <w:rPr>
          <w:rFonts w:ascii="宋体" w:hAnsi="宋体"/>
          <w:color w:val="auto"/>
          <w:sz w:val="32"/>
          <w:szCs w:val="32"/>
          <w:highlight w:val="none"/>
        </w:rPr>
      </w:pPr>
      <w:r>
        <w:rPr>
          <w:rFonts w:hint="eastAsia" w:ascii="黑体" w:hAnsi="黑体" w:eastAsia="黑体"/>
          <w:color w:val="auto"/>
          <w:sz w:val="32"/>
          <w:szCs w:val="32"/>
          <w:highlight w:val="none"/>
        </w:rPr>
        <w:t>日    期</w:t>
      </w:r>
      <w:r>
        <w:rPr>
          <w:rFonts w:hint="eastAsia" w:ascii="宋体" w:hAnsi="宋体"/>
          <w:color w:val="auto"/>
          <w:sz w:val="32"/>
          <w:szCs w:val="32"/>
          <w:highlight w:val="none"/>
        </w:rPr>
        <w:t>：</w:t>
      </w:r>
      <w:bookmarkStart w:id="2" w:name="EB099633b3274349ab9ad0d593d68c0161"/>
      <w:r>
        <w:rPr>
          <w:rFonts w:hint="eastAsia" w:ascii="宋体" w:hAnsi="宋体"/>
          <w:color w:val="auto"/>
          <w:sz w:val="32"/>
          <w:szCs w:val="32"/>
          <w:highlight w:val="none"/>
        </w:rPr>
        <w:t>202</w:t>
      </w:r>
      <w:r>
        <w:rPr>
          <w:rFonts w:hint="eastAsia" w:ascii="宋体" w:hAnsi="宋体"/>
          <w:color w:val="auto"/>
          <w:sz w:val="32"/>
          <w:szCs w:val="32"/>
          <w:highlight w:val="none"/>
          <w:lang w:val="en-US" w:eastAsia="zh-CN"/>
        </w:rPr>
        <w:t>6-9</w:t>
      </w:r>
      <w:r>
        <w:rPr>
          <w:rFonts w:hint="eastAsia" w:ascii="宋体" w:hAnsi="宋体"/>
          <w:color w:val="auto"/>
          <w:sz w:val="32"/>
          <w:szCs w:val="32"/>
          <w:highlight w:val="none"/>
        </w:rPr>
        <w:t xml:space="preserve"> </w:t>
      </w:r>
      <w:bookmarkEnd w:id="2"/>
    </w:p>
    <w:p w14:paraId="64F12D05">
      <w:pPr>
        <w:rPr>
          <w:rFonts w:hint="eastAsia"/>
          <w:color w:val="auto"/>
          <w:highlight w:val="none"/>
        </w:rPr>
      </w:pPr>
    </w:p>
    <w:p w14:paraId="69846F6F">
      <w:pPr>
        <w:rPr>
          <w:rFonts w:hint="eastAsia"/>
          <w:color w:val="auto"/>
          <w:highlight w:val="none"/>
        </w:rPr>
      </w:pPr>
    </w:p>
    <w:p w14:paraId="79CA90EF">
      <w:pPr>
        <w:rPr>
          <w:rFonts w:hint="eastAsia"/>
          <w:color w:val="auto"/>
          <w:highlight w:val="none"/>
        </w:rPr>
      </w:pPr>
      <w:bookmarkStart w:id="3" w:name="EB9e1dd004e249460a93df56fa4ba9ea8a"/>
      <w:r>
        <w:rPr>
          <w:rFonts w:hint="eastAsia"/>
          <w:color w:val="auto"/>
          <w:sz w:val="20"/>
          <w:highlight w:val="none"/>
        </w:rPr>
        <w:t xml:space="preserve"> </w:t>
      </w:r>
      <w:bookmarkEnd w:id="3"/>
    </w:p>
    <w:p w14:paraId="5D0B12B9">
      <w:pPr>
        <w:spacing w:after="468" w:afterLines="150" w:line="540" w:lineRule="exact"/>
        <w:ind w:firstLine="437"/>
        <w:jc w:val="center"/>
        <w:rPr>
          <w:rFonts w:ascii="宋体" w:hAnsi="宋体"/>
          <w:b/>
          <w:color w:val="auto"/>
          <w:sz w:val="52"/>
          <w:szCs w:val="52"/>
          <w:highlight w:val="none"/>
        </w:rPr>
        <w:sectPr>
          <w:pgSz w:w="11906" w:h="16838"/>
          <w:pgMar w:top="1440" w:right="1800" w:bottom="1440" w:left="1800" w:header="851" w:footer="992" w:gutter="0"/>
          <w:pgNumType w:start="1"/>
          <w:cols w:space="720" w:num="1"/>
          <w:docGrid w:type="lines" w:linePitch="312" w:charSpace="0"/>
        </w:sectPr>
      </w:pPr>
    </w:p>
    <w:p w14:paraId="0A81EB7C">
      <w:pPr>
        <w:pStyle w:val="30"/>
        <w:jc w:val="center"/>
        <w:rPr>
          <w:color w:val="auto"/>
          <w:highlight w:val="none"/>
        </w:rPr>
      </w:pPr>
      <w:r>
        <w:rPr>
          <w:color w:val="auto"/>
          <w:highlight w:val="none"/>
          <w:lang w:val="zh-CN"/>
        </w:rPr>
        <w:t>目录</w:t>
      </w:r>
    </w:p>
    <w:p w14:paraId="534F1C36">
      <w:pPr>
        <w:pStyle w:val="12"/>
        <w:tabs>
          <w:tab w:val="right" w:leader="dot" w:pos="8290"/>
          <w:tab w:val="clear" w:pos="8296"/>
        </w:tabs>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highlight w:val="none"/>
        </w:rPr>
        <w:instrText xml:space="preserve"> HYPERLINK \l _Toc31776 </w:instrText>
      </w:r>
      <w:r>
        <w:rPr>
          <w:highlight w:val="none"/>
        </w:rPr>
        <w:fldChar w:fldCharType="separate"/>
      </w:r>
      <w:r>
        <w:rPr>
          <w:rFonts w:hint="eastAsia" w:ascii="黑体" w:hAnsi="黑体" w:eastAsia="黑体"/>
          <w:bCs w:val="0"/>
          <w:szCs w:val="48"/>
          <w:highlight w:val="none"/>
        </w:rPr>
        <w:t>第一卷</w:t>
      </w:r>
      <w:r>
        <w:tab/>
      </w:r>
      <w:r>
        <w:fldChar w:fldCharType="begin"/>
      </w:r>
      <w:r>
        <w:instrText xml:space="preserve"> PAGEREF _Toc31776 \h </w:instrText>
      </w:r>
      <w:r>
        <w:fldChar w:fldCharType="separate"/>
      </w:r>
      <w:r>
        <w:t>1</w:t>
      </w:r>
      <w:r>
        <w:fldChar w:fldCharType="end"/>
      </w:r>
      <w:r>
        <w:rPr>
          <w:color w:val="auto"/>
          <w:highlight w:val="none"/>
        </w:rPr>
        <w:fldChar w:fldCharType="end"/>
      </w:r>
    </w:p>
    <w:p w14:paraId="6764E012">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_Toc7640 </w:instrText>
      </w:r>
      <w:r>
        <w:rPr>
          <w:bCs/>
          <w:highlight w:val="none"/>
          <w:lang w:val="zh-CN"/>
        </w:rPr>
        <w:fldChar w:fldCharType="separate"/>
      </w:r>
      <w:r>
        <w:rPr>
          <w:rFonts w:ascii="黑体" w:hAnsi="黑体" w:eastAsia="黑体"/>
          <w:bCs/>
          <w:highlight w:val="none"/>
        </w:rPr>
        <w:t>第一章</w:t>
      </w:r>
      <w:r>
        <w:rPr>
          <w:rFonts w:hint="eastAsia" w:ascii="黑体" w:hAnsi="黑体" w:eastAsia="黑体"/>
          <w:bCs/>
          <w:highlight w:val="none"/>
        </w:rPr>
        <w:t xml:space="preserve"> 招标公告</w:t>
      </w:r>
      <w:r>
        <w:tab/>
      </w:r>
      <w:r>
        <w:fldChar w:fldCharType="begin"/>
      </w:r>
      <w:r>
        <w:instrText xml:space="preserve"> PAGEREF _Toc7640 \h </w:instrText>
      </w:r>
      <w:r>
        <w:fldChar w:fldCharType="separate"/>
      </w:r>
      <w:r>
        <w:t>2</w:t>
      </w:r>
      <w:r>
        <w:fldChar w:fldCharType="end"/>
      </w:r>
      <w:r>
        <w:rPr>
          <w:bCs/>
          <w:color w:val="auto"/>
          <w:highlight w:val="none"/>
          <w:lang w:val="zh-CN"/>
        </w:rPr>
        <w:fldChar w:fldCharType="end"/>
      </w:r>
    </w:p>
    <w:p w14:paraId="5671788D">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_Toc2185 </w:instrText>
      </w:r>
      <w:r>
        <w:rPr>
          <w:bCs/>
          <w:highlight w:val="none"/>
          <w:lang w:val="zh-CN"/>
        </w:rPr>
        <w:fldChar w:fldCharType="separate"/>
      </w:r>
      <w:r>
        <w:rPr>
          <w:rFonts w:hint="eastAsia" w:ascii="黑体" w:hAnsi="黑体" w:eastAsia="黑体"/>
          <w:bCs/>
          <w:highlight w:val="none"/>
        </w:rPr>
        <w:t>第二章  投标人须知</w:t>
      </w:r>
      <w:r>
        <w:tab/>
      </w:r>
      <w:r>
        <w:fldChar w:fldCharType="begin"/>
      </w:r>
      <w:r>
        <w:instrText xml:space="preserve"> PAGEREF _Toc2185 \h </w:instrText>
      </w:r>
      <w:r>
        <w:fldChar w:fldCharType="separate"/>
      </w:r>
      <w:r>
        <w:t>6</w:t>
      </w:r>
      <w:r>
        <w:fldChar w:fldCharType="end"/>
      </w:r>
      <w:r>
        <w:rPr>
          <w:bCs/>
          <w:color w:val="auto"/>
          <w:highlight w:val="none"/>
          <w:lang w:val="zh-CN"/>
        </w:rPr>
        <w:fldChar w:fldCharType="end"/>
      </w:r>
    </w:p>
    <w:p w14:paraId="7875713C">
      <w:pPr>
        <w:pStyle w:val="13"/>
        <w:tabs>
          <w:tab w:val="right" w:leader="dot" w:pos="8290"/>
        </w:tabs>
      </w:pPr>
      <w:r>
        <w:rPr>
          <w:bCs/>
          <w:color w:val="auto"/>
          <w:highlight w:val="none"/>
          <w:lang w:val="zh-CN"/>
        </w:rPr>
        <w:fldChar w:fldCharType="begin"/>
      </w:r>
      <w:r>
        <w:rPr>
          <w:bCs/>
          <w:highlight w:val="none"/>
          <w:lang w:val="zh-CN"/>
        </w:rPr>
        <w:instrText xml:space="preserve"> HYPERLINK \l _Toc7257 </w:instrText>
      </w:r>
      <w:r>
        <w:rPr>
          <w:bCs/>
          <w:highlight w:val="none"/>
          <w:lang w:val="zh-CN"/>
        </w:rPr>
        <w:fldChar w:fldCharType="separate"/>
      </w:r>
      <w:r>
        <w:rPr>
          <w:rFonts w:hint="eastAsia"/>
          <w:highlight w:val="none"/>
        </w:rPr>
        <w:t>投标人须知前附表</w:t>
      </w:r>
      <w:r>
        <w:tab/>
      </w:r>
      <w:r>
        <w:fldChar w:fldCharType="begin"/>
      </w:r>
      <w:r>
        <w:instrText xml:space="preserve"> PAGEREF _Toc7257 \h </w:instrText>
      </w:r>
      <w:r>
        <w:fldChar w:fldCharType="separate"/>
      </w:r>
      <w:r>
        <w:t>6</w:t>
      </w:r>
      <w:r>
        <w:fldChar w:fldCharType="end"/>
      </w:r>
      <w:r>
        <w:rPr>
          <w:bCs/>
          <w:color w:val="auto"/>
          <w:highlight w:val="none"/>
          <w:lang w:val="zh-CN"/>
        </w:rPr>
        <w:fldChar w:fldCharType="end"/>
      </w:r>
    </w:p>
    <w:p w14:paraId="7E22D7E6">
      <w:pPr>
        <w:pStyle w:val="13"/>
        <w:tabs>
          <w:tab w:val="right" w:leader="dot" w:pos="8290"/>
        </w:tabs>
      </w:pPr>
      <w:r>
        <w:rPr>
          <w:bCs/>
          <w:color w:val="auto"/>
          <w:highlight w:val="none"/>
          <w:lang w:val="zh-CN"/>
        </w:rPr>
        <w:fldChar w:fldCharType="begin"/>
      </w:r>
      <w:r>
        <w:rPr>
          <w:bCs/>
          <w:highlight w:val="none"/>
          <w:lang w:val="zh-CN"/>
        </w:rPr>
        <w:instrText xml:space="preserve"> HYPERLINK \l _Toc23282 </w:instrText>
      </w:r>
      <w:r>
        <w:rPr>
          <w:bCs/>
          <w:highlight w:val="none"/>
          <w:lang w:val="zh-CN"/>
        </w:rPr>
        <w:fldChar w:fldCharType="separate"/>
      </w:r>
      <w:r>
        <w:rPr>
          <w:rFonts w:hint="eastAsia"/>
          <w:highlight w:val="none"/>
        </w:rPr>
        <w:t>投标人须知正文部分</w:t>
      </w:r>
      <w:r>
        <w:tab/>
      </w:r>
      <w:r>
        <w:fldChar w:fldCharType="begin"/>
      </w:r>
      <w:r>
        <w:instrText xml:space="preserve"> PAGEREF _Toc23282 \h </w:instrText>
      </w:r>
      <w:r>
        <w:fldChar w:fldCharType="separate"/>
      </w:r>
      <w:r>
        <w:t>14</w:t>
      </w:r>
      <w:r>
        <w:fldChar w:fldCharType="end"/>
      </w:r>
      <w:r>
        <w:rPr>
          <w:bCs/>
          <w:color w:val="auto"/>
          <w:highlight w:val="none"/>
          <w:lang w:val="zh-CN"/>
        </w:rPr>
        <w:fldChar w:fldCharType="end"/>
      </w:r>
    </w:p>
    <w:p w14:paraId="62F1353A">
      <w:pPr>
        <w:pStyle w:val="13"/>
        <w:tabs>
          <w:tab w:val="right" w:leader="dot" w:pos="8290"/>
        </w:tabs>
      </w:pPr>
      <w:r>
        <w:rPr>
          <w:bCs/>
          <w:color w:val="auto"/>
          <w:highlight w:val="none"/>
          <w:lang w:val="zh-CN"/>
        </w:rPr>
        <w:fldChar w:fldCharType="begin"/>
      </w:r>
      <w:r>
        <w:rPr>
          <w:bCs/>
          <w:highlight w:val="none"/>
          <w:lang w:val="zh-CN"/>
        </w:rPr>
        <w:instrText xml:space="preserve"> HYPERLINK \l _Toc4086 </w:instrText>
      </w:r>
      <w:r>
        <w:rPr>
          <w:bCs/>
          <w:highlight w:val="none"/>
          <w:lang w:val="zh-CN"/>
        </w:rPr>
        <w:fldChar w:fldCharType="separate"/>
      </w:r>
      <w:r>
        <w:rPr>
          <w:rFonts w:hint="eastAsia"/>
          <w:highlight w:val="none"/>
        </w:rPr>
        <w:t>1.</w:t>
      </w:r>
      <w:r>
        <w:rPr>
          <w:highlight w:val="none"/>
        </w:rPr>
        <w:t xml:space="preserve"> </w:t>
      </w:r>
      <w:r>
        <w:rPr>
          <w:rFonts w:hint="eastAsia"/>
          <w:highlight w:val="none"/>
        </w:rPr>
        <w:t>总则</w:t>
      </w:r>
      <w:r>
        <w:tab/>
      </w:r>
      <w:r>
        <w:fldChar w:fldCharType="begin"/>
      </w:r>
      <w:r>
        <w:instrText xml:space="preserve"> PAGEREF _Toc4086 \h </w:instrText>
      </w:r>
      <w:r>
        <w:fldChar w:fldCharType="separate"/>
      </w:r>
      <w:r>
        <w:t>14</w:t>
      </w:r>
      <w:r>
        <w:fldChar w:fldCharType="end"/>
      </w:r>
      <w:r>
        <w:rPr>
          <w:bCs/>
          <w:color w:val="auto"/>
          <w:highlight w:val="none"/>
          <w:lang w:val="zh-CN"/>
        </w:rPr>
        <w:fldChar w:fldCharType="end"/>
      </w:r>
    </w:p>
    <w:p w14:paraId="1634553D">
      <w:pPr>
        <w:pStyle w:val="8"/>
        <w:tabs>
          <w:tab w:val="right" w:leader="dot" w:pos="8290"/>
        </w:tabs>
      </w:pPr>
      <w:r>
        <w:rPr>
          <w:bCs/>
          <w:color w:val="auto"/>
          <w:highlight w:val="none"/>
          <w:lang w:val="zh-CN"/>
        </w:rPr>
        <w:fldChar w:fldCharType="begin"/>
      </w:r>
      <w:r>
        <w:rPr>
          <w:bCs/>
          <w:highlight w:val="none"/>
          <w:lang w:val="zh-CN"/>
        </w:rPr>
        <w:instrText xml:space="preserve"> HYPERLINK \l _Toc16813 </w:instrText>
      </w:r>
      <w:r>
        <w:rPr>
          <w:bCs/>
          <w:highlight w:val="none"/>
          <w:lang w:val="zh-CN"/>
        </w:rPr>
        <w:fldChar w:fldCharType="separate"/>
      </w:r>
      <w:r>
        <w:rPr>
          <w:highlight w:val="none"/>
        </w:rPr>
        <w:t xml:space="preserve">1.1 </w:t>
      </w:r>
      <w:r>
        <w:rPr>
          <w:rFonts w:hint="eastAsia"/>
          <w:highlight w:val="none"/>
        </w:rPr>
        <w:t>项目概况</w:t>
      </w:r>
      <w:r>
        <w:tab/>
      </w:r>
      <w:r>
        <w:fldChar w:fldCharType="begin"/>
      </w:r>
      <w:r>
        <w:instrText xml:space="preserve"> PAGEREF _Toc16813 \h </w:instrText>
      </w:r>
      <w:r>
        <w:fldChar w:fldCharType="separate"/>
      </w:r>
      <w:r>
        <w:t>14</w:t>
      </w:r>
      <w:r>
        <w:fldChar w:fldCharType="end"/>
      </w:r>
      <w:r>
        <w:rPr>
          <w:bCs/>
          <w:color w:val="auto"/>
          <w:highlight w:val="none"/>
          <w:lang w:val="zh-CN"/>
        </w:rPr>
        <w:fldChar w:fldCharType="end"/>
      </w:r>
    </w:p>
    <w:p w14:paraId="7CC3DB42">
      <w:pPr>
        <w:pStyle w:val="8"/>
        <w:tabs>
          <w:tab w:val="right" w:leader="dot" w:pos="8290"/>
        </w:tabs>
      </w:pPr>
      <w:r>
        <w:rPr>
          <w:bCs/>
          <w:color w:val="auto"/>
          <w:highlight w:val="none"/>
          <w:lang w:val="zh-CN"/>
        </w:rPr>
        <w:fldChar w:fldCharType="begin"/>
      </w:r>
      <w:r>
        <w:rPr>
          <w:bCs/>
          <w:highlight w:val="none"/>
          <w:lang w:val="zh-CN"/>
        </w:rPr>
        <w:instrText xml:space="preserve"> HYPERLINK \l _Toc4274 </w:instrText>
      </w:r>
      <w:r>
        <w:rPr>
          <w:bCs/>
          <w:highlight w:val="none"/>
          <w:lang w:val="zh-CN"/>
        </w:rPr>
        <w:fldChar w:fldCharType="separate"/>
      </w:r>
      <w:r>
        <w:rPr>
          <w:highlight w:val="none"/>
        </w:rPr>
        <w:t xml:space="preserve">1.2 </w:t>
      </w:r>
      <w:r>
        <w:rPr>
          <w:rFonts w:hint="eastAsia"/>
          <w:highlight w:val="none"/>
        </w:rPr>
        <w:t>资金来源和落实情况</w:t>
      </w:r>
      <w:r>
        <w:tab/>
      </w:r>
      <w:r>
        <w:fldChar w:fldCharType="begin"/>
      </w:r>
      <w:r>
        <w:instrText xml:space="preserve"> PAGEREF _Toc4274 \h </w:instrText>
      </w:r>
      <w:r>
        <w:fldChar w:fldCharType="separate"/>
      </w:r>
      <w:r>
        <w:t>14</w:t>
      </w:r>
      <w:r>
        <w:fldChar w:fldCharType="end"/>
      </w:r>
      <w:r>
        <w:rPr>
          <w:bCs/>
          <w:color w:val="auto"/>
          <w:highlight w:val="none"/>
          <w:lang w:val="zh-CN"/>
        </w:rPr>
        <w:fldChar w:fldCharType="end"/>
      </w:r>
    </w:p>
    <w:p w14:paraId="03A4BA69">
      <w:pPr>
        <w:pStyle w:val="8"/>
        <w:tabs>
          <w:tab w:val="right" w:leader="dot" w:pos="8290"/>
        </w:tabs>
      </w:pPr>
      <w:r>
        <w:rPr>
          <w:bCs/>
          <w:color w:val="auto"/>
          <w:highlight w:val="none"/>
          <w:lang w:val="zh-CN"/>
        </w:rPr>
        <w:fldChar w:fldCharType="begin"/>
      </w:r>
      <w:r>
        <w:rPr>
          <w:bCs/>
          <w:highlight w:val="none"/>
          <w:lang w:val="zh-CN"/>
        </w:rPr>
        <w:instrText xml:space="preserve"> HYPERLINK \l _Toc13277 </w:instrText>
      </w:r>
      <w:r>
        <w:rPr>
          <w:bCs/>
          <w:highlight w:val="none"/>
          <w:lang w:val="zh-CN"/>
        </w:rPr>
        <w:fldChar w:fldCharType="separate"/>
      </w:r>
      <w:r>
        <w:rPr>
          <w:highlight w:val="none"/>
        </w:rPr>
        <w:t xml:space="preserve">1.3 </w:t>
      </w:r>
      <w:r>
        <w:rPr>
          <w:rFonts w:hint="eastAsia"/>
          <w:highlight w:val="none"/>
        </w:rPr>
        <w:t>招标范围、计划工期和质量要求</w:t>
      </w:r>
      <w:r>
        <w:tab/>
      </w:r>
      <w:r>
        <w:fldChar w:fldCharType="begin"/>
      </w:r>
      <w:r>
        <w:instrText xml:space="preserve"> PAGEREF _Toc13277 \h </w:instrText>
      </w:r>
      <w:r>
        <w:fldChar w:fldCharType="separate"/>
      </w:r>
      <w:r>
        <w:t>14</w:t>
      </w:r>
      <w:r>
        <w:fldChar w:fldCharType="end"/>
      </w:r>
      <w:r>
        <w:rPr>
          <w:bCs/>
          <w:color w:val="auto"/>
          <w:highlight w:val="none"/>
          <w:lang w:val="zh-CN"/>
        </w:rPr>
        <w:fldChar w:fldCharType="end"/>
      </w:r>
    </w:p>
    <w:p w14:paraId="62F67674">
      <w:pPr>
        <w:pStyle w:val="8"/>
        <w:tabs>
          <w:tab w:val="right" w:leader="dot" w:pos="8290"/>
        </w:tabs>
      </w:pPr>
      <w:r>
        <w:rPr>
          <w:bCs/>
          <w:color w:val="auto"/>
          <w:highlight w:val="none"/>
          <w:lang w:val="zh-CN"/>
        </w:rPr>
        <w:fldChar w:fldCharType="begin"/>
      </w:r>
      <w:r>
        <w:rPr>
          <w:bCs/>
          <w:highlight w:val="none"/>
          <w:lang w:val="zh-CN"/>
        </w:rPr>
        <w:instrText xml:space="preserve"> HYPERLINK \l _Toc9118 </w:instrText>
      </w:r>
      <w:r>
        <w:rPr>
          <w:bCs/>
          <w:highlight w:val="none"/>
          <w:lang w:val="zh-CN"/>
        </w:rPr>
        <w:fldChar w:fldCharType="separate"/>
      </w:r>
      <w:r>
        <w:rPr>
          <w:highlight w:val="none"/>
        </w:rPr>
        <w:t xml:space="preserve">1.4 </w:t>
      </w:r>
      <w:r>
        <w:rPr>
          <w:rFonts w:hint="eastAsia"/>
          <w:highlight w:val="none"/>
        </w:rPr>
        <w:t>投标人资格要求（适用于未进行资格预审的）</w:t>
      </w:r>
      <w:r>
        <w:tab/>
      </w:r>
      <w:r>
        <w:fldChar w:fldCharType="begin"/>
      </w:r>
      <w:r>
        <w:instrText xml:space="preserve"> PAGEREF _Toc9118 \h </w:instrText>
      </w:r>
      <w:r>
        <w:fldChar w:fldCharType="separate"/>
      </w:r>
      <w:r>
        <w:t>14</w:t>
      </w:r>
      <w:r>
        <w:fldChar w:fldCharType="end"/>
      </w:r>
      <w:r>
        <w:rPr>
          <w:bCs/>
          <w:color w:val="auto"/>
          <w:highlight w:val="none"/>
          <w:lang w:val="zh-CN"/>
        </w:rPr>
        <w:fldChar w:fldCharType="end"/>
      </w:r>
    </w:p>
    <w:p w14:paraId="3D3712D3">
      <w:pPr>
        <w:pStyle w:val="8"/>
        <w:tabs>
          <w:tab w:val="right" w:leader="dot" w:pos="8290"/>
        </w:tabs>
      </w:pPr>
      <w:r>
        <w:rPr>
          <w:bCs/>
          <w:color w:val="auto"/>
          <w:highlight w:val="none"/>
          <w:lang w:val="zh-CN"/>
        </w:rPr>
        <w:fldChar w:fldCharType="begin"/>
      </w:r>
      <w:r>
        <w:rPr>
          <w:bCs/>
          <w:highlight w:val="none"/>
          <w:lang w:val="zh-CN"/>
        </w:rPr>
        <w:instrText xml:space="preserve"> HYPERLINK \l _Toc27328 </w:instrText>
      </w:r>
      <w:r>
        <w:rPr>
          <w:bCs/>
          <w:highlight w:val="none"/>
          <w:lang w:val="zh-CN"/>
        </w:rPr>
        <w:fldChar w:fldCharType="separate"/>
      </w:r>
      <w:r>
        <w:rPr>
          <w:highlight w:val="none"/>
        </w:rPr>
        <w:t xml:space="preserve">1.5 </w:t>
      </w:r>
      <w:r>
        <w:rPr>
          <w:rFonts w:hint="eastAsia"/>
          <w:highlight w:val="none"/>
        </w:rPr>
        <w:t>费用承担</w:t>
      </w:r>
      <w:r>
        <w:tab/>
      </w:r>
      <w:r>
        <w:fldChar w:fldCharType="begin"/>
      </w:r>
      <w:r>
        <w:instrText xml:space="preserve"> PAGEREF _Toc27328 \h </w:instrText>
      </w:r>
      <w:r>
        <w:fldChar w:fldCharType="separate"/>
      </w:r>
      <w:r>
        <w:t>15</w:t>
      </w:r>
      <w:r>
        <w:fldChar w:fldCharType="end"/>
      </w:r>
      <w:r>
        <w:rPr>
          <w:bCs/>
          <w:color w:val="auto"/>
          <w:highlight w:val="none"/>
          <w:lang w:val="zh-CN"/>
        </w:rPr>
        <w:fldChar w:fldCharType="end"/>
      </w:r>
    </w:p>
    <w:p w14:paraId="637EE003">
      <w:pPr>
        <w:pStyle w:val="8"/>
        <w:tabs>
          <w:tab w:val="right" w:leader="dot" w:pos="8290"/>
        </w:tabs>
      </w:pPr>
      <w:r>
        <w:rPr>
          <w:bCs/>
          <w:color w:val="auto"/>
          <w:highlight w:val="none"/>
          <w:lang w:val="zh-CN"/>
        </w:rPr>
        <w:fldChar w:fldCharType="begin"/>
      </w:r>
      <w:r>
        <w:rPr>
          <w:bCs/>
          <w:highlight w:val="none"/>
          <w:lang w:val="zh-CN"/>
        </w:rPr>
        <w:instrText xml:space="preserve"> HYPERLINK \l _Toc11156 </w:instrText>
      </w:r>
      <w:r>
        <w:rPr>
          <w:bCs/>
          <w:highlight w:val="none"/>
          <w:lang w:val="zh-CN"/>
        </w:rPr>
        <w:fldChar w:fldCharType="separate"/>
      </w:r>
      <w:r>
        <w:rPr>
          <w:highlight w:val="none"/>
        </w:rPr>
        <w:t xml:space="preserve">1.6 </w:t>
      </w:r>
      <w:r>
        <w:rPr>
          <w:rFonts w:hint="eastAsia"/>
          <w:highlight w:val="none"/>
        </w:rPr>
        <w:t>保密</w:t>
      </w:r>
      <w:r>
        <w:tab/>
      </w:r>
      <w:r>
        <w:fldChar w:fldCharType="begin"/>
      </w:r>
      <w:r>
        <w:instrText xml:space="preserve"> PAGEREF _Toc11156 \h </w:instrText>
      </w:r>
      <w:r>
        <w:fldChar w:fldCharType="separate"/>
      </w:r>
      <w:r>
        <w:t>15</w:t>
      </w:r>
      <w:r>
        <w:fldChar w:fldCharType="end"/>
      </w:r>
      <w:r>
        <w:rPr>
          <w:bCs/>
          <w:color w:val="auto"/>
          <w:highlight w:val="none"/>
          <w:lang w:val="zh-CN"/>
        </w:rPr>
        <w:fldChar w:fldCharType="end"/>
      </w:r>
    </w:p>
    <w:p w14:paraId="01EC9452">
      <w:pPr>
        <w:pStyle w:val="8"/>
        <w:tabs>
          <w:tab w:val="right" w:leader="dot" w:pos="8290"/>
        </w:tabs>
      </w:pPr>
      <w:r>
        <w:rPr>
          <w:bCs/>
          <w:color w:val="auto"/>
          <w:highlight w:val="none"/>
          <w:lang w:val="zh-CN"/>
        </w:rPr>
        <w:fldChar w:fldCharType="begin"/>
      </w:r>
      <w:r>
        <w:rPr>
          <w:bCs/>
          <w:highlight w:val="none"/>
          <w:lang w:val="zh-CN"/>
        </w:rPr>
        <w:instrText xml:space="preserve"> HYPERLINK \l _Toc23071 </w:instrText>
      </w:r>
      <w:r>
        <w:rPr>
          <w:bCs/>
          <w:highlight w:val="none"/>
          <w:lang w:val="zh-CN"/>
        </w:rPr>
        <w:fldChar w:fldCharType="separate"/>
      </w:r>
      <w:r>
        <w:rPr>
          <w:highlight w:val="none"/>
        </w:rPr>
        <w:t xml:space="preserve">1.7 </w:t>
      </w:r>
      <w:r>
        <w:rPr>
          <w:rFonts w:hint="eastAsia"/>
          <w:highlight w:val="none"/>
        </w:rPr>
        <w:t>语言文字</w:t>
      </w:r>
      <w:r>
        <w:tab/>
      </w:r>
      <w:r>
        <w:fldChar w:fldCharType="begin"/>
      </w:r>
      <w:r>
        <w:instrText xml:space="preserve"> PAGEREF _Toc23071 \h </w:instrText>
      </w:r>
      <w:r>
        <w:fldChar w:fldCharType="separate"/>
      </w:r>
      <w:r>
        <w:t>16</w:t>
      </w:r>
      <w:r>
        <w:fldChar w:fldCharType="end"/>
      </w:r>
      <w:r>
        <w:rPr>
          <w:bCs/>
          <w:color w:val="auto"/>
          <w:highlight w:val="none"/>
          <w:lang w:val="zh-CN"/>
        </w:rPr>
        <w:fldChar w:fldCharType="end"/>
      </w:r>
    </w:p>
    <w:p w14:paraId="58B7E3C7">
      <w:pPr>
        <w:pStyle w:val="8"/>
        <w:tabs>
          <w:tab w:val="right" w:leader="dot" w:pos="8290"/>
        </w:tabs>
      </w:pPr>
      <w:r>
        <w:rPr>
          <w:bCs/>
          <w:color w:val="auto"/>
          <w:highlight w:val="none"/>
          <w:lang w:val="zh-CN"/>
        </w:rPr>
        <w:fldChar w:fldCharType="begin"/>
      </w:r>
      <w:r>
        <w:rPr>
          <w:bCs/>
          <w:highlight w:val="none"/>
          <w:lang w:val="zh-CN"/>
        </w:rPr>
        <w:instrText xml:space="preserve"> HYPERLINK \l _Toc8288 </w:instrText>
      </w:r>
      <w:r>
        <w:rPr>
          <w:bCs/>
          <w:highlight w:val="none"/>
          <w:lang w:val="zh-CN"/>
        </w:rPr>
        <w:fldChar w:fldCharType="separate"/>
      </w:r>
      <w:r>
        <w:rPr>
          <w:highlight w:val="none"/>
        </w:rPr>
        <w:t xml:space="preserve">1.8 </w:t>
      </w:r>
      <w:r>
        <w:rPr>
          <w:rFonts w:hint="eastAsia"/>
          <w:highlight w:val="none"/>
        </w:rPr>
        <w:t>计量单位</w:t>
      </w:r>
      <w:r>
        <w:tab/>
      </w:r>
      <w:r>
        <w:fldChar w:fldCharType="begin"/>
      </w:r>
      <w:r>
        <w:instrText xml:space="preserve"> PAGEREF _Toc8288 \h </w:instrText>
      </w:r>
      <w:r>
        <w:fldChar w:fldCharType="separate"/>
      </w:r>
      <w:r>
        <w:t>16</w:t>
      </w:r>
      <w:r>
        <w:fldChar w:fldCharType="end"/>
      </w:r>
      <w:r>
        <w:rPr>
          <w:bCs/>
          <w:color w:val="auto"/>
          <w:highlight w:val="none"/>
          <w:lang w:val="zh-CN"/>
        </w:rPr>
        <w:fldChar w:fldCharType="end"/>
      </w:r>
    </w:p>
    <w:p w14:paraId="60B45D74">
      <w:pPr>
        <w:pStyle w:val="8"/>
        <w:tabs>
          <w:tab w:val="right" w:leader="dot" w:pos="8290"/>
        </w:tabs>
      </w:pPr>
      <w:r>
        <w:rPr>
          <w:bCs/>
          <w:color w:val="auto"/>
          <w:highlight w:val="none"/>
          <w:lang w:val="zh-CN"/>
        </w:rPr>
        <w:fldChar w:fldCharType="begin"/>
      </w:r>
      <w:r>
        <w:rPr>
          <w:bCs/>
          <w:highlight w:val="none"/>
          <w:lang w:val="zh-CN"/>
        </w:rPr>
        <w:instrText xml:space="preserve"> HYPERLINK \l _Toc10533 </w:instrText>
      </w:r>
      <w:r>
        <w:rPr>
          <w:bCs/>
          <w:highlight w:val="none"/>
          <w:lang w:val="zh-CN"/>
        </w:rPr>
        <w:fldChar w:fldCharType="separate"/>
      </w:r>
      <w:r>
        <w:rPr>
          <w:highlight w:val="none"/>
        </w:rPr>
        <w:t xml:space="preserve">1.9 </w:t>
      </w:r>
      <w:r>
        <w:rPr>
          <w:rFonts w:hint="eastAsia"/>
          <w:highlight w:val="none"/>
        </w:rPr>
        <w:t>踏勘现场</w:t>
      </w:r>
      <w:r>
        <w:tab/>
      </w:r>
      <w:r>
        <w:fldChar w:fldCharType="begin"/>
      </w:r>
      <w:r>
        <w:instrText xml:space="preserve"> PAGEREF _Toc10533 \h </w:instrText>
      </w:r>
      <w:r>
        <w:fldChar w:fldCharType="separate"/>
      </w:r>
      <w:r>
        <w:t>16</w:t>
      </w:r>
      <w:r>
        <w:fldChar w:fldCharType="end"/>
      </w:r>
      <w:r>
        <w:rPr>
          <w:bCs/>
          <w:color w:val="auto"/>
          <w:highlight w:val="none"/>
          <w:lang w:val="zh-CN"/>
        </w:rPr>
        <w:fldChar w:fldCharType="end"/>
      </w:r>
    </w:p>
    <w:p w14:paraId="362CD89E">
      <w:pPr>
        <w:pStyle w:val="8"/>
        <w:tabs>
          <w:tab w:val="right" w:leader="dot" w:pos="8290"/>
        </w:tabs>
      </w:pPr>
      <w:r>
        <w:rPr>
          <w:bCs/>
          <w:color w:val="auto"/>
          <w:highlight w:val="none"/>
          <w:lang w:val="zh-CN"/>
        </w:rPr>
        <w:fldChar w:fldCharType="begin"/>
      </w:r>
      <w:r>
        <w:rPr>
          <w:bCs/>
          <w:highlight w:val="none"/>
          <w:lang w:val="zh-CN"/>
        </w:rPr>
        <w:instrText xml:space="preserve"> HYPERLINK \l _Toc18605 </w:instrText>
      </w:r>
      <w:r>
        <w:rPr>
          <w:bCs/>
          <w:highlight w:val="none"/>
          <w:lang w:val="zh-CN"/>
        </w:rPr>
        <w:fldChar w:fldCharType="separate"/>
      </w:r>
      <w:r>
        <w:rPr>
          <w:highlight w:val="none"/>
        </w:rPr>
        <w:t xml:space="preserve">1.10 </w:t>
      </w:r>
      <w:r>
        <w:rPr>
          <w:rFonts w:hint="eastAsia"/>
          <w:highlight w:val="none"/>
        </w:rPr>
        <w:t>投标预备会</w:t>
      </w:r>
      <w:r>
        <w:tab/>
      </w:r>
      <w:r>
        <w:fldChar w:fldCharType="begin"/>
      </w:r>
      <w:r>
        <w:instrText xml:space="preserve"> PAGEREF _Toc18605 \h </w:instrText>
      </w:r>
      <w:r>
        <w:fldChar w:fldCharType="separate"/>
      </w:r>
      <w:r>
        <w:t>16</w:t>
      </w:r>
      <w:r>
        <w:fldChar w:fldCharType="end"/>
      </w:r>
      <w:r>
        <w:rPr>
          <w:bCs/>
          <w:color w:val="auto"/>
          <w:highlight w:val="none"/>
          <w:lang w:val="zh-CN"/>
        </w:rPr>
        <w:fldChar w:fldCharType="end"/>
      </w:r>
    </w:p>
    <w:p w14:paraId="658982D7">
      <w:pPr>
        <w:pStyle w:val="8"/>
        <w:tabs>
          <w:tab w:val="right" w:leader="dot" w:pos="8290"/>
        </w:tabs>
      </w:pPr>
      <w:r>
        <w:rPr>
          <w:bCs/>
          <w:color w:val="auto"/>
          <w:highlight w:val="none"/>
          <w:lang w:val="zh-CN"/>
        </w:rPr>
        <w:fldChar w:fldCharType="begin"/>
      </w:r>
      <w:r>
        <w:rPr>
          <w:bCs/>
          <w:highlight w:val="none"/>
          <w:lang w:val="zh-CN"/>
        </w:rPr>
        <w:instrText xml:space="preserve"> HYPERLINK \l _Toc5951 </w:instrText>
      </w:r>
      <w:r>
        <w:rPr>
          <w:bCs/>
          <w:highlight w:val="none"/>
          <w:lang w:val="zh-CN"/>
        </w:rPr>
        <w:fldChar w:fldCharType="separate"/>
      </w:r>
      <w:r>
        <w:rPr>
          <w:highlight w:val="none"/>
        </w:rPr>
        <w:t xml:space="preserve">1.11 </w:t>
      </w:r>
      <w:r>
        <w:rPr>
          <w:rFonts w:hint="eastAsia"/>
          <w:highlight w:val="none"/>
        </w:rPr>
        <w:t>分包</w:t>
      </w:r>
      <w:r>
        <w:tab/>
      </w:r>
      <w:r>
        <w:fldChar w:fldCharType="begin"/>
      </w:r>
      <w:r>
        <w:instrText xml:space="preserve"> PAGEREF _Toc5951 \h </w:instrText>
      </w:r>
      <w:r>
        <w:fldChar w:fldCharType="separate"/>
      </w:r>
      <w:r>
        <w:t>16</w:t>
      </w:r>
      <w:r>
        <w:fldChar w:fldCharType="end"/>
      </w:r>
      <w:r>
        <w:rPr>
          <w:bCs/>
          <w:color w:val="auto"/>
          <w:highlight w:val="none"/>
          <w:lang w:val="zh-CN"/>
        </w:rPr>
        <w:fldChar w:fldCharType="end"/>
      </w:r>
    </w:p>
    <w:p w14:paraId="1EC28B4B">
      <w:pPr>
        <w:pStyle w:val="8"/>
        <w:tabs>
          <w:tab w:val="right" w:leader="dot" w:pos="8290"/>
        </w:tabs>
      </w:pPr>
      <w:r>
        <w:rPr>
          <w:bCs/>
          <w:color w:val="auto"/>
          <w:highlight w:val="none"/>
          <w:lang w:val="zh-CN"/>
        </w:rPr>
        <w:fldChar w:fldCharType="begin"/>
      </w:r>
      <w:r>
        <w:rPr>
          <w:bCs/>
          <w:highlight w:val="none"/>
          <w:lang w:val="zh-CN"/>
        </w:rPr>
        <w:instrText xml:space="preserve"> HYPERLINK \l _Toc21496 </w:instrText>
      </w:r>
      <w:r>
        <w:rPr>
          <w:bCs/>
          <w:highlight w:val="none"/>
          <w:lang w:val="zh-CN"/>
        </w:rPr>
        <w:fldChar w:fldCharType="separate"/>
      </w:r>
      <w:r>
        <w:rPr>
          <w:highlight w:val="none"/>
        </w:rPr>
        <w:t xml:space="preserve">1.12 </w:t>
      </w:r>
      <w:r>
        <w:rPr>
          <w:rFonts w:hint="eastAsia"/>
          <w:highlight w:val="none"/>
        </w:rPr>
        <w:t>偏离</w:t>
      </w:r>
      <w:r>
        <w:tab/>
      </w:r>
      <w:r>
        <w:fldChar w:fldCharType="begin"/>
      </w:r>
      <w:r>
        <w:instrText xml:space="preserve"> PAGEREF _Toc21496 \h </w:instrText>
      </w:r>
      <w:r>
        <w:fldChar w:fldCharType="separate"/>
      </w:r>
      <w:r>
        <w:t>16</w:t>
      </w:r>
      <w:r>
        <w:fldChar w:fldCharType="end"/>
      </w:r>
      <w:r>
        <w:rPr>
          <w:bCs/>
          <w:color w:val="auto"/>
          <w:highlight w:val="none"/>
          <w:lang w:val="zh-CN"/>
        </w:rPr>
        <w:fldChar w:fldCharType="end"/>
      </w:r>
    </w:p>
    <w:p w14:paraId="2DE90CB4">
      <w:pPr>
        <w:pStyle w:val="13"/>
        <w:tabs>
          <w:tab w:val="right" w:leader="dot" w:pos="8290"/>
        </w:tabs>
      </w:pPr>
      <w:r>
        <w:rPr>
          <w:bCs/>
          <w:color w:val="auto"/>
          <w:highlight w:val="none"/>
          <w:lang w:val="zh-CN"/>
        </w:rPr>
        <w:fldChar w:fldCharType="begin"/>
      </w:r>
      <w:r>
        <w:rPr>
          <w:bCs/>
          <w:highlight w:val="none"/>
          <w:lang w:val="zh-CN"/>
        </w:rPr>
        <w:instrText xml:space="preserve"> HYPERLINK \l _Toc21682 </w:instrText>
      </w:r>
      <w:r>
        <w:rPr>
          <w:bCs/>
          <w:highlight w:val="none"/>
          <w:lang w:val="zh-CN"/>
        </w:rPr>
        <w:fldChar w:fldCharType="separate"/>
      </w:r>
      <w:r>
        <w:rPr>
          <w:highlight w:val="none"/>
        </w:rPr>
        <w:t xml:space="preserve">2. </w:t>
      </w:r>
      <w:r>
        <w:rPr>
          <w:rFonts w:hint="eastAsia"/>
          <w:highlight w:val="none"/>
        </w:rPr>
        <w:t>招标文件</w:t>
      </w:r>
      <w:r>
        <w:tab/>
      </w:r>
      <w:r>
        <w:fldChar w:fldCharType="begin"/>
      </w:r>
      <w:r>
        <w:instrText xml:space="preserve"> PAGEREF _Toc21682 \h </w:instrText>
      </w:r>
      <w:r>
        <w:fldChar w:fldCharType="separate"/>
      </w:r>
      <w:r>
        <w:t>16</w:t>
      </w:r>
      <w:r>
        <w:fldChar w:fldCharType="end"/>
      </w:r>
      <w:r>
        <w:rPr>
          <w:bCs/>
          <w:color w:val="auto"/>
          <w:highlight w:val="none"/>
          <w:lang w:val="zh-CN"/>
        </w:rPr>
        <w:fldChar w:fldCharType="end"/>
      </w:r>
    </w:p>
    <w:p w14:paraId="0F3F4EB2">
      <w:pPr>
        <w:pStyle w:val="8"/>
        <w:tabs>
          <w:tab w:val="right" w:leader="dot" w:pos="8290"/>
        </w:tabs>
      </w:pPr>
      <w:r>
        <w:rPr>
          <w:bCs/>
          <w:color w:val="auto"/>
          <w:highlight w:val="none"/>
          <w:lang w:val="zh-CN"/>
        </w:rPr>
        <w:fldChar w:fldCharType="begin"/>
      </w:r>
      <w:r>
        <w:rPr>
          <w:bCs/>
          <w:highlight w:val="none"/>
          <w:lang w:val="zh-CN"/>
        </w:rPr>
        <w:instrText xml:space="preserve"> HYPERLINK \l _Toc23875 </w:instrText>
      </w:r>
      <w:r>
        <w:rPr>
          <w:bCs/>
          <w:highlight w:val="none"/>
          <w:lang w:val="zh-CN"/>
        </w:rPr>
        <w:fldChar w:fldCharType="separate"/>
      </w:r>
      <w:r>
        <w:rPr>
          <w:highlight w:val="none"/>
        </w:rPr>
        <w:t xml:space="preserve">2.1 </w:t>
      </w:r>
      <w:r>
        <w:rPr>
          <w:rFonts w:hint="eastAsia"/>
          <w:highlight w:val="none"/>
        </w:rPr>
        <w:t>招标文件的组成</w:t>
      </w:r>
      <w:r>
        <w:tab/>
      </w:r>
      <w:r>
        <w:fldChar w:fldCharType="begin"/>
      </w:r>
      <w:r>
        <w:instrText xml:space="preserve"> PAGEREF _Toc23875 \h </w:instrText>
      </w:r>
      <w:r>
        <w:fldChar w:fldCharType="separate"/>
      </w:r>
      <w:r>
        <w:t>16</w:t>
      </w:r>
      <w:r>
        <w:fldChar w:fldCharType="end"/>
      </w:r>
      <w:r>
        <w:rPr>
          <w:bCs/>
          <w:color w:val="auto"/>
          <w:highlight w:val="none"/>
          <w:lang w:val="zh-CN"/>
        </w:rPr>
        <w:fldChar w:fldCharType="end"/>
      </w:r>
    </w:p>
    <w:p w14:paraId="61A7FA8A">
      <w:pPr>
        <w:pStyle w:val="8"/>
        <w:tabs>
          <w:tab w:val="right" w:leader="dot" w:pos="8290"/>
        </w:tabs>
      </w:pPr>
      <w:r>
        <w:rPr>
          <w:bCs/>
          <w:color w:val="auto"/>
          <w:highlight w:val="none"/>
          <w:lang w:val="zh-CN"/>
        </w:rPr>
        <w:fldChar w:fldCharType="begin"/>
      </w:r>
      <w:r>
        <w:rPr>
          <w:bCs/>
          <w:highlight w:val="none"/>
          <w:lang w:val="zh-CN"/>
        </w:rPr>
        <w:instrText xml:space="preserve"> HYPERLINK \l _Toc21758 </w:instrText>
      </w:r>
      <w:r>
        <w:rPr>
          <w:bCs/>
          <w:highlight w:val="none"/>
          <w:lang w:val="zh-CN"/>
        </w:rPr>
        <w:fldChar w:fldCharType="separate"/>
      </w:r>
      <w:r>
        <w:rPr>
          <w:highlight w:val="none"/>
        </w:rPr>
        <w:t xml:space="preserve">2.2 </w:t>
      </w:r>
      <w:r>
        <w:rPr>
          <w:rFonts w:hint="eastAsia"/>
          <w:highlight w:val="none"/>
        </w:rPr>
        <w:t>招标文件的澄清</w:t>
      </w:r>
      <w:r>
        <w:tab/>
      </w:r>
      <w:r>
        <w:fldChar w:fldCharType="begin"/>
      </w:r>
      <w:r>
        <w:instrText xml:space="preserve"> PAGEREF _Toc21758 \h </w:instrText>
      </w:r>
      <w:r>
        <w:fldChar w:fldCharType="separate"/>
      </w:r>
      <w:r>
        <w:t>17</w:t>
      </w:r>
      <w:r>
        <w:fldChar w:fldCharType="end"/>
      </w:r>
      <w:r>
        <w:rPr>
          <w:bCs/>
          <w:color w:val="auto"/>
          <w:highlight w:val="none"/>
          <w:lang w:val="zh-CN"/>
        </w:rPr>
        <w:fldChar w:fldCharType="end"/>
      </w:r>
    </w:p>
    <w:p w14:paraId="066CC874">
      <w:pPr>
        <w:pStyle w:val="8"/>
        <w:tabs>
          <w:tab w:val="right" w:leader="dot" w:pos="8290"/>
        </w:tabs>
      </w:pPr>
      <w:r>
        <w:rPr>
          <w:bCs/>
          <w:color w:val="auto"/>
          <w:highlight w:val="none"/>
          <w:lang w:val="zh-CN"/>
        </w:rPr>
        <w:fldChar w:fldCharType="begin"/>
      </w:r>
      <w:r>
        <w:rPr>
          <w:bCs/>
          <w:highlight w:val="none"/>
          <w:lang w:val="zh-CN"/>
        </w:rPr>
        <w:instrText xml:space="preserve"> HYPERLINK \l _Toc25717 </w:instrText>
      </w:r>
      <w:r>
        <w:rPr>
          <w:bCs/>
          <w:highlight w:val="none"/>
          <w:lang w:val="zh-CN"/>
        </w:rPr>
        <w:fldChar w:fldCharType="separate"/>
      </w:r>
      <w:r>
        <w:rPr>
          <w:highlight w:val="none"/>
        </w:rPr>
        <w:t xml:space="preserve">2.3 </w:t>
      </w:r>
      <w:r>
        <w:rPr>
          <w:rFonts w:hint="eastAsia"/>
          <w:highlight w:val="none"/>
        </w:rPr>
        <w:t>招标文件的修改</w:t>
      </w:r>
      <w:r>
        <w:tab/>
      </w:r>
      <w:r>
        <w:fldChar w:fldCharType="begin"/>
      </w:r>
      <w:r>
        <w:instrText xml:space="preserve"> PAGEREF _Toc25717 \h </w:instrText>
      </w:r>
      <w:r>
        <w:fldChar w:fldCharType="separate"/>
      </w:r>
      <w:r>
        <w:t>17</w:t>
      </w:r>
      <w:r>
        <w:fldChar w:fldCharType="end"/>
      </w:r>
      <w:r>
        <w:rPr>
          <w:bCs/>
          <w:color w:val="auto"/>
          <w:highlight w:val="none"/>
          <w:lang w:val="zh-CN"/>
        </w:rPr>
        <w:fldChar w:fldCharType="end"/>
      </w:r>
    </w:p>
    <w:p w14:paraId="4DBCD4A6">
      <w:pPr>
        <w:pStyle w:val="8"/>
        <w:tabs>
          <w:tab w:val="right" w:leader="dot" w:pos="8290"/>
        </w:tabs>
      </w:pPr>
      <w:r>
        <w:rPr>
          <w:bCs/>
          <w:color w:val="auto"/>
          <w:highlight w:val="none"/>
          <w:lang w:val="zh-CN"/>
        </w:rPr>
        <w:fldChar w:fldCharType="begin"/>
      </w:r>
      <w:r>
        <w:rPr>
          <w:bCs/>
          <w:highlight w:val="none"/>
          <w:lang w:val="zh-CN"/>
        </w:rPr>
        <w:instrText xml:space="preserve"> HYPERLINK \l _Toc4431 </w:instrText>
      </w:r>
      <w:r>
        <w:rPr>
          <w:bCs/>
          <w:highlight w:val="none"/>
          <w:lang w:val="zh-CN"/>
        </w:rPr>
        <w:fldChar w:fldCharType="separate"/>
      </w:r>
      <w:r>
        <w:rPr>
          <w:highlight w:val="none"/>
        </w:rPr>
        <w:t xml:space="preserve">2.4 </w:t>
      </w:r>
      <w:r>
        <w:rPr>
          <w:rFonts w:hint="eastAsia"/>
          <w:highlight w:val="none"/>
        </w:rPr>
        <w:t>招标文件的异议</w:t>
      </w:r>
      <w:r>
        <w:tab/>
      </w:r>
      <w:r>
        <w:fldChar w:fldCharType="begin"/>
      </w:r>
      <w:r>
        <w:instrText xml:space="preserve"> PAGEREF _Toc4431 \h </w:instrText>
      </w:r>
      <w:r>
        <w:fldChar w:fldCharType="separate"/>
      </w:r>
      <w:r>
        <w:t>18</w:t>
      </w:r>
      <w:r>
        <w:fldChar w:fldCharType="end"/>
      </w:r>
      <w:r>
        <w:rPr>
          <w:bCs/>
          <w:color w:val="auto"/>
          <w:highlight w:val="none"/>
          <w:lang w:val="zh-CN"/>
        </w:rPr>
        <w:fldChar w:fldCharType="end"/>
      </w:r>
    </w:p>
    <w:p w14:paraId="017C0067">
      <w:pPr>
        <w:pStyle w:val="13"/>
        <w:tabs>
          <w:tab w:val="right" w:leader="dot" w:pos="8290"/>
        </w:tabs>
      </w:pPr>
      <w:r>
        <w:rPr>
          <w:bCs/>
          <w:color w:val="auto"/>
          <w:highlight w:val="none"/>
          <w:lang w:val="zh-CN"/>
        </w:rPr>
        <w:fldChar w:fldCharType="begin"/>
      </w:r>
      <w:r>
        <w:rPr>
          <w:bCs/>
          <w:highlight w:val="none"/>
          <w:lang w:val="zh-CN"/>
        </w:rPr>
        <w:instrText xml:space="preserve"> HYPERLINK \l _Toc31607 </w:instrText>
      </w:r>
      <w:r>
        <w:rPr>
          <w:bCs/>
          <w:highlight w:val="none"/>
          <w:lang w:val="zh-CN"/>
        </w:rPr>
        <w:fldChar w:fldCharType="separate"/>
      </w:r>
      <w:r>
        <w:rPr>
          <w:highlight w:val="none"/>
        </w:rPr>
        <w:t xml:space="preserve">3. </w:t>
      </w:r>
      <w:r>
        <w:rPr>
          <w:rFonts w:hint="eastAsia"/>
          <w:highlight w:val="none"/>
        </w:rPr>
        <w:t>投标文件</w:t>
      </w:r>
      <w:r>
        <w:tab/>
      </w:r>
      <w:r>
        <w:fldChar w:fldCharType="begin"/>
      </w:r>
      <w:r>
        <w:instrText xml:space="preserve"> PAGEREF _Toc31607 \h </w:instrText>
      </w:r>
      <w:r>
        <w:fldChar w:fldCharType="separate"/>
      </w:r>
      <w:r>
        <w:t>18</w:t>
      </w:r>
      <w:r>
        <w:fldChar w:fldCharType="end"/>
      </w:r>
      <w:r>
        <w:rPr>
          <w:bCs/>
          <w:color w:val="auto"/>
          <w:highlight w:val="none"/>
          <w:lang w:val="zh-CN"/>
        </w:rPr>
        <w:fldChar w:fldCharType="end"/>
      </w:r>
    </w:p>
    <w:p w14:paraId="511901E0">
      <w:pPr>
        <w:pStyle w:val="8"/>
        <w:tabs>
          <w:tab w:val="right" w:leader="dot" w:pos="8290"/>
        </w:tabs>
      </w:pPr>
      <w:r>
        <w:rPr>
          <w:bCs/>
          <w:color w:val="auto"/>
          <w:highlight w:val="none"/>
          <w:lang w:val="zh-CN"/>
        </w:rPr>
        <w:fldChar w:fldCharType="begin"/>
      </w:r>
      <w:r>
        <w:rPr>
          <w:bCs/>
          <w:highlight w:val="none"/>
          <w:lang w:val="zh-CN"/>
        </w:rPr>
        <w:instrText xml:space="preserve"> HYPERLINK \l _Toc9099 </w:instrText>
      </w:r>
      <w:r>
        <w:rPr>
          <w:bCs/>
          <w:highlight w:val="none"/>
          <w:lang w:val="zh-CN"/>
        </w:rPr>
        <w:fldChar w:fldCharType="separate"/>
      </w:r>
      <w:r>
        <w:rPr>
          <w:highlight w:val="none"/>
        </w:rPr>
        <w:t xml:space="preserve">3.1 </w:t>
      </w:r>
      <w:r>
        <w:rPr>
          <w:rFonts w:hint="eastAsia"/>
          <w:highlight w:val="none"/>
        </w:rPr>
        <w:t>投标文件的组成</w:t>
      </w:r>
      <w:r>
        <w:tab/>
      </w:r>
      <w:r>
        <w:fldChar w:fldCharType="begin"/>
      </w:r>
      <w:r>
        <w:instrText xml:space="preserve"> PAGEREF _Toc9099 \h </w:instrText>
      </w:r>
      <w:r>
        <w:fldChar w:fldCharType="separate"/>
      </w:r>
      <w:r>
        <w:t>18</w:t>
      </w:r>
      <w:r>
        <w:fldChar w:fldCharType="end"/>
      </w:r>
      <w:r>
        <w:rPr>
          <w:bCs/>
          <w:color w:val="auto"/>
          <w:highlight w:val="none"/>
          <w:lang w:val="zh-CN"/>
        </w:rPr>
        <w:fldChar w:fldCharType="end"/>
      </w:r>
    </w:p>
    <w:p w14:paraId="5138C330">
      <w:pPr>
        <w:pStyle w:val="8"/>
        <w:tabs>
          <w:tab w:val="right" w:leader="dot" w:pos="8290"/>
        </w:tabs>
      </w:pPr>
      <w:r>
        <w:rPr>
          <w:bCs/>
          <w:color w:val="auto"/>
          <w:highlight w:val="none"/>
          <w:lang w:val="zh-CN"/>
        </w:rPr>
        <w:fldChar w:fldCharType="begin"/>
      </w:r>
      <w:r>
        <w:rPr>
          <w:bCs/>
          <w:highlight w:val="none"/>
          <w:lang w:val="zh-CN"/>
        </w:rPr>
        <w:instrText xml:space="preserve"> HYPERLINK \l _Toc3482 </w:instrText>
      </w:r>
      <w:r>
        <w:rPr>
          <w:bCs/>
          <w:highlight w:val="none"/>
          <w:lang w:val="zh-CN"/>
        </w:rPr>
        <w:fldChar w:fldCharType="separate"/>
      </w:r>
      <w:r>
        <w:rPr>
          <w:highlight w:val="none"/>
        </w:rPr>
        <w:t xml:space="preserve">3.2 </w:t>
      </w:r>
      <w:r>
        <w:rPr>
          <w:rFonts w:hint="eastAsia"/>
          <w:highlight w:val="none"/>
        </w:rPr>
        <w:t>投标报价</w:t>
      </w:r>
      <w:r>
        <w:tab/>
      </w:r>
      <w:r>
        <w:fldChar w:fldCharType="begin"/>
      </w:r>
      <w:r>
        <w:instrText xml:space="preserve"> PAGEREF _Toc3482 \h </w:instrText>
      </w:r>
      <w:r>
        <w:fldChar w:fldCharType="separate"/>
      </w:r>
      <w:r>
        <w:t>18</w:t>
      </w:r>
      <w:r>
        <w:fldChar w:fldCharType="end"/>
      </w:r>
      <w:r>
        <w:rPr>
          <w:bCs/>
          <w:color w:val="auto"/>
          <w:highlight w:val="none"/>
          <w:lang w:val="zh-CN"/>
        </w:rPr>
        <w:fldChar w:fldCharType="end"/>
      </w:r>
    </w:p>
    <w:p w14:paraId="393367A6">
      <w:pPr>
        <w:pStyle w:val="8"/>
        <w:tabs>
          <w:tab w:val="right" w:leader="dot" w:pos="8290"/>
        </w:tabs>
      </w:pPr>
      <w:r>
        <w:rPr>
          <w:bCs/>
          <w:color w:val="auto"/>
          <w:highlight w:val="none"/>
          <w:lang w:val="zh-CN"/>
        </w:rPr>
        <w:fldChar w:fldCharType="begin"/>
      </w:r>
      <w:r>
        <w:rPr>
          <w:bCs/>
          <w:highlight w:val="none"/>
          <w:lang w:val="zh-CN"/>
        </w:rPr>
        <w:instrText xml:space="preserve"> HYPERLINK \l _Toc9919 </w:instrText>
      </w:r>
      <w:r>
        <w:rPr>
          <w:bCs/>
          <w:highlight w:val="none"/>
          <w:lang w:val="zh-CN"/>
        </w:rPr>
        <w:fldChar w:fldCharType="separate"/>
      </w:r>
      <w:r>
        <w:rPr>
          <w:highlight w:val="none"/>
        </w:rPr>
        <w:t xml:space="preserve">3.3 </w:t>
      </w:r>
      <w:r>
        <w:rPr>
          <w:rFonts w:hint="eastAsia"/>
          <w:highlight w:val="none"/>
        </w:rPr>
        <w:t>投标有效期</w:t>
      </w:r>
      <w:r>
        <w:tab/>
      </w:r>
      <w:r>
        <w:fldChar w:fldCharType="begin"/>
      </w:r>
      <w:r>
        <w:instrText xml:space="preserve"> PAGEREF _Toc9919 \h </w:instrText>
      </w:r>
      <w:r>
        <w:fldChar w:fldCharType="separate"/>
      </w:r>
      <w:r>
        <w:t>19</w:t>
      </w:r>
      <w:r>
        <w:fldChar w:fldCharType="end"/>
      </w:r>
      <w:r>
        <w:rPr>
          <w:bCs/>
          <w:color w:val="auto"/>
          <w:highlight w:val="none"/>
          <w:lang w:val="zh-CN"/>
        </w:rPr>
        <w:fldChar w:fldCharType="end"/>
      </w:r>
    </w:p>
    <w:p w14:paraId="71D8AD13">
      <w:pPr>
        <w:pStyle w:val="8"/>
        <w:tabs>
          <w:tab w:val="right" w:leader="dot" w:pos="8290"/>
        </w:tabs>
      </w:pPr>
      <w:r>
        <w:rPr>
          <w:bCs/>
          <w:color w:val="auto"/>
          <w:highlight w:val="none"/>
          <w:lang w:val="zh-CN"/>
        </w:rPr>
        <w:fldChar w:fldCharType="begin"/>
      </w:r>
      <w:r>
        <w:rPr>
          <w:bCs/>
          <w:highlight w:val="none"/>
          <w:lang w:val="zh-CN"/>
        </w:rPr>
        <w:instrText xml:space="preserve"> HYPERLINK \l _Toc6855 </w:instrText>
      </w:r>
      <w:r>
        <w:rPr>
          <w:bCs/>
          <w:highlight w:val="none"/>
          <w:lang w:val="zh-CN"/>
        </w:rPr>
        <w:fldChar w:fldCharType="separate"/>
      </w:r>
      <w:r>
        <w:rPr>
          <w:highlight w:val="none"/>
        </w:rPr>
        <w:t xml:space="preserve">3.4 </w:t>
      </w:r>
      <w:r>
        <w:rPr>
          <w:rFonts w:hint="eastAsia"/>
          <w:highlight w:val="none"/>
        </w:rPr>
        <w:t>投标保证金</w:t>
      </w:r>
      <w:r>
        <w:tab/>
      </w:r>
      <w:r>
        <w:fldChar w:fldCharType="begin"/>
      </w:r>
      <w:r>
        <w:instrText xml:space="preserve"> PAGEREF _Toc6855 \h </w:instrText>
      </w:r>
      <w:r>
        <w:fldChar w:fldCharType="separate"/>
      </w:r>
      <w:r>
        <w:t>19</w:t>
      </w:r>
      <w:r>
        <w:fldChar w:fldCharType="end"/>
      </w:r>
      <w:r>
        <w:rPr>
          <w:bCs/>
          <w:color w:val="auto"/>
          <w:highlight w:val="none"/>
          <w:lang w:val="zh-CN"/>
        </w:rPr>
        <w:fldChar w:fldCharType="end"/>
      </w:r>
    </w:p>
    <w:p w14:paraId="6A611553">
      <w:pPr>
        <w:pStyle w:val="8"/>
        <w:tabs>
          <w:tab w:val="right" w:leader="dot" w:pos="8290"/>
        </w:tabs>
      </w:pPr>
      <w:r>
        <w:rPr>
          <w:bCs/>
          <w:color w:val="auto"/>
          <w:highlight w:val="none"/>
          <w:lang w:val="zh-CN"/>
        </w:rPr>
        <w:fldChar w:fldCharType="begin"/>
      </w:r>
      <w:r>
        <w:rPr>
          <w:bCs/>
          <w:highlight w:val="none"/>
          <w:lang w:val="zh-CN"/>
        </w:rPr>
        <w:instrText xml:space="preserve"> HYPERLINK \l _Toc28662 </w:instrText>
      </w:r>
      <w:r>
        <w:rPr>
          <w:bCs/>
          <w:highlight w:val="none"/>
          <w:lang w:val="zh-CN"/>
        </w:rPr>
        <w:fldChar w:fldCharType="separate"/>
      </w:r>
      <w:r>
        <w:rPr>
          <w:highlight w:val="none"/>
        </w:rPr>
        <w:t xml:space="preserve">3.5 </w:t>
      </w:r>
      <w:r>
        <w:rPr>
          <w:rFonts w:hint="eastAsia"/>
          <w:highlight w:val="none"/>
        </w:rPr>
        <w:t>资格审查资料（适用于未进行资格预审的）</w:t>
      </w:r>
      <w:r>
        <w:tab/>
      </w:r>
      <w:r>
        <w:fldChar w:fldCharType="begin"/>
      </w:r>
      <w:r>
        <w:instrText xml:space="preserve"> PAGEREF _Toc28662 \h </w:instrText>
      </w:r>
      <w:r>
        <w:fldChar w:fldCharType="separate"/>
      </w:r>
      <w:r>
        <w:t>19</w:t>
      </w:r>
      <w:r>
        <w:fldChar w:fldCharType="end"/>
      </w:r>
      <w:r>
        <w:rPr>
          <w:bCs/>
          <w:color w:val="auto"/>
          <w:highlight w:val="none"/>
          <w:lang w:val="zh-CN"/>
        </w:rPr>
        <w:fldChar w:fldCharType="end"/>
      </w:r>
    </w:p>
    <w:p w14:paraId="0F51E9BD">
      <w:pPr>
        <w:pStyle w:val="8"/>
        <w:tabs>
          <w:tab w:val="right" w:leader="dot" w:pos="8290"/>
        </w:tabs>
      </w:pPr>
      <w:r>
        <w:rPr>
          <w:bCs/>
          <w:color w:val="auto"/>
          <w:highlight w:val="none"/>
          <w:lang w:val="zh-CN"/>
        </w:rPr>
        <w:fldChar w:fldCharType="begin"/>
      </w:r>
      <w:r>
        <w:rPr>
          <w:bCs/>
          <w:highlight w:val="none"/>
          <w:lang w:val="zh-CN"/>
        </w:rPr>
        <w:instrText xml:space="preserve"> HYPERLINK \l _Toc19844 </w:instrText>
      </w:r>
      <w:r>
        <w:rPr>
          <w:bCs/>
          <w:highlight w:val="none"/>
          <w:lang w:val="zh-CN"/>
        </w:rPr>
        <w:fldChar w:fldCharType="separate"/>
      </w:r>
      <w:r>
        <w:rPr>
          <w:highlight w:val="none"/>
        </w:rPr>
        <w:t xml:space="preserve">3.6 </w:t>
      </w:r>
      <w:r>
        <w:rPr>
          <w:rFonts w:hint="eastAsia"/>
          <w:highlight w:val="none"/>
        </w:rPr>
        <w:t>备选投标方案</w:t>
      </w:r>
      <w:r>
        <w:tab/>
      </w:r>
      <w:r>
        <w:fldChar w:fldCharType="begin"/>
      </w:r>
      <w:r>
        <w:instrText xml:space="preserve"> PAGEREF _Toc19844 \h </w:instrText>
      </w:r>
      <w:r>
        <w:fldChar w:fldCharType="separate"/>
      </w:r>
      <w:r>
        <w:t>19</w:t>
      </w:r>
      <w:r>
        <w:fldChar w:fldCharType="end"/>
      </w:r>
      <w:r>
        <w:rPr>
          <w:bCs/>
          <w:color w:val="auto"/>
          <w:highlight w:val="none"/>
          <w:lang w:val="zh-CN"/>
        </w:rPr>
        <w:fldChar w:fldCharType="end"/>
      </w:r>
    </w:p>
    <w:p w14:paraId="58E71143">
      <w:pPr>
        <w:pStyle w:val="8"/>
        <w:tabs>
          <w:tab w:val="right" w:leader="dot" w:pos="8290"/>
        </w:tabs>
      </w:pPr>
      <w:r>
        <w:rPr>
          <w:bCs/>
          <w:color w:val="auto"/>
          <w:highlight w:val="none"/>
          <w:lang w:val="zh-CN"/>
        </w:rPr>
        <w:fldChar w:fldCharType="begin"/>
      </w:r>
      <w:r>
        <w:rPr>
          <w:bCs/>
          <w:highlight w:val="none"/>
          <w:lang w:val="zh-CN"/>
        </w:rPr>
        <w:instrText xml:space="preserve"> HYPERLINK \l _Toc2749 </w:instrText>
      </w:r>
      <w:r>
        <w:rPr>
          <w:bCs/>
          <w:highlight w:val="none"/>
          <w:lang w:val="zh-CN"/>
        </w:rPr>
        <w:fldChar w:fldCharType="separate"/>
      </w:r>
      <w:r>
        <w:rPr>
          <w:highlight w:val="none"/>
        </w:rPr>
        <w:t xml:space="preserve">3.7 </w:t>
      </w:r>
      <w:r>
        <w:rPr>
          <w:rFonts w:hint="eastAsia"/>
          <w:highlight w:val="none"/>
        </w:rPr>
        <w:t>投标文件的编制</w:t>
      </w:r>
      <w:r>
        <w:tab/>
      </w:r>
      <w:r>
        <w:fldChar w:fldCharType="begin"/>
      </w:r>
      <w:r>
        <w:instrText xml:space="preserve"> PAGEREF _Toc2749 \h </w:instrText>
      </w:r>
      <w:r>
        <w:fldChar w:fldCharType="separate"/>
      </w:r>
      <w:r>
        <w:t>20</w:t>
      </w:r>
      <w:r>
        <w:fldChar w:fldCharType="end"/>
      </w:r>
      <w:r>
        <w:rPr>
          <w:bCs/>
          <w:color w:val="auto"/>
          <w:highlight w:val="none"/>
          <w:lang w:val="zh-CN"/>
        </w:rPr>
        <w:fldChar w:fldCharType="end"/>
      </w:r>
    </w:p>
    <w:p w14:paraId="3A715FE0">
      <w:pPr>
        <w:pStyle w:val="13"/>
        <w:tabs>
          <w:tab w:val="right" w:leader="dot" w:pos="8290"/>
        </w:tabs>
      </w:pPr>
      <w:r>
        <w:rPr>
          <w:bCs/>
          <w:color w:val="auto"/>
          <w:highlight w:val="none"/>
          <w:lang w:val="zh-CN"/>
        </w:rPr>
        <w:fldChar w:fldCharType="begin"/>
      </w:r>
      <w:r>
        <w:rPr>
          <w:bCs/>
          <w:highlight w:val="none"/>
          <w:lang w:val="zh-CN"/>
        </w:rPr>
        <w:instrText xml:space="preserve"> HYPERLINK \l _Toc18903 </w:instrText>
      </w:r>
      <w:r>
        <w:rPr>
          <w:bCs/>
          <w:highlight w:val="none"/>
          <w:lang w:val="zh-CN"/>
        </w:rPr>
        <w:fldChar w:fldCharType="separate"/>
      </w:r>
      <w:r>
        <w:rPr>
          <w:highlight w:val="none"/>
        </w:rPr>
        <w:t xml:space="preserve">4. </w:t>
      </w:r>
      <w:r>
        <w:rPr>
          <w:rFonts w:hint="eastAsia"/>
          <w:highlight w:val="none"/>
        </w:rPr>
        <w:t>投标</w:t>
      </w:r>
      <w:r>
        <w:tab/>
      </w:r>
      <w:r>
        <w:fldChar w:fldCharType="begin"/>
      </w:r>
      <w:r>
        <w:instrText xml:space="preserve"> PAGEREF _Toc18903 \h </w:instrText>
      </w:r>
      <w:r>
        <w:fldChar w:fldCharType="separate"/>
      </w:r>
      <w:r>
        <w:t>21</w:t>
      </w:r>
      <w:r>
        <w:fldChar w:fldCharType="end"/>
      </w:r>
      <w:r>
        <w:rPr>
          <w:bCs/>
          <w:color w:val="auto"/>
          <w:highlight w:val="none"/>
          <w:lang w:val="zh-CN"/>
        </w:rPr>
        <w:fldChar w:fldCharType="end"/>
      </w:r>
    </w:p>
    <w:p w14:paraId="19A16702">
      <w:pPr>
        <w:pStyle w:val="8"/>
        <w:tabs>
          <w:tab w:val="right" w:leader="dot" w:pos="8290"/>
        </w:tabs>
      </w:pPr>
      <w:r>
        <w:rPr>
          <w:bCs/>
          <w:color w:val="auto"/>
          <w:highlight w:val="none"/>
          <w:lang w:val="zh-CN"/>
        </w:rPr>
        <w:fldChar w:fldCharType="begin"/>
      </w:r>
      <w:r>
        <w:rPr>
          <w:bCs/>
          <w:highlight w:val="none"/>
          <w:lang w:val="zh-CN"/>
        </w:rPr>
        <w:instrText xml:space="preserve"> HYPERLINK \l _Toc32487 </w:instrText>
      </w:r>
      <w:r>
        <w:rPr>
          <w:bCs/>
          <w:highlight w:val="none"/>
          <w:lang w:val="zh-CN"/>
        </w:rPr>
        <w:fldChar w:fldCharType="separate"/>
      </w:r>
      <w:r>
        <w:rPr>
          <w:highlight w:val="none"/>
        </w:rPr>
        <w:t xml:space="preserve">4.1 </w:t>
      </w:r>
      <w:r>
        <w:rPr>
          <w:rFonts w:hint="eastAsia"/>
          <w:highlight w:val="none"/>
        </w:rPr>
        <w:t>投标文件的加密</w:t>
      </w:r>
      <w:r>
        <w:tab/>
      </w:r>
      <w:r>
        <w:fldChar w:fldCharType="begin"/>
      </w:r>
      <w:r>
        <w:instrText xml:space="preserve"> PAGEREF _Toc32487 \h </w:instrText>
      </w:r>
      <w:r>
        <w:fldChar w:fldCharType="separate"/>
      </w:r>
      <w:r>
        <w:t>21</w:t>
      </w:r>
      <w:r>
        <w:fldChar w:fldCharType="end"/>
      </w:r>
      <w:r>
        <w:rPr>
          <w:bCs/>
          <w:color w:val="auto"/>
          <w:highlight w:val="none"/>
          <w:lang w:val="zh-CN"/>
        </w:rPr>
        <w:fldChar w:fldCharType="end"/>
      </w:r>
    </w:p>
    <w:p w14:paraId="746F1588">
      <w:pPr>
        <w:pStyle w:val="8"/>
        <w:tabs>
          <w:tab w:val="right" w:leader="dot" w:pos="8290"/>
        </w:tabs>
      </w:pPr>
      <w:r>
        <w:rPr>
          <w:bCs/>
          <w:color w:val="auto"/>
          <w:highlight w:val="none"/>
          <w:lang w:val="zh-CN"/>
        </w:rPr>
        <w:fldChar w:fldCharType="begin"/>
      </w:r>
      <w:r>
        <w:rPr>
          <w:bCs/>
          <w:highlight w:val="none"/>
          <w:lang w:val="zh-CN"/>
        </w:rPr>
        <w:instrText xml:space="preserve"> HYPERLINK \l _Toc17549 </w:instrText>
      </w:r>
      <w:r>
        <w:rPr>
          <w:bCs/>
          <w:highlight w:val="none"/>
          <w:lang w:val="zh-CN"/>
        </w:rPr>
        <w:fldChar w:fldCharType="separate"/>
      </w:r>
      <w:r>
        <w:rPr>
          <w:highlight w:val="none"/>
        </w:rPr>
        <w:t xml:space="preserve">4.2 </w:t>
      </w:r>
      <w:r>
        <w:rPr>
          <w:rFonts w:hint="eastAsia"/>
          <w:highlight w:val="none"/>
        </w:rPr>
        <w:t>投标文件的递交</w:t>
      </w:r>
      <w:r>
        <w:tab/>
      </w:r>
      <w:r>
        <w:fldChar w:fldCharType="begin"/>
      </w:r>
      <w:r>
        <w:instrText xml:space="preserve"> PAGEREF _Toc17549 \h </w:instrText>
      </w:r>
      <w:r>
        <w:fldChar w:fldCharType="separate"/>
      </w:r>
      <w:r>
        <w:t>21</w:t>
      </w:r>
      <w:r>
        <w:fldChar w:fldCharType="end"/>
      </w:r>
      <w:r>
        <w:rPr>
          <w:bCs/>
          <w:color w:val="auto"/>
          <w:highlight w:val="none"/>
          <w:lang w:val="zh-CN"/>
        </w:rPr>
        <w:fldChar w:fldCharType="end"/>
      </w:r>
    </w:p>
    <w:p w14:paraId="54CDF13A">
      <w:pPr>
        <w:pStyle w:val="8"/>
        <w:tabs>
          <w:tab w:val="right" w:leader="dot" w:pos="8290"/>
        </w:tabs>
      </w:pPr>
      <w:r>
        <w:rPr>
          <w:bCs/>
          <w:color w:val="auto"/>
          <w:highlight w:val="none"/>
          <w:lang w:val="zh-CN"/>
        </w:rPr>
        <w:fldChar w:fldCharType="begin"/>
      </w:r>
      <w:r>
        <w:rPr>
          <w:bCs/>
          <w:highlight w:val="none"/>
          <w:lang w:val="zh-CN"/>
        </w:rPr>
        <w:instrText xml:space="preserve"> HYPERLINK \l _Toc20811 </w:instrText>
      </w:r>
      <w:r>
        <w:rPr>
          <w:bCs/>
          <w:highlight w:val="none"/>
          <w:lang w:val="zh-CN"/>
        </w:rPr>
        <w:fldChar w:fldCharType="separate"/>
      </w:r>
      <w:r>
        <w:rPr>
          <w:highlight w:val="none"/>
        </w:rPr>
        <w:t xml:space="preserve">4.3 </w:t>
      </w:r>
      <w:r>
        <w:rPr>
          <w:rFonts w:hint="eastAsia"/>
          <w:highlight w:val="none"/>
        </w:rPr>
        <w:t>投标文件的修改与撤回</w:t>
      </w:r>
      <w:r>
        <w:tab/>
      </w:r>
      <w:r>
        <w:fldChar w:fldCharType="begin"/>
      </w:r>
      <w:r>
        <w:instrText xml:space="preserve"> PAGEREF _Toc20811 \h </w:instrText>
      </w:r>
      <w:r>
        <w:fldChar w:fldCharType="separate"/>
      </w:r>
      <w:r>
        <w:t>21</w:t>
      </w:r>
      <w:r>
        <w:fldChar w:fldCharType="end"/>
      </w:r>
      <w:r>
        <w:rPr>
          <w:bCs/>
          <w:color w:val="auto"/>
          <w:highlight w:val="none"/>
          <w:lang w:val="zh-CN"/>
        </w:rPr>
        <w:fldChar w:fldCharType="end"/>
      </w:r>
    </w:p>
    <w:p w14:paraId="0672C0CC">
      <w:pPr>
        <w:pStyle w:val="13"/>
        <w:tabs>
          <w:tab w:val="right" w:leader="dot" w:pos="8290"/>
        </w:tabs>
      </w:pPr>
      <w:r>
        <w:rPr>
          <w:bCs/>
          <w:color w:val="auto"/>
          <w:highlight w:val="none"/>
          <w:lang w:val="zh-CN"/>
        </w:rPr>
        <w:fldChar w:fldCharType="begin"/>
      </w:r>
      <w:r>
        <w:rPr>
          <w:bCs/>
          <w:highlight w:val="none"/>
          <w:lang w:val="zh-CN"/>
        </w:rPr>
        <w:instrText xml:space="preserve"> HYPERLINK \l _Toc11633 </w:instrText>
      </w:r>
      <w:r>
        <w:rPr>
          <w:bCs/>
          <w:highlight w:val="none"/>
          <w:lang w:val="zh-CN"/>
        </w:rPr>
        <w:fldChar w:fldCharType="separate"/>
      </w:r>
      <w:r>
        <w:rPr>
          <w:highlight w:val="none"/>
        </w:rPr>
        <w:t xml:space="preserve">5. </w:t>
      </w:r>
      <w:r>
        <w:rPr>
          <w:rFonts w:hint="eastAsia"/>
          <w:highlight w:val="none"/>
        </w:rPr>
        <w:t>开标</w:t>
      </w:r>
      <w:r>
        <w:tab/>
      </w:r>
      <w:r>
        <w:fldChar w:fldCharType="begin"/>
      </w:r>
      <w:r>
        <w:instrText xml:space="preserve"> PAGEREF _Toc11633 \h </w:instrText>
      </w:r>
      <w:r>
        <w:fldChar w:fldCharType="separate"/>
      </w:r>
      <w:r>
        <w:t>21</w:t>
      </w:r>
      <w:r>
        <w:fldChar w:fldCharType="end"/>
      </w:r>
      <w:r>
        <w:rPr>
          <w:bCs/>
          <w:color w:val="auto"/>
          <w:highlight w:val="none"/>
          <w:lang w:val="zh-CN"/>
        </w:rPr>
        <w:fldChar w:fldCharType="end"/>
      </w:r>
    </w:p>
    <w:p w14:paraId="1874D0E1">
      <w:pPr>
        <w:pStyle w:val="8"/>
        <w:tabs>
          <w:tab w:val="right" w:leader="dot" w:pos="8290"/>
        </w:tabs>
      </w:pPr>
      <w:r>
        <w:rPr>
          <w:bCs/>
          <w:color w:val="auto"/>
          <w:highlight w:val="none"/>
          <w:lang w:val="zh-CN"/>
        </w:rPr>
        <w:fldChar w:fldCharType="begin"/>
      </w:r>
      <w:r>
        <w:rPr>
          <w:bCs/>
          <w:highlight w:val="none"/>
          <w:lang w:val="zh-CN"/>
        </w:rPr>
        <w:instrText xml:space="preserve"> HYPERLINK \l _Toc32656 </w:instrText>
      </w:r>
      <w:r>
        <w:rPr>
          <w:bCs/>
          <w:highlight w:val="none"/>
          <w:lang w:val="zh-CN"/>
        </w:rPr>
        <w:fldChar w:fldCharType="separate"/>
      </w:r>
      <w:r>
        <w:rPr>
          <w:highlight w:val="none"/>
        </w:rPr>
        <w:t xml:space="preserve">5.1 </w:t>
      </w:r>
      <w:r>
        <w:rPr>
          <w:rFonts w:hint="eastAsia"/>
          <w:highlight w:val="none"/>
        </w:rPr>
        <w:t>开标时间和地点</w:t>
      </w:r>
      <w:r>
        <w:tab/>
      </w:r>
      <w:r>
        <w:fldChar w:fldCharType="begin"/>
      </w:r>
      <w:r>
        <w:instrText xml:space="preserve"> PAGEREF _Toc32656 \h </w:instrText>
      </w:r>
      <w:r>
        <w:fldChar w:fldCharType="separate"/>
      </w:r>
      <w:r>
        <w:t>21</w:t>
      </w:r>
      <w:r>
        <w:fldChar w:fldCharType="end"/>
      </w:r>
      <w:r>
        <w:rPr>
          <w:bCs/>
          <w:color w:val="auto"/>
          <w:highlight w:val="none"/>
          <w:lang w:val="zh-CN"/>
        </w:rPr>
        <w:fldChar w:fldCharType="end"/>
      </w:r>
    </w:p>
    <w:p w14:paraId="37FBBC6B">
      <w:pPr>
        <w:pStyle w:val="8"/>
        <w:tabs>
          <w:tab w:val="right" w:leader="dot" w:pos="8290"/>
        </w:tabs>
      </w:pPr>
      <w:r>
        <w:rPr>
          <w:bCs/>
          <w:color w:val="auto"/>
          <w:highlight w:val="none"/>
          <w:lang w:val="zh-CN"/>
        </w:rPr>
        <w:fldChar w:fldCharType="begin"/>
      </w:r>
      <w:r>
        <w:rPr>
          <w:bCs/>
          <w:highlight w:val="none"/>
          <w:lang w:val="zh-CN"/>
        </w:rPr>
        <w:instrText xml:space="preserve"> HYPERLINK \l _Toc19569 </w:instrText>
      </w:r>
      <w:r>
        <w:rPr>
          <w:bCs/>
          <w:highlight w:val="none"/>
          <w:lang w:val="zh-CN"/>
        </w:rPr>
        <w:fldChar w:fldCharType="separate"/>
      </w:r>
      <w:r>
        <w:rPr>
          <w:highlight w:val="none"/>
        </w:rPr>
        <w:t xml:space="preserve">5.2 </w:t>
      </w:r>
      <w:r>
        <w:rPr>
          <w:rFonts w:hint="eastAsia"/>
          <w:highlight w:val="none"/>
        </w:rPr>
        <w:t>开标程序</w:t>
      </w:r>
      <w:r>
        <w:tab/>
      </w:r>
      <w:r>
        <w:fldChar w:fldCharType="begin"/>
      </w:r>
      <w:r>
        <w:instrText xml:space="preserve"> PAGEREF _Toc19569 \h </w:instrText>
      </w:r>
      <w:r>
        <w:fldChar w:fldCharType="separate"/>
      </w:r>
      <w:r>
        <w:t>22</w:t>
      </w:r>
      <w:r>
        <w:fldChar w:fldCharType="end"/>
      </w:r>
      <w:r>
        <w:rPr>
          <w:bCs/>
          <w:color w:val="auto"/>
          <w:highlight w:val="none"/>
          <w:lang w:val="zh-CN"/>
        </w:rPr>
        <w:fldChar w:fldCharType="end"/>
      </w:r>
    </w:p>
    <w:p w14:paraId="676AC83D">
      <w:pPr>
        <w:pStyle w:val="8"/>
        <w:tabs>
          <w:tab w:val="right" w:leader="dot" w:pos="8290"/>
        </w:tabs>
      </w:pPr>
      <w:r>
        <w:rPr>
          <w:bCs/>
          <w:color w:val="auto"/>
          <w:highlight w:val="none"/>
          <w:lang w:val="zh-CN"/>
        </w:rPr>
        <w:fldChar w:fldCharType="begin"/>
      </w:r>
      <w:r>
        <w:rPr>
          <w:bCs/>
          <w:highlight w:val="none"/>
          <w:lang w:val="zh-CN"/>
        </w:rPr>
        <w:instrText xml:space="preserve"> HYPERLINK \l _Toc30535 </w:instrText>
      </w:r>
      <w:r>
        <w:rPr>
          <w:bCs/>
          <w:highlight w:val="none"/>
          <w:lang w:val="zh-CN"/>
        </w:rPr>
        <w:fldChar w:fldCharType="separate"/>
      </w:r>
      <w:r>
        <w:rPr>
          <w:highlight w:val="none"/>
        </w:rPr>
        <w:t xml:space="preserve">5.3 </w:t>
      </w:r>
      <w:r>
        <w:rPr>
          <w:rFonts w:hint="eastAsia"/>
          <w:highlight w:val="none"/>
        </w:rPr>
        <w:t>开标异议</w:t>
      </w:r>
      <w:r>
        <w:tab/>
      </w:r>
      <w:r>
        <w:fldChar w:fldCharType="begin"/>
      </w:r>
      <w:r>
        <w:instrText xml:space="preserve"> PAGEREF _Toc30535 \h </w:instrText>
      </w:r>
      <w:r>
        <w:fldChar w:fldCharType="separate"/>
      </w:r>
      <w:r>
        <w:t>22</w:t>
      </w:r>
      <w:r>
        <w:fldChar w:fldCharType="end"/>
      </w:r>
      <w:r>
        <w:rPr>
          <w:bCs/>
          <w:color w:val="auto"/>
          <w:highlight w:val="none"/>
          <w:lang w:val="zh-CN"/>
        </w:rPr>
        <w:fldChar w:fldCharType="end"/>
      </w:r>
    </w:p>
    <w:p w14:paraId="213A078B">
      <w:pPr>
        <w:pStyle w:val="8"/>
        <w:tabs>
          <w:tab w:val="right" w:leader="dot" w:pos="8290"/>
        </w:tabs>
      </w:pPr>
      <w:r>
        <w:rPr>
          <w:bCs/>
          <w:color w:val="auto"/>
          <w:highlight w:val="none"/>
          <w:lang w:val="zh-CN"/>
        </w:rPr>
        <w:fldChar w:fldCharType="begin"/>
      </w:r>
      <w:r>
        <w:rPr>
          <w:bCs/>
          <w:highlight w:val="none"/>
          <w:lang w:val="zh-CN"/>
        </w:rPr>
        <w:instrText xml:space="preserve"> HYPERLINK \l _Toc28874 </w:instrText>
      </w:r>
      <w:r>
        <w:rPr>
          <w:bCs/>
          <w:highlight w:val="none"/>
          <w:lang w:val="zh-CN"/>
        </w:rPr>
        <w:fldChar w:fldCharType="separate"/>
      </w:r>
      <w:r>
        <w:rPr>
          <w:highlight w:val="none"/>
        </w:rPr>
        <w:t xml:space="preserve">5.4 </w:t>
      </w:r>
      <w:r>
        <w:rPr>
          <w:rFonts w:hint="eastAsia"/>
          <w:highlight w:val="none"/>
        </w:rPr>
        <w:t>特殊情况的处置</w:t>
      </w:r>
      <w:r>
        <w:tab/>
      </w:r>
      <w:r>
        <w:fldChar w:fldCharType="begin"/>
      </w:r>
      <w:r>
        <w:instrText xml:space="preserve"> PAGEREF _Toc28874 \h </w:instrText>
      </w:r>
      <w:r>
        <w:fldChar w:fldCharType="separate"/>
      </w:r>
      <w:r>
        <w:t>22</w:t>
      </w:r>
      <w:r>
        <w:fldChar w:fldCharType="end"/>
      </w:r>
      <w:r>
        <w:rPr>
          <w:bCs/>
          <w:color w:val="auto"/>
          <w:highlight w:val="none"/>
          <w:lang w:val="zh-CN"/>
        </w:rPr>
        <w:fldChar w:fldCharType="end"/>
      </w:r>
    </w:p>
    <w:p w14:paraId="27542F93">
      <w:pPr>
        <w:pStyle w:val="13"/>
        <w:tabs>
          <w:tab w:val="right" w:leader="dot" w:pos="8290"/>
        </w:tabs>
      </w:pPr>
      <w:r>
        <w:rPr>
          <w:bCs/>
          <w:color w:val="auto"/>
          <w:highlight w:val="none"/>
          <w:lang w:val="zh-CN"/>
        </w:rPr>
        <w:fldChar w:fldCharType="begin"/>
      </w:r>
      <w:r>
        <w:rPr>
          <w:bCs/>
          <w:highlight w:val="none"/>
          <w:lang w:val="zh-CN"/>
        </w:rPr>
        <w:instrText xml:space="preserve"> HYPERLINK \l _Toc19168 </w:instrText>
      </w:r>
      <w:r>
        <w:rPr>
          <w:bCs/>
          <w:highlight w:val="none"/>
          <w:lang w:val="zh-CN"/>
        </w:rPr>
        <w:fldChar w:fldCharType="separate"/>
      </w:r>
      <w:r>
        <w:rPr>
          <w:highlight w:val="none"/>
        </w:rPr>
        <w:t xml:space="preserve">6. </w:t>
      </w:r>
      <w:r>
        <w:rPr>
          <w:rFonts w:hint="eastAsia"/>
          <w:highlight w:val="none"/>
        </w:rPr>
        <w:t>评标</w:t>
      </w:r>
      <w:r>
        <w:tab/>
      </w:r>
      <w:r>
        <w:fldChar w:fldCharType="begin"/>
      </w:r>
      <w:r>
        <w:instrText xml:space="preserve"> PAGEREF _Toc19168 \h </w:instrText>
      </w:r>
      <w:r>
        <w:fldChar w:fldCharType="separate"/>
      </w:r>
      <w:r>
        <w:t>23</w:t>
      </w:r>
      <w:r>
        <w:fldChar w:fldCharType="end"/>
      </w:r>
      <w:r>
        <w:rPr>
          <w:bCs/>
          <w:color w:val="auto"/>
          <w:highlight w:val="none"/>
          <w:lang w:val="zh-CN"/>
        </w:rPr>
        <w:fldChar w:fldCharType="end"/>
      </w:r>
    </w:p>
    <w:p w14:paraId="6770378C">
      <w:pPr>
        <w:pStyle w:val="8"/>
        <w:tabs>
          <w:tab w:val="right" w:leader="dot" w:pos="8290"/>
        </w:tabs>
      </w:pPr>
      <w:r>
        <w:rPr>
          <w:bCs/>
          <w:color w:val="auto"/>
          <w:highlight w:val="none"/>
          <w:lang w:val="zh-CN"/>
        </w:rPr>
        <w:fldChar w:fldCharType="begin"/>
      </w:r>
      <w:r>
        <w:rPr>
          <w:bCs/>
          <w:highlight w:val="none"/>
          <w:lang w:val="zh-CN"/>
        </w:rPr>
        <w:instrText xml:space="preserve"> HYPERLINK \l _Toc2735 </w:instrText>
      </w:r>
      <w:r>
        <w:rPr>
          <w:bCs/>
          <w:highlight w:val="none"/>
          <w:lang w:val="zh-CN"/>
        </w:rPr>
        <w:fldChar w:fldCharType="separate"/>
      </w:r>
      <w:r>
        <w:rPr>
          <w:highlight w:val="none"/>
        </w:rPr>
        <w:t xml:space="preserve">6.1 </w:t>
      </w:r>
      <w:r>
        <w:rPr>
          <w:rFonts w:hint="eastAsia"/>
          <w:highlight w:val="none"/>
        </w:rPr>
        <w:t>评标委员会</w:t>
      </w:r>
      <w:r>
        <w:tab/>
      </w:r>
      <w:r>
        <w:fldChar w:fldCharType="begin"/>
      </w:r>
      <w:r>
        <w:instrText xml:space="preserve"> PAGEREF _Toc2735 \h </w:instrText>
      </w:r>
      <w:r>
        <w:fldChar w:fldCharType="separate"/>
      </w:r>
      <w:r>
        <w:t>23</w:t>
      </w:r>
      <w:r>
        <w:fldChar w:fldCharType="end"/>
      </w:r>
      <w:r>
        <w:rPr>
          <w:bCs/>
          <w:color w:val="auto"/>
          <w:highlight w:val="none"/>
          <w:lang w:val="zh-CN"/>
        </w:rPr>
        <w:fldChar w:fldCharType="end"/>
      </w:r>
    </w:p>
    <w:p w14:paraId="6739DFBE">
      <w:pPr>
        <w:pStyle w:val="8"/>
        <w:tabs>
          <w:tab w:val="right" w:leader="dot" w:pos="8290"/>
        </w:tabs>
      </w:pPr>
      <w:r>
        <w:rPr>
          <w:bCs/>
          <w:color w:val="auto"/>
          <w:highlight w:val="none"/>
          <w:lang w:val="zh-CN"/>
        </w:rPr>
        <w:fldChar w:fldCharType="begin"/>
      </w:r>
      <w:r>
        <w:rPr>
          <w:bCs/>
          <w:highlight w:val="none"/>
          <w:lang w:val="zh-CN"/>
        </w:rPr>
        <w:instrText xml:space="preserve"> HYPERLINK \l _Toc15167 </w:instrText>
      </w:r>
      <w:r>
        <w:rPr>
          <w:bCs/>
          <w:highlight w:val="none"/>
          <w:lang w:val="zh-CN"/>
        </w:rPr>
        <w:fldChar w:fldCharType="separate"/>
      </w:r>
      <w:r>
        <w:rPr>
          <w:highlight w:val="none"/>
        </w:rPr>
        <w:t xml:space="preserve">6.2 </w:t>
      </w:r>
      <w:r>
        <w:rPr>
          <w:rFonts w:hint="eastAsia"/>
          <w:highlight w:val="none"/>
        </w:rPr>
        <w:t>评标原则</w:t>
      </w:r>
      <w:r>
        <w:tab/>
      </w:r>
      <w:r>
        <w:fldChar w:fldCharType="begin"/>
      </w:r>
      <w:r>
        <w:instrText xml:space="preserve"> PAGEREF _Toc15167 \h </w:instrText>
      </w:r>
      <w:r>
        <w:fldChar w:fldCharType="separate"/>
      </w:r>
      <w:r>
        <w:t>23</w:t>
      </w:r>
      <w:r>
        <w:fldChar w:fldCharType="end"/>
      </w:r>
      <w:r>
        <w:rPr>
          <w:bCs/>
          <w:color w:val="auto"/>
          <w:highlight w:val="none"/>
          <w:lang w:val="zh-CN"/>
        </w:rPr>
        <w:fldChar w:fldCharType="end"/>
      </w:r>
    </w:p>
    <w:p w14:paraId="4E56C5B1">
      <w:pPr>
        <w:pStyle w:val="8"/>
        <w:tabs>
          <w:tab w:val="right" w:leader="dot" w:pos="8290"/>
        </w:tabs>
      </w:pPr>
      <w:r>
        <w:rPr>
          <w:bCs/>
          <w:color w:val="auto"/>
          <w:highlight w:val="none"/>
          <w:lang w:val="zh-CN"/>
        </w:rPr>
        <w:fldChar w:fldCharType="begin"/>
      </w:r>
      <w:r>
        <w:rPr>
          <w:bCs/>
          <w:highlight w:val="none"/>
          <w:lang w:val="zh-CN"/>
        </w:rPr>
        <w:instrText xml:space="preserve"> HYPERLINK \l _Toc2823 </w:instrText>
      </w:r>
      <w:r>
        <w:rPr>
          <w:bCs/>
          <w:highlight w:val="none"/>
          <w:lang w:val="zh-CN"/>
        </w:rPr>
        <w:fldChar w:fldCharType="separate"/>
      </w:r>
      <w:r>
        <w:rPr>
          <w:highlight w:val="none"/>
        </w:rPr>
        <w:t xml:space="preserve">6.3 </w:t>
      </w:r>
      <w:r>
        <w:rPr>
          <w:rFonts w:hint="eastAsia"/>
          <w:highlight w:val="none"/>
        </w:rPr>
        <w:t>评标</w:t>
      </w:r>
      <w:r>
        <w:tab/>
      </w:r>
      <w:r>
        <w:fldChar w:fldCharType="begin"/>
      </w:r>
      <w:r>
        <w:instrText xml:space="preserve"> PAGEREF _Toc2823 \h </w:instrText>
      </w:r>
      <w:r>
        <w:fldChar w:fldCharType="separate"/>
      </w:r>
      <w:r>
        <w:t>23</w:t>
      </w:r>
      <w:r>
        <w:fldChar w:fldCharType="end"/>
      </w:r>
      <w:r>
        <w:rPr>
          <w:bCs/>
          <w:color w:val="auto"/>
          <w:highlight w:val="none"/>
          <w:lang w:val="zh-CN"/>
        </w:rPr>
        <w:fldChar w:fldCharType="end"/>
      </w:r>
    </w:p>
    <w:p w14:paraId="5743CFC1">
      <w:pPr>
        <w:pStyle w:val="8"/>
        <w:tabs>
          <w:tab w:val="right" w:leader="dot" w:pos="8290"/>
        </w:tabs>
      </w:pPr>
      <w:r>
        <w:rPr>
          <w:bCs/>
          <w:color w:val="auto"/>
          <w:highlight w:val="none"/>
          <w:lang w:val="zh-CN"/>
        </w:rPr>
        <w:fldChar w:fldCharType="begin"/>
      </w:r>
      <w:r>
        <w:rPr>
          <w:bCs/>
          <w:highlight w:val="none"/>
          <w:lang w:val="zh-CN"/>
        </w:rPr>
        <w:instrText xml:space="preserve"> HYPERLINK \l _Toc8953 </w:instrText>
      </w:r>
      <w:r>
        <w:rPr>
          <w:bCs/>
          <w:highlight w:val="none"/>
          <w:lang w:val="zh-CN"/>
        </w:rPr>
        <w:fldChar w:fldCharType="separate"/>
      </w:r>
      <w:r>
        <w:rPr>
          <w:highlight w:val="none"/>
        </w:rPr>
        <w:t xml:space="preserve">6.4 </w:t>
      </w:r>
      <w:r>
        <w:rPr>
          <w:rFonts w:hint="eastAsia"/>
          <w:highlight w:val="none"/>
        </w:rPr>
        <w:t>评标结果公示</w:t>
      </w:r>
      <w:r>
        <w:tab/>
      </w:r>
      <w:r>
        <w:fldChar w:fldCharType="begin"/>
      </w:r>
      <w:r>
        <w:instrText xml:space="preserve"> PAGEREF _Toc8953 \h </w:instrText>
      </w:r>
      <w:r>
        <w:fldChar w:fldCharType="separate"/>
      </w:r>
      <w:r>
        <w:t>23</w:t>
      </w:r>
      <w:r>
        <w:fldChar w:fldCharType="end"/>
      </w:r>
      <w:r>
        <w:rPr>
          <w:bCs/>
          <w:color w:val="auto"/>
          <w:highlight w:val="none"/>
          <w:lang w:val="zh-CN"/>
        </w:rPr>
        <w:fldChar w:fldCharType="end"/>
      </w:r>
    </w:p>
    <w:p w14:paraId="08D6AA0F">
      <w:pPr>
        <w:pStyle w:val="8"/>
        <w:tabs>
          <w:tab w:val="right" w:leader="dot" w:pos="8290"/>
        </w:tabs>
      </w:pPr>
      <w:r>
        <w:rPr>
          <w:bCs/>
          <w:color w:val="auto"/>
          <w:highlight w:val="none"/>
          <w:lang w:val="zh-CN"/>
        </w:rPr>
        <w:fldChar w:fldCharType="begin"/>
      </w:r>
      <w:r>
        <w:rPr>
          <w:bCs/>
          <w:highlight w:val="none"/>
          <w:lang w:val="zh-CN"/>
        </w:rPr>
        <w:instrText xml:space="preserve"> HYPERLINK \l _Toc562 </w:instrText>
      </w:r>
      <w:r>
        <w:rPr>
          <w:bCs/>
          <w:highlight w:val="none"/>
          <w:lang w:val="zh-CN"/>
        </w:rPr>
        <w:fldChar w:fldCharType="separate"/>
      </w:r>
      <w:r>
        <w:rPr>
          <w:highlight w:val="none"/>
        </w:rPr>
        <w:t xml:space="preserve">6.5 </w:t>
      </w:r>
      <w:r>
        <w:rPr>
          <w:rFonts w:hint="eastAsia"/>
          <w:highlight w:val="none"/>
        </w:rPr>
        <w:t>履约能力的审查（如有）</w:t>
      </w:r>
      <w:r>
        <w:tab/>
      </w:r>
      <w:r>
        <w:fldChar w:fldCharType="begin"/>
      </w:r>
      <w:r>
        <w:instrText xml:space="preserve"> PAGEREF _Toc562 \h </w:instrText>
      </w:r>
      <w:r>
        <w:fldChar w:fldCharType="separate"/>
      </w:r>
      <w:r>
        <w:t>23</w:t>
      </w:r>
      <w:r>
        <w:fldChar w:fldCharType="end"/>
      </w:r>
      <w:r>
        <w:rPr>
          <w:bCs/>
          <w:color w:val="auto"/>
          <w:highlight w:val="none"/>
          <w:lang w:val="zh-CN"/>
        </w:rPr>
        <w:fldChar w:fldCharType="end"/>
      </w:r>
    </w:p>
    <w:p w14:paraId="74613313">
      <w:pPr>
        <w:pStyle w:val="13"/>
        <w:tabs>
          <w:tab w:val="right" w:leader="dot" w:pos="8290"/>
        </w:tabs>
      </w:pPr>
      <w:r>
        <w:rPr>
          <w:bCs/>
          <w:color w:val="auto"/>
          <w:highlight w:val="none"/>
          <w:lang w:val="zh-CN"/>
        </w:rPr>
        <w:fldChar w:fldCharType="begin"/>
      </w:r>
      <w:r>
        <w:rPr>
          <w:bCs/>
          <w:highlight w:val="none"/>
          <w:lang w:val="zh-CN"/>
        </w:rPr>
        <w:instrText xml:space="preserve"> HYPERLINK \l _Toc30854 </w:instrText>
      </w:r>
      <w:r>
        <w:rPr>
          <w:bCs/>
          <w:highlight w:val="none"/>
          <w:lang w:val="zh-CN"/>
        </w:rPr>
        <w:fldChar w:fldCharType="separate"/>
      </w:r>
      <w:r>
        <w:rPr>
          <w:highlight w:val="none"/>
        </w:rPr>
        <w:t xml:space="preserve">7. </w:t>
      </w:r>
      <w:r>
        <w:rPr>
          <w:rFonts w:hint="eastAsia"/>
          <w:highlight w:val="none"/>
        </w:rPr>
        <w:t>合同授予</w:t>
      </w:r>
      <w:r>
        <w:tab/>
      </w:r>
      <w:r>
        <w:fldChar w:fldCharType="begin"/>
      </w:r>
      <w:r>
        <w:instrText xml:space="preserve"> PAGEREF _Toc30854 \h </w:instrText>
      </w:r>
      <w:r>
        <w:fldChar w:fldCharType="separate"/>
      </w:r>
      <w:r>
        <w:t>23</w:t>
      </w:r>
      <w:r>
        <w:fldChar w:fldCharType="end"/>
      </w:r>
      <w:r>
        <w:rPr>
          <w:bCs/>
          <w:color w:val="auto"/>
          <w:highlight w:val="none"/>
          <w:lang w:val="zh-CN"/>
        </w:rPr>
        <w:fldChar w:fldCharType="end"/>
      </w:r>
    </w:p>
    <w:p w14:paraId="5F64C358">
      <w:pPr>
        <w:pStyle w:val="8"/>
        <w:tabs>
          <w:tab w:val="right" w:leader="dot" w:pos="8290"/>
        </w:tabs>
      </w:pPr>
      <w:r>
        <w:rPr>
          <w:bCs/>
          <w:color w:val="auto"/>
          <w:highlight w:val="none"/>
          <w:lang w:val="zh-CN"/>
        </w:rPr>
        <w:fldChar w:fldCharType="begin"/>
      </w:r>
      <w:r>
        <w:rPr>
          <w:bCs/>
          <w:highlight w:val="none"/>
          <w:lang w:val="zh-CN"/>
        </w:rPr>
        <w:instrText xml:space="preserve"> HYPERLINK \l _Toc32255 </w:instrText>
      </w:r>
      <w:r>
        <w:rPr>
          <w:bCs/>
          <w:highlight w:val="none"/>
          <w:lang w:val="zh-CN"/>
        </w:rPr>
        <w:fldChar w:fldCharType="separate"/>
      </w:r>
      <w:r>
        <w:rPr>
          <w:highlight w:val="none"/>
        </w:rPr>
        <w:t xml:space="preserve">7.1 </w:t>
      </w:r>
      <w:r>
        <w:rPr>
          <w:rFonts w:hint="eastAsia"/>
          <w:highlight w:val="none"/>
        </w:rPr>
        <w:t>定标方式</w:t>
      </w:r>
      <w:r>
        <w:tab/>
      </w:r>
      <w:r>
        <w:fldChar w:fldCharType="begin"/>
      </w:r>
      <w:r>
        <w:instrText xml:space="preserve"> PAGEREF _Toc32255 \h </w:instrText>
      </w:r>
      <w:r>
        <w:fldChar w:fldCharType="separate"/>
      </w:r>
      <w:r>
        <w:t>23</w:t>
      </w:r>
      <w:r>
        <w:fldChar w:fldCharType="end"/>
      </w:r>
      <w:r>
        <w:rPr>
          <w:bCs/>
          <w:color w:val="auto"/>
          <w:highlight w:val="none"/>
          <w:lang w:val="zh-CN"/>
        </w:rPr>
        <w:fldChar w:fldCharType="end"/>
      </w:r>
    </w:p>
    <w:p w14:paraId="35688AEC">
      <w:pPr>
        <w:pStyle w:val="8"/>
        <w:tabs>
          <w:tab w:val="right" w:leader="dot" w:pos="8290"/>
        </w:tabs>
      </w:pPr>
      <w:r>
        <w:rPr>
          <w:bCs/>
          <w:color w:val="auto"/>
          <w:highlight w:val="none"/>
          <w:lang w:val="zh-CN"/>
        </w:rPr>
        <w:fldChar w:fldCharType="begin"/>
      </w:r>
      <w:r>
        <w:rPr>
          <w:bCs/>
          <w:highlight w:val="none"/>
          <w:lang w:val="zh-CN"/>
        </w:rPr>
        <w:instrText xml:space="preserve"> HYPERLINK \l _Toc1765 </w:instrText>
      </w:r>
      <w:r>
        <w:rPr>
          <w:bCs/>
          <w:highlight w:val="none"/>
          <w:lang w:val="zh-CN"/>
        </w:rPr>
        <w:fldChar w:fldCharType="separate"/>
      </w:r>
      <w:r>
        <w:rPr>
          <w:highlight w:val="none"/>
        </w:rPr>
        <w:t xml:space="preserve">7.2 </w:t>
      </w:r>
      <w:r>
        <w:rPr>
          <w:rFonts w:hint="eastAsia"/>
          <w:highlight w:val="none"/>
        </w:rPr>
        <w:t>中标通知</w:t>
      </w:r>
      <w:r>
        <w:tab/>
      </w:r>
      <w:r>
        <w:fldChar w:fldCharType="begin"/>
      </w:r>
      <w:r>
        <w:instrText xml:space="preserve"> PAGEREF _Toc1765 \h </w:instrText>
      </w:r>
      <w:r>
        <w:fldChar w:fldCharType="separate"/>
      </w:r>
      <w:r>
        <w:t>23</w:t>
      </w:r>
      <w:r>
        <w:fldChar w:fldCharType="end"/>
      </w:r>
      <w:r>
        <w:rPr>
          <w:bCs/>
          <w:color w:val="auto"/>
          <w:highlight w:val="none"/>
          <w:lang w:val="zh-CN"/>
        </w:rPr>
        <w:fldChar w:fldCharType="end"/>
      </w:r>
    </w:p>
    <w:p w14:paraId="43811C91">
      <w:pPr>
        <w:pStyle w:val="8"/>
        <w:tabs>
          <w:tab w:val="right" w:leader="dot" w:pos="8290"/>
        </w:tabs>
      </w:pPr>
      <w:r>
        <w:rPr>
          <w:bCs/>
          <w:color w:val="auto"/>
          <w:highlight w:val="none"/>
          <w:lang w:val="zh-CN"/>
        </w:rPr>
        <w:fldChar w:fldCharType="begin"/>
      </w:r>
      <w:r>
        <w:rPr>
          <w:bCs/>
          <w:highlight w:val="none"/>
          <w:lang w:val="zh-CN"/>
        </w:rPr>
        <w:instrText xml:space="preserve"> HYPERLINK \l _Toc26673 </w:instrText>
      </w:r>
      <w:r>
        <w:rPr>
          <w:bCs/>
          <w:highlight w:val="none"/>
          <w:lang w:val="zh-CN"/>
        </w:rPr>
        <w:fldChar w:fldCharType="separate"/>
      </w:r>
      <w:r>
        <w:rPr>
          <w:highlight w:val="none"/>
        </w:rPr>
        <w:t xml:space="preserve">7.3 </w:t>
      </w:r>
      <w:r>
        <w:rPr>
          <w:rFonts w:hint="eastAsia"/>
          <w:highlight w:val="none"/>
        </w:rPr>
        <w:t>履约保证金</w:t>
      </w:r>
      <w:r>
        <w:tab/>
      </w:r>
      <w:r>
        <w:fldChar w:fldCharType="begin"/>
      </w:r>
      <w:r>
        <w:instrText xml:space="preserve"> PAGEREF _Toc26673 \h </w:instrText>
      </w:r>
      <w:r>
        <w:fldChar w:fldCharType="separate"/>
      </w:r>
      <w:r>
        <w:t>24</w:t>
      </w:r>
      <w:r>
        <w:fldChar w:fldCharType="end"/>
      </w:r>
      <w:r>
        <w:rPr>
          <w:bCs/>
          <w:color w:val="auto"/>
          <w:highlight w:val="none"/>
          <w:lang w:val="zh-CN"/>
        </w:rPr>
        <w:fldChar w:fldCharType="end"/>
      </w:r>
    </w:p>
    <w:p w14:paraId="5C51B9C3">
      <w:pPr>
        <w:pStyle w:val="8"/>
        <w:tabs>
          <w:tab w:val="right" w:leader="dot" w:pos="8290"/>
        </w:tabs>
      </w:pPr>
      <w:r>
        <w:rPr>
          <w:bCs/>
          <w:color w:val="auto"/>
          <w:highlight w:val="none"/>
          <w:lang w:val="zh-CN"/>
        </w:rPr>
        <w:fldChar w:fldCharType="begin"/>
      </w:r>
      <w:r>
        <w:rPr>
          <w:bCs/>
          <w:highlight w:val="none"/>
          <w:lang w:val="zh-CN"/>
        </w:rPr>
        <w:instrText xml:space="preserve"> HYPERLINK \l _Toc14471 </w:instrText>
      </w:r>
      <w:r>
        <w:rPr>
          <w:bCs/>
          <w:highlight w:val="none"/>
          <w:lang w:val="zh-CN"/>
        </w:rPr>
        <w:fldChar w:fldCharType="separate"/>
      </w:r>
      <w:r>
        <w:rPr>
          <w:highlight w:val="none"/>
        </w:rPr>
        <w:t xml:space="preserve">7.4 </w:t>
      </w:r>
      <w:r>
        <w:rPr>
          <w:rFonts w:hint="eastAsia"/>
          <w:highlight w:val="none"/>
        </w:rPr>
        <w:t>签订合同</w:t>
      </w:r>
      <w:r>
        <w:tab/>
      </w:r>
      <w:r>
        <w:fldChar w:fldCharType="begin"/>
      </w:r>
      <w:r>
        <w:instrText xml:space="preserve"> PAGEREF _Toc14471 \h </w:instrText>
      </w:r>
      <w:r>
        <w:fldChar w:fldCharType="separate"/>
      </w:r>
      <w:r>
        <w:t>24</w:t>
      </w:r>
      <w:r>
        <w:fldChar w:fldCharType="end"/>
      </w:r>
      <w:r>
        <w:rPr>
          <w:bCs/>
          <w:color w:val="auto"/>
          <w:highlight w:val="none"/>
          <w:lang w:val="zh-CN"/>
        </w:rPr>
        <w:fldChar w:fldCharType="end"/>
      </w:r>
    </w:p>
    <w:p w14:paraId="5FD64E26">
      <w:pPr>
        <w:pStyle w:val="13"/>
        <w:tabs>
          <w:tab w:val="right" w:leader="dot" w:pos="8290"/>
        </w:tabs>
      </w:pPr>
      <w:r>
        <w:rPr>
          <w:bCs/>
          <w:color w:val="auto"/>
          <w:highlight w:val="none"/>
          <w:lang w:val="zh-CN"/>
        </w:rPr>
        <w:fldChar w:fldCharType="begin"/>
      </w:r>
      <w:r>
        <w:rPr>
          <w:bCs/>
          <w:highlight w:val="none"/>
          <w:lang w:val="zh-CN"/>
        </w:rPr>
        <w:instrText xml:space="preserve"> HYPERLINK \l _Toc29251 </w:instrText>
      </w:r>
      <w:r>
        <w:rPr>
          <w:bCs/>
          <w:highlight w:val="none"/>
          <w:lang w:val="zh-CN"/>
        </w:rPr>
        <w:fldChar w:fldCharType="separate"/>
      </w:r>
      <w:r>
        <w:rPr>
          <w:highlight w:val="none"/>
        </w:rPr>
        <w:t xml:space="preserve">8. </w:t>
      </w:r>
      <w:r>
        <w:rPr>
          <w:rFonts w:hint="eastAsia"/>
          <w:highlight w:val="none"/>
        </w:rPr>
        <w:t>重新招标、不再招标和终止招标</w:t>
      </w:r>
      <w:r>
        <w:tab/>
      </w:r>
      <w:r>
        <w:fldChar w:fldCharType="begin"/>
      </w:r>
      <w:r>
        <w:instrText xml:space="preserve"> PAGEREF _Toc29251 \h </w:instrText>
      </w:r>
      <w:r>
        <w:fldChar w:fldCharType="separate"/>
      </w:r>
      <w:r>
        <w:t>24</w:t>
      </w:r>
      <w:r>
        <w:fldChar w:fldCharType="end"/>
      </w:r>
      <w:r>
        <w:rPr>
          <w:bCs/>
          <w:color w:val="auto"/>
          <w:highlight w:val="none"/>
          <w:lang w:val="zh-CN"/>
        </w:rPr>
        <w:fldChar w:fldCharType="end"/>
      </w:r>
    </w:p>
    <w:p w14:paraId="462B2D77">
      <w:pPr>
        <w:pStyle w:val="8"/>
        <w:tabs>
          <w:tab w:val="right" w:leader="dot" w:pos="8290"/>
        </w:tabs>
      </w:pPr>
      <w:r>
        <w:rPr>
          <w:bCs/>
          <w:color w:val="auto"/>
          <w:highlight w:val="none"/>
          <w:lang w:val="zh-CN"/>
        </w:rPr>
        <w:fldChar w:fldCharType="begin"/>
      </w:r>
      <w:r>
        <w:rPr>
          <w:bCs/>
          <w:highlight w:val="none"/>
          <w:lang w:val="zh-CN"/>
        </w:rPr>
        <w:instrText xml:space="preserve"> HYPERLINK \l _Toc28292 </w:instrText>
      </w:r>
      <w:r>
        <w:rPr>
          <w:bCs/>
          <w:highlight w:val="none"/>
          <w:lang w:val="zh-CN"/>
        </w:rPr>
        <w:fldChar w:fldCharType="separate"/>
      </w:r>
      <w:r>
        <w:rPr>
          <w:highlight w:val="none"/>
        </w:rPr>
        <w:t xml:space="preserve">8.1 </w:t>
      </w:r>
      <w:r>
        <w:rPr>
          <w:rFonts w:hint="eastAsia"/>
          <w:highlight w:val="none"/>
        </w:rPr>
        <w:t>重新招标</w:t>
      </w:r>
      <w:r>
        <w:tab/>
      </w:r>
      <w:r>
        <w:fldChar w:fldCharType="begin"/>
      </w:r>
      <w:r>
        <w:instrText xml:space="preserve"> PAGEREF _Toc28292 \h </w:instrText>
      </w:r>
      <w:r>
        <w:fldChar w:fldCharType="separate"/>
      </w:r>
      <w:r>
        <w:t>24</w:t>
      </w:r>
      <w:r>
        <w:fldChar w:fldCharType="end"/>
      </w:r>
      <w:r>
        <w:rPr>
          <w:bCs/>
          <w:color w:val="auto"/>
          <w:highlight w:val="none"/>
          <w:lang w:val="zh-CN"/>
        </w:rPr>
        <w:fldChar w:fldCharType="end"/>
      </w:r>
    </w:p>
    <w:p w14:paraId="6DCB5CC3">
      <w:pPr>
        <w:pStyle w:val="8"/>
        <w:tabs>
          <w:tab w:val="right" w:leader="dot" w:pos="8290"/>
        </w:tabs>
      </w:pPr>
      <w:r>
        <w:rPr>
          <w:bCs/>
          <w:color w:val="auto"/>
          <w:highlight w:val="none"/>
          <w:lang w:val="zh-CN"/>
        </w:rPr>
        <w:fldChar w:fldCharType="begin"/>
      </w:r>
      <w:r>
        <w:rPr>
          <w:bCs/>
          <w:highlight w:val="none"/>
          <w:lang w:val="zh-CN"/>
        </w:rPr>
        <w:instrText xml:space="preserve"> HYPERLINK \l _Toc16468 </w:instrText>
      </w:r>
      <w:r>
        <w:rPr>
          <w:bCs/>
          <w:highlight w:val="none"/>
          <w:lang w:val="zh-CN"/>
        </w:rPr>
        <w:fldChar w:fldCharType="separate"/>
      </w:r>
      <w:r>
        <w:rPr>
          <w:highlight w:val="none"/>
        </w:rPr>
        <w:t xml:space="preserve">8.2 </w:t>
      </w:r>
      <w:r>
        <w:rPr>
          <w:rFonts w:hint="eastAsia"/>
          <w:highlight w:val="none"/>
        </w:rPr>
        <w:t>不再招标</w:t>
      </w:r>
      <w:r>
        <w:tab/>
      </w:r>
      <w:r>
        <w:fldChar w:fldCharType="begin"/>
      </w:r>
      <w:r>
        <w:instrText xml:space="preserve"> PAGEREF _Toc16468 \h </w:instrText>
      </w:r>
      <w:r>
        <w:fldChar w:fldCharType="separate"/>
      </w:r>
      <w:r>
        <w:t>24</w:t>
      </w:r>
      <w:r>
        <w:fldChar w:fldCharType="end"/>
      </w:r>
      <w:r>
        <w:rPr>
          <w:bCs/>
          <w:color w:val="auto"/>
          <w:highlight w:val="none"/>
          <w:lang w:val="zh-CN"/>
        </w:rPr>
        <w:fldChar w:fldCharType="end"/>
      </w:r>
    </w:p>
    <w:p w14:paraId="5212BAEB">
      <w:pPr>
        <w:pStyle w:val="8"/>
        <w:tabs>
          <w:tab w:val="right" w:leader="dot" w:pos="8290"/>
        </w:tabs>
      </w:pPr>
      <w:r>
        <w:rPr>
          <w:bCs/>
          <w:color w:val="auto"/>
          <w:highlight w:val="none"/>
          <w:lang w:val="zh-CN"/>
        </w:rPr>
        <w:fldChar w:fldCharType="begin"/>
      </w:r>
      <w:r>
        <w:rPr>
          <w:bCs/>
          <w:highlight w:val="none"/>
          <w:lang w:val="zh-CN"/>
        </w:rPr>
        <w:instrText xml:space="preserve"> HYPERLINK \l _Toc28250 </w:instrText>
      </w:r>
      <w:r>
        <w:rPr>
          <w:bCs/>
          <w:highlight w:val="none"/>
          <w:lang w:val="zh-CN"/>
        </w:rPr>
        <w:fldChar w:fldCharType="separate"/>
      </w:r>
      <w:r>
        <w:rPr>
          <w:highlight w:val="none"/>
        </w:rPr>
        <w:t xml:space="preserve">8.3 </w:t>
      </w:r>
      <w:r>
        <w:rPr>
          <w:rFonts w:hint="eastAsia"/>
          <w:highlight w:val="none"/>
        </w:rPr>
        <w:t>终止招标</w:t>
      </w:r>
      <w:r>
        <w:tab/>
      </w:r>
      <w:r>
        <w:fldChar w:fldCharType="begin"/>
      </w:r>
      <w:r>
        <w:instrText xml:space="preserve"> PAGEREF _Toc28250 \h </w:instrText>
      </w:r>
      <w:r>
        <w:fldChar w:fldCharType="separate"/>
      </w:r>
      <w:r>
        <w:t>25</w:t>
      </w:r>
      <w:r>
        <w:fldChar w:fldCharType="end"/>
      </w:r>
      <w:r>
        <w:rPr>
          <w:bCs/>
          <w:color w:val="auto"/>
          <w:highlight w:val="none"/>
          <w:lang w:val="zh-CN"/>
        </w:rPr>
        <w:fldChar w:fldCharType="end"/>
      </w:r>
    </w:p>
    <w:p w14:paraId="20EDCF81">
      <w:pPr>
        <w:pStyle w:val="13"/>
        <w:tabs>
          <w:tab w:val="right" w:leader="dot" w:pos="8290"/>
        </w:tabs>
      </w:pPr>
      <w:r>
        <w:rPr>
          <w:bCs/>
          <w:color w:val="auto"/>
          <w:highlight w:val="none"/>
          <w:lang w:val="zh-CN"/>
        </w:rPr>
        <w:fldChar w:fldCharType="begin"/>
      </w:r>
      <w:r>
        <w:rPr>
          <w:bCs/>
          <w:highlight w:val="none"/>
          <w:lang w:val="zh-CN"/>
        </w:rPr>
        <w:instrText xml:space="preserve"> HYPERLINK \l _Toc21596 </w:instrText>
      </w:r>
      <w:r>
        <w:rPr>
          <w:bCs/>
          <w:highlight w:val="none"/>
          <w:lang w:val="zh-CN"/>
        </w:rPr>
        <w:fldChar w:fldCharType="separate"/>
      </w:r>
      <w:r>
        <w:rPr>
          <w:highlight w:val="none"/>
        </w:rPr>
        <w:t xml:space="preserve">9. </w:t>
      </w:r>
      <w:r>
        <w:rPr>
          <w:rFonts w:hint="eastAsia"/>
          <w:highlight w:val="none"/>
        </w:rPr>
        <w:t>纪律和监督</w:t>
      </w:r>
      <w:r>
        <w:tab/>
      </w:r>
      <w:r>
        <w:fldChar w:fldCharType="begin"/>
      </w:r>
      <w:r>
        <w:instrText xml:space="preserve"> PAGEREF _Toc21596 \h </w:instrText>
      </w:r>
      <w:r>
        <w:fldChar w:fldCharType="separate"/>
      </w:r>
      <w:r>
        <w:t>25</w:t>
      </w:r>
      <w:r>
        <w:fldChar w:fldCharType="end"/>
      </w:r>
      <w:r>
        <w:rPr>
          <w:bCs/>
          <w:color w:val="auto"/>
          <w:highlight w:val="none"/>
          <w:lang w:val="zh-CN"/>
        </w:rPr>
        <w:fldChar w:fldCharType="end"/>
      </w:r>
    </w:p>
    <w:p w14:paraId="2024D596">
      <w:pPr>
        <w:pStyle w:val="8"/>
        <w:tabs>
          <w:tab w:val="right" w:leader="dot" w:pos="8290"/>
        </w:tabs>
      </w:pPr>
      <w:r>
        <w:rPr>
          <w:bCs/>
          <w:color w:val="auto"/>
          <w:highlight w:val="none"/>
          <w:lang w:val="zh-CN"/>
        </w:rPr>
        <w:fldChar w:fldCharType="begin"/>
      </w:r>
      <w:r>
        <w:rPr>
          <w:bCs/>
          <w:highlight w:val="none"/>
          <w:lang w:val="zh-CN"/>
        </w:rPr>
        <w:instrText xml:space="preserve"> HYPERLINK \l _Toc713 </w:instrText>
      </w:r>
      <w:r>
        <w:rPr>
          <w:bCs/>
          <w:highlight w:val="none"/>
          <w:lang w:val="zh-CN"/>
        </w:rPr>
        <w:fldChar w:fldCharType="separate"/>
      </w:r>
      <w:r>
        <w:rPr>
          <w:highlight w:val="none"/>
        </w:rPr>
        <w:t xml:space="preserve">9.1 </w:t>
      </w:r>
      <w:r>
        <w:rPr>
          <w:rFonts w:hint="eastAsia"/>
          <w:highlight w:val="none"/>
        </w:rPr>
        <w:t>对招标人的纪律要求</w:t>
      </w:r>
      <w:r>
        <w:tab/>
      </w:r>
      <w:r>
        <w:fldChar w:fldCharType="begin"/>
      </w:r>
      <w:r>
        <w:instrText xml:space="preserve"> PAGEREF _Toc713 \h </w:instrText>
      </w:r>
      <w:r>
        <w:fldChar w:fldCharType="separate"/>
      </w:r>
      <w:r>
        <w:t>25</w:t>
      </w:r>
      <w:r>
        <w:fldChar w:fldCharType="end"/>
      </w:r>
      <w:r>
        <w:rPr>
          <w:bCs/>
          <w:color w:val="auto"/>
          <w:highlight w:val="none"/>
          <w:lang w:val="zh-CN"/>
        </w:rPr>
        <w:fldChar w:fldCharType="end"/>
      </w:r>
    </w:p>
    <w:p w14:paraId="5A29FF58">
      <w:pPr>
        <w:pStyle w:val="8"/>
        <w:tabs>
          <w:tab w:val="right" w:leader="dot" w:pos="8290"/>
        </w:tabs>
      </w:pPr>
      <w:r>
        <w:rPr>
          <w:bCs/>
          <w:color w:val="auto"/>
          <w:highlight w:val="none"/>
          <w:lang w:val="zh-CN"/>
        </w:rPr>
        <w:fldChar w:fldCharType="begin"/>
      </w:r>
      <w:r>
        <w:rPr>
          <w:bCs/>
          <w:highlight w:val="none"/>
          <w:lang w:val="zh-CN"/>
        </w:rPr>
        <w:instrText xml:space="preserve"> HYPERLINK \l _Toc1048 </w:instrText>
      </w:r>
      <w:r>
        <w:rPr>
          <w:bCs/>
          <w:highlight w:val="none"/>
          <w:lang w:val="zh-CN"/>
        </w:rPr>
        <w:fldChar w:fldCharType="separate"/>
      </w:r>
      <w:r>
        <w:rPr>
          <w:highlight w:val="none"/>
        </w:rPr>
        <w:t xml:space="preserve">9.2 </w:t>
      </w:r>
      <w:r>
        <w:rPr>
          <w:rFonts w:hint="eastAsia"/>
          <w:highlight w:val="none"/>
        </w:rPr>
        <w:t>对投标人的纪律要求</w:t>
      </w:r>
      <w:r>
        <w:tab/>
      </w:r>
      <w:r>
        <w:fldChar w:fldCharType="begin"/>
      </w:r>
      <w:r>
        <w:instrText xml:space="preserve"> PAGEREF _Toc1048 \h </w:instrText>
      </w:r>
      <w:r>
        <w:fldChar w:fldCharType="separate"/>
      </w:r>
      <w:r>
        <w:t>25</w:t>
      </w:r>
      <w:r>
        <w:fldChar w:fldCharType="end"/>
      </w:r>
      <w:r>
        <w:rPr>
          <w:bCs/>
          <w:color w:val="auto"/>
          <w:highlight w:val="none"/>
          <w:lang w:val="zh-CN"/>
        </w:rPr>
        <w:fldChar w:fldCharType="end"/>
      </w:r>
    </w:p>
    <w:p w14:paraId="600C064A">
      <w:pPr>
        <w:pStyle w:val="8"/>
        <w:tabs>
          <w:tab w:val="right" w:leader="dot" w:pos="8290"/>
        </w:tabs>
      </w:pPr>
      <w:r>
        <w:rPr>
          <w:bCs/>
          <w:color w:val="auto"/>
          <w:highlight w:val="none"/>
          <w:lang w:val="zh-CN"/>
        </w:rPr>
        <w:fldChar w:fldCharType="begin"/>
      </w:r>
      <w:r>
        <w:rPr>
          <w:bCs/>
          <w:highlight w:val="none"/>
          <w:lang w:val="zh-CN"/>
        </w:rPr>
        <w:instrText xml:space="preserve"> HYPERLINK \l _Toc4245 </w:instrText>
      </w:r>
      <w:r>
        <w:rPr>
          <w:bCs/>
          <w:highlight w:val="none"/>
          <w:lang w:val="zh-CN"/>
        </w:rPr>
        <w:fldChar w:fldCharType="separate"/>
      </w:r>
      <w:r>
        <w:rPr>
          <w:highlight w:val="none"/>
        </w:rPr>
        <w:t xml:space="preserve">9.3 </w:t>
      </w:r>
      <w:r>
        <w:rPr>
          <w:rFonts w:hint="eastAsia"/>
          <w:highlight w:val="none"/>
        </w:rPr>
        <w:t>对评标委员会成员的纪律要求</w:t>
      </w:r>
      <w:r>
        <w:tab/>
      </w:r>
      <w:r>
        <w:fldChar w:fldCharType="begin"/>
      </w:r>
      <w:r>
        <w:instrText xml:space="preserve"> PAGEREF _Toc4245 \h </w:instrText>
      </w:r>
      <w:r>
        <w:fldChar w:fldCharType="separate"/>
      </w:r>
      <w:r>
        <w:t>25</w:t>
      </w:r>
      <w:r>
        <w:fldChar w:fldCharType="end"/>
      </w:r>
      <w:r>
        <w:rPr>
          <w:bCs/>
          <w:color w:val="auto"/>
          <w:highlight w:val="none"/>
          <w:lang w:val="zh-CN"/>
        </w:rPr>
        <w:fldChar w:fldCharType="end"/>
      </w:r>
    </w:p>
    <w:p w14:paraId="1EA0BD8D">
      <w:pPr>
        <w:pStyle w:val="8"/>
        <w:tabs>
          <w:tab w:val="right" w:leader="dot" w:pos="8290"/>
        </w:tabs>
      </w:pPr>
      <w:r>
        <w:rPr>
          <w:bCs/>
          <w:color w:val="auto"/>
          <w:highlight w:val="none"/>
          <w:lang w:val="zh-CN"/>
        </w:rPr>
        <w:fldChar w:fldCharType="begin"/>
      </w:r>
      <w:r>
        <w:rPr>
          <w:bCs/>
          <w:highlight w:val="none"/>
          <w:lang w:val="zh-CN"/>
        </w:rPr>
        <w:instrText xml:space="preserve"> HYPERLINK \l _Toc22355 </w:instrText>
      </w:r>
      <w:r>
        <w:rPr>
          <w:bCs/>
          <w:highlight w:val="none"/>
          <w:lang w:val="zh-CN"/>
        </w:rPr>
        <w:fldChar w:fldCharType="separate"/>
      </w:r>
      <w:r>
        <w:rPr>
          <w:highlight w:val="none"/>
        </w:rPr>
        <w:t xml:space="preserve">9.4 </w:t>
      </w:r>
      <w:r>
        <w:rPr>
          <w:rFonts w:hint="eastAsia"/>
          <w:highlight w:val="none"/>
        </w:rPr>
        <w:t>对与评标活动有关的工作人员的纪律要求</w:t>
      </w:r>
      <w:r>
        <w:tab/>
      </w:r>
      <w:r>
        <w:fldChar w:fldCharType="begin"/>
      </w:r>
      <w:r>
        <w:instrText xml:space="preserve"> PAGEREF _Toc22355 \h </w:instrText>
      </w:r>
      <w:r>
        <w:fldChar w:fldCharType="separate"/>
      </w:r>
      <w:r>
        <w:t>25</w:t>
      </w:r>
      <w:r>
        <w:fldChar w:fldCharType="end"/>
      </w:r>
      <w:r>
        <w:rPr>
          <w:bCs/>
          <w:color w:val="auto"/>
          <w:highlight w:val="none"/>
          <w:lang w:val="zh-CN"/>
        </w:rPr>
        <w:fldChar w:fldCharType="end"/>
      </w:r>
    </w:p>
    <w:p w14:paraId="5683C50E">
      <w:pPr>
        <w:pStyle w:val="8"/>
        <w:tabs>
          <w:tab w:val="right" w:leader="dot" w:pos="8290"/>
        </w:tabs>
      </w:pPr>
      <w:r>
        <w:rPr>
          <w:bCs/>
          <w:color w:val="auto"/>
          <w:highlight w:val="none"/>
          <w:lang w:val="zh-CN"/>
        </w:rPr>
        <w:fldChar w:fldCharType="begin"/>
      </w:r>
      <w:r>
        <w:rPr>
          <w:bCs/>
          <w:highlight w:val="none"/>
          <w:lang w:val="zh-CN"/>
        </w:rPr>
        <w:instrText xml:space="preserve"> HYPERLINK \l _Toc9766 </w:instrText>
      </w:r>
      <w:r>
        <w:rPr>
          <w:bCs/>
          <w:highlight w:val="none"/>
          <w:lang w:val="zh-CN"/>
        </w:rPr>
        <w:fldChar w:fldCharType="separate"/>
      </w:r>
      <w:r>
        <w:rPr>
          <w:highlight w:val="none"/>
        </w:rPr>
        <w:t xml:space="preserve">9.5 </w:t>
      </w:r>
      <w:r>
        <w:rPr>
          <w:rFonts w:hint="eastAsia"/>
          <w:highlight w:val="none"/>
        </w:rPr>
        <w:t>投诉</w:t>
      </w:r>
      <w:r>
        <w:tab/>
      </w:r>
      <w:r>
        <w:fldChar w:fldCharType="begin"/>
      </w:r>
      <w:r>
        <w:instrText xml:space="preserve"> PAGEREF _Toc9766 \h </w:instrText>
      </w:r>
      <w:r>
        <w:fldChar w:fldCharType="separate"/>
      </w:r>
      <w:r>
        <w:t>25</w:t>
      </w:r>
      <w:r>
        <w:fldChar w:fldCharType="end"/>
      </w:r>
      <w:r>
        <w:rPr>
          <w:bCs/>
          <w:color w:val="auto"/>
          <w:highlight w:val="none"/>
          <w:lang w:val="zh-CN"/>
        </w:rPr>
        <w:fldChar w:fldCharType="end"/>
      </w:r>
    </w:p>
    <w:p w14:paraId="6183B09D">
      <w:pPr>
        <w:pStyle w:val="13"/>
        <w:tabs>
          <w:tab w:val="right" w:leader="dot" w:pos="8290"/>
        </w:tabs>
      </w:pPr>
      <w:r>
        <w:rPr>
          <w:bCs/>
          <w:color w:val="auto"/>
          <w:highlight w:val="none"/>
          <w:lang w:val="zh-CN"/>
        </w:rPr>
        <w:fldChar w:fldCharType="begin"/>
      </w:r>
      <w:r>
        <w:rPr>
          <w:bCs/>
          <w:highlight w:val="none"/>
          <w:lang w:val="zh-CN"/>
        </w:rPr>
        <w:instrText xml:space="preserve"> HYPERLINK \l _Toc22900 </w:instrText>
      </w:r>
      <w:r>
        <w:rPr>
          <w:bCs/>
          <w:highlight w:val="none"/>
          <w:lang w:val="zh-CN"/>
        </w:rPr>
        <w:fldChar w:fldCharType="separate"/>
      </w:r>
      <w:r>
        <w:rPr>
          <w:highlight w:val="none"/>
        </w:rPr>
        <w:t xml:space="preserve">10. </w:t>
      </w:r>
      <w:r>
        <w:rPr>
          <w:rFonts w:hint="eastAsia"/>
          <w:highlight w:val="none"/>
        </w:rPr>
        <w:t>需要补充的其他内容</w:t>
      </w:r>
      <w:r>
        <w:tab/>
      </w:r>
      <w:r>
        <w:fldChar w:fldCharType="begin"/>
      </w:r>
      <w:r>
        <w:instrText xml:space="preserve"> PAGEREF _Toc22900 \h </w:instrText>
      </w:r>
      <w:r>
        <w:fldChar w:fldCharType="separate"/>
      </w:r>
      <w:r>
        <w:t>26</w:t>
      </w:r>
      <w:r>
        <w:fldChar w:fldCharType="end"/>
      </w:r>
      <w:r>
        <w:rPr>
          <w:bCs/>
          <w:color w:val="auto"/>
          <w:highlight w:val="none"/>
          <w:lang w:val="zh-CN"/>
        </w:rPr>
        <w:fldChar w:fldCharType="end"/>
      </w:r>
    </w:p>
    <w:p w14:paraId="23B0A937">
      <w:pPr>
        <w:pStyle w:val="8"/>
        <w:tabs>
          <w:tab w:val="right" w:leader="dot" w:pos="8290"/>
        </w:tabs>
      </w:pPr>
      <w:r>
        <w:rPr>
          <w:bCs/>
          <w:color w:val="auto"/>
          <w:highlight w:val="none"/>
          <w:lang w:val="zh-CN"/>
        </w:rPr>
        <w:fldChar w:fldCharType="begin"/>
      </w:r>
      <w:r>
        <w:rPr>
          <w:bCs/>
          <w:highlight w:val="none"/>
          <w:lang w:val="zh-CN"/>
        </w:rPr>
        <w:instrText xml:space="preserve"> HYPERLINK \l _Toc1381 </w:instrText>
      </w:r>
      <w:r>
        <w:rPr>
          <w:bCs/>
          <w:highlight w:val="none"/>
          <w:lang w:val="zh-CN"/>
        </w:rPr>
        <w:fldChar w:fldCharType="separate"/>
      </w:r>
      <w:r>
        <w:rPr>
          <w:highlight w:val="none"/>
        </w:rPr>
        <w:t xml:space="preserve">10.1 </w:t>
      </w:r>
      <w:r>
        <w:rPr>
          <w:rFonts w:hint="eastAsia"/>
          <w:highlight w:val="none"/>
        </w:rPr>
        <w:t>多标段投标</w:t>
      </w:r>
      <w:r>
        <w:tab/>
      </w:r>
      <w:r>
        <w:fldChar w:fldCharType="begin"/>
      </w:r>
      <w:r>
        <w:instrText xml:space="preserve"> PAGEREF _Toc1381 \h </w:instrText>
      </w:r>
      <w:r>
        <w:fldChar w:fldCharType="separate"/>
      </w:r>
      <w:r>
        <w:t>26</w:t>
      </w:r>
      <w:r>
        <w:fldChar w:fldCharType="end"/>
      </w:r>
      <w:r>
        <w:rPr>
          <w:bCs/>
          <w:color w:val="auto"/>
          <w:highlight w:val="none"/>
          <w:lang w:val="zh-CN"/>
        </w:rPr>
        <w:fldChar w:fldCharType="end"/>
      </w:r>
    </w:p>
    <w:p w14:paraId="570DFD33">
      <w:pPr>
        <w:pStyle w:val="8"/>
        <w:tabs>
          <w:tab w:val="right" w:leader="dot" w:pos="8290"/>
        </w:tabs>
      </w:pPr>
      <w:r>
        <w:rPr>
          <w:bCs/>
          <w:color w:val="auto"/>
          <w:highlight w:val="none"/>
          <w:lang w:val="zh-CN"/>
        </w:rPr>
        <w:fldChar w:fldCharType="begin"/>
      </w:r>
      <w:r>
        <w:rPr>
          <w:bCs/>
          <w:highlight w:val="none"/>
          <w:lang w:val="zh-CN"/>
        </w:rPr>
        <w:instrText xml:space="preserve"> HYPERLINK \l _Toc119 </w:instrText>
      </w:r>
      <w:r>
        <w:rPr>
          <w:bCs/>
          <w:highlight w:val="none"/>
          <w:lang w:val="zh-CN"/>
        </w:rPr>
        <w:fldChar w:fldCharType="separate"/>
      </w:r>
      <w:r>
        <w:rPr>
          <w:highlight w:val="none"/>
        </w:rPr>
        <w:t xml:space="preserve">10.2 </w:t>
      </w:r>
      <w:r>
        <w:rPr>
          <w:rFonts w:hint="eastAsia"/>
          <w:highlight w:val="none"/>
        </w:rPr>
        <w:t>评标办法中的有关系数的取值和评分因素设置</w:t>
      </w:r>
      <w:r>
        <w:tab/>
      </w:r>
      <w:r>
        <w:fldChar w:fldCharType="begin"/>
      </w:r>
      <w:r>
        <w:instrText xml:space="preserve"> PAGEREF _Toc119 \h </w:instrText>
      </w:r>
      <w:r>
        <w:fldChar w:fldCharType="separate"/>
      </w:r>
      <w:r>
        <w:t>26</w:t>
      </w:r>
      <w:r>
        <w:fldChar w:fldCharType="end"/>
      </w:r>
      <w:r>
        <w:rPr>
          <w:bCs/>
          <w:color w:val="auto"/>
          <w:highlight w:val="none"/>
          <w:lang w:val="zh-CN"/>
        </w:rPr>
        <w:fldChar w:fldCharType="end"/>
      </w:r>
    </w:p>
    <w:p w14:paraId="577F6074">
      <w:pPr>
        <w:pStyle w:val="8"/>
        <w:tabs>
          <w:tab w:val="right" w:leader="dot" w:pos="8290"/>
        </w:tabs>
      </w:pPr>
      <w:r>
        <w:rPr>
          <w:bCs/>
          <w:color w:val="auto"/>
          <w:highlight w:val="none"/>
          <w:lang w:val="zh-CN"/>
        </w:rPr>
        <w:fldChar w:fldCharType="begin"/>
      </w:r>
      <w:r>
        <w:rPr>
          <w:bCs/>
          <w:highlight w:val="none"/>
          <w:lang w:val="zh-CN"/>
        </w:rPr>
        <w:instrText xml:space="preserve"> HYPERLINK \l _Toc24901 </w:instrText>
      </w:r>
      <w:r>
        <w:rPr>
          <w:bCs/>
          <w:highlight w:val="none"/>
          <w:lang w:val="zh-CN"/>
        </w:rPr>
        <w:fldChar w:fldCharType="separate"/>
      </w:r>
      <w:r>
        <w:rPr>
          <w:highlight w:val="none"/>
        </w:rPr>
        <w:t xml:space="preserve">10.3 </w:t>
      </w:r>
      <w:r>
        <w:rPr>
          <w:rFonts w:hint="eastAsia"/>
          <w:highlight w:val="none"/>
        </w:rPr>
        <w:t>中标人的投标文件</w:t>
      </w:r>
      <w:r>
        <w:tab/>
      </w:r>
      <w:r>
        <w:fldChar w:fldCharType="begin"/>
      </w:r>
      <w:r>
        <w:instrText xml:space="preserve"> PAGEREF _Toc24901 \h </w:instrText>
      </w:r>
      <w:r>
        <w:fldChar w:fldCharType="separate"/>
      </w:r>
      <w:r>
        <w:t>26</w:t>
      </w:r>
      <w:r>
        <w:fldChar w:fldCharType="end"/>
      </w:r>
      <w:r>
        <w:rPr>
          <w:bCs/>
          <w:color w:val="auto"/>
          <w:highlight w:val="none"/>
          <w:lang w:val="zh-CN"/>
        </w:rPr>
        <w:fldChar w:fldCharType="end"/>
      </w:r>
    </w:p>
    <w:p w14:paraId="6DBFBB17">
      <w:pPr>
        <w:pStyle w:val="8"/>
        <w:tabs>
          <w:tab w:val="right" w:leader="dot" w:pos="8290"/>
        </w:tabs>
      </w:pPr>
      <w:r>
        <w:rPr>
          <w:bCs/>
          <w:color w:val="auto"/>
          <w:highlight w:val="none"/>
          <w:lang w:val="zh-CN"/>
        </w:rPr>
        <w:fldChar w:fldCharType="begin"/>
      </w:r>
      <w:r>
        <w:rPr>
          <w:bCs/>
          <w:highlight w:val="none"/>
          <w:lang w:val="zh-CN"/>
        </w:rPr>
        <w:instrText xml:space="preserve"> HYPERLINK \l _Toc7357 </w:instrText>
      </w:r>
      <w:r>
        <w:rPr>
          <w:bCs/>
          <w:highlight w:val="none"/>
          <w:lang w:val="zh-CN"/>
        </w:rPr>
        <w:fldChar w:fldCharType="separate"/>
      </w:r>
      <w:r>
        <w:rPr>
          <w:highlight w:val="none"/>
        </w:rPr>
        <w:t xml:space="preserve">10.4 </w:t>
      </w:r>
      <w:r>
        <w:rPr>
          <w:rFonts w:hint="eastAsia"/>
          <w:highlight w:val="none"/>
        </w:rPr>
        <w:t>知识产权</w:t>
      </w:r>
      <w:r>
        <w:tab/>
      </w:r>
      <w:r>
        <w:fldChar w:fldCharType="begin"/>
      </w:r>
      <w:r>
        <w:instrText xml:space="preserve"> PAGEREF _Toc7357 \h </w:instrText>
      </w:r>
      <w:r>
        <w:fldChar w:fldCharType="separate"/>
      </w:r>
      <w:r>
        <w:t>26</w:t>
      </w:r>
      <w:r>
        <w:fldChar w:fldCharType="end"/>
      </w:r>
      <w:r>
        <w:rPr>
          <w:bCs/>
          <w:color w:val="auto"/>
          <w:highlight w:val="none"/>
          <w:lang w:val="zh-CN"/>
        </w:rPr>
        <w:fldChar w:fldCharType="end"/>
      </w:r>
    </w:p>
    <w:p w14:paraId="22F6D288">
      <w:pPr>
        <w:pStyle w:val="8"/>
        <w:tabs>
          <w:tab w:val="right" w:leader="dot" w:pos="8290"/>
        </w:tabs>
      </w:pPr>
      <w:r>
        <w:rPr>
          <w:bCs/>
          <w:color w:val="auto"/>
          <w:highlight w:val="none"/>
          <w:lang w:val="zh-CN"/>
        </w:rPr>
        <w:fldChar w:fldCharType="begin"/>
      </w:r>
      <w:r>
        <w:rPr>
          <w:bCs/>
          <w:highlight w:val="none"/>
          <w:lang w:val="zh-CN"/>
        </w:rPr>
        <w:instrText xml:space="preserve"> HYPERLINK \l _Toc5341 </w:instrText>
      </w:r>
      <w:r>
        <w:rPr>
          <w:bCs/>
          <w:highlight w:val="none"/>
          <w:lang w:val="zh-CN"/>
        </w:rPr>
        <w:fldChar w:fldCharType="separate"/>
      </w:r>
      <w:r>
        <w:rPr>
          <w:highlight w:val="none"/>
        </w:rPr>
        <w:t xml:space="preserve">10.5 </w:t>
      </w:r>
      <w:r>
        <w:rPr>
          <w:rFonts w:hint="eastAsia"/>
          <w:highlight w:val="none"/>
        </w:rPr>
        <w:t>同义词语</w:t>
      </w:r>
      <w:r>
        <w:tab/>
      </w:r>
      <w:r>
        <w:fldChar w:fldCharType="begin"/>
      </w:r>
      <w:r>
        <w:instrText xml:space="preserve"> PAGEREF _Toc5341 \h </w:instrText>
      </w:r>
      <w:r>
        <w:fldChar w:fldCharType="separate"/>
      </w:r>
      <w:r>
        <w:t>26</w:t>
      </w:r>
      <w:r>
        <w:fldChar w:fldCharType="end"/>
      </w:r>
      <w:r>
        <w:rPr>
          <w:bCs/>
          <w:color w:val="auto"/>
          <w:highlight w:val="none"/>
          <w:lang w:val="zh-CN"/>
        </w:rPr>
        <w:fldChar w:fldCharType="end"/>
      </w:r>
    </w:p>
    <w:p w14:paraId="6D7627BD">
      <w:pPr>
        <w:pStyle w:val="8"/>
        <w:tabs>
          <w:tab w:val="right" w:leader="dot" w:pos="8290"/>
        </w:tabs>
      </w:pPr>
      <w:r>
        <w:rPr>
          <w:bCs/>
          <w:color w:val="auto"/>
          <w:highlight w:val="none"/>
          <w:lang w:val="zh-CN"/>
        </w:rPr>
        <w:fldChar w:fldCharType="begin"/>
      </w:r>
      <w:r>
        <w:rPr>
          <w:bCs/>
          <w:highlight w:val="none"/>
          <w:lang w:val="zh-CN"/>
        </w:rPr>
        <w:instrText xml:space="preserve"> HYPERLINK \l _Toc8282 </w:instrText>
      </w:r>
      <w:r>
        <w:rPr>
          <w:bCs/>
          <w:highlight w:val="none"/>
          <w:lang w:val="zh-CN"/>
        </w:rPr>
        <w:fldChar w:fldCharType="separate"/>
      </w:r>
      <w:r>
        <w:rPr>
          <w:highlight w:val="none"/>
        </w:rPr>
        <w:t xml:space="preserve">10.6 </w:t>
      </w:r>
      <w:r>
        <w:rPr>
          <w:rFonts w:hint="eastAsia"/>
          <w:highlight w:val="none"/>
        </w:rPr>
        <w:t>解释权</w:t>
      </w:r>
      <w:r>
        <w:tab/>
      </w:r>
      <w:r>
        <w:fldChar w:fldCharType="begin"/>
      </w:r>
      <w:r>
        <w:instrText xml:space="preserve"> PAGEREF _Toc8282 \h </w:instrText>
      </w:r>
      <w:r>
        <w:fldChar w:fldCharType="separate"/>
      </w:r>
      <w:r>
        <w:t>26</w:t>
      </w:r>
      <w:r>
        <w:fldChar w:fldCharType="end"/>
      </w:r>
      <w:r>
        <w:rPr>
          <w:bCs/>
          <w:color w:val="auto"/>
          <w:highlight w:val="none"/>
          <w:lang w:val="zh-CN"/>
        </w:rPr>
        <w:fldChar w:fldCharType="end"/>
      </w:r>
    </w:p>
    <w:p w14:paraId="1B4A633C">
      <w:pPr>
        <w:pStyle w:val="8"/>
        <w:tabs>
          <w:tab w:val="right" w:leader="dot" w:pos="8290"/>
        </w:tabs>
      </w:pPr>
      <w:r>
        <w:rPr>
          <w:bCs/>
          <w:color w:val="auto"/>
          <w:highlight w:val="none"/>
          <w:lang w:val="zh-CN"/>
        </w:rPr>
        <w:fldChar w:fldCharType="begin"/>
      </w:r>
      <w:r>
        <w:rPr>
          <w:bCs/>
          <w:highlight w:val="none"/>
          <w:lang w:val="zh-CN"/>
        </w:rPr>
        <w:instrText xml:space="preserve"> HYPERLINK \l _Toc2041 </w:instrText>
      </w:r>
      <w:r>
        <w:rPr>
          <w:bCs/>
          <w:highlight w:val="none"/>
          <w:lang w:val="zh-CN"/>
        </w:rPr>
        <w:fldChar w:fldCharType="separate"/>
      </w:r>
      <w:r>
        <w:rPr>
          <w:highlight w:val="none"/>
        </w:rPr>
        <w:t>10.</w:t>
      </w:r>
      <w:r>
        <w:rPr>
          <w:rFonts w:hint="eastAsia"/>
          <w:highlight w:val="none"/>
        </w:rPr>
        <w:t>7招标代理服务费</w:t>
      </w:r>
      <w:r>
        <w:tab/>
      </w:r>
      <w:r>
        <w:fldChar w:fldCharType="begin"/>
      </w:r>
      <w:r>
        <w:instrText xml:space="preserve"> PAGEREF _Toc2041 \h </w:instrText>
      </w:r>
      <w:r>
        <w:fldChar w:fldCharType="separate"/>
      </w:r>
      <w:r>
        <w:t>26</w:t>
      </w:r>
      <w:r>
        <w:fldChar w:fldCharType="end"/>
      </w:r>
      <w:r>
        <w:rPr>
          <w:bCs/>
          <w:color w:val="auto"/>
          <w:highlight w:val="none"/>
          <w:lang w:val="zh-CN"/>
        </w:rPr>
        <w:fldChar w:fldCharType="end"/>
      </w:r>
    </w:p>
    <w:p w14:paraId="226D4328">
      <w:pPr>
        <w:pStyle w:val="8"/>
        <w:tabs>
          <w:tab w:val="right" w:leader="dot" w:pos="8290"/>
        </w:tabs>
      </w:pPr>
      <w:r>
        <w:rPr>
          <w:bCs/>
          <w:color w:val="auto"/>
          <w:highlight w:val="none"/>
          <w:lang w:val="zh-CN"/>
        </w:rPr>
        <w:fldChar w:fldCharType="begin"/>
      </w:r>
      <w:r>
        <w:rPr>
          <w:bCs/>
          <w:highlight w:val="none"/>
          <w:lang w:val="zh-CN"/>
        </w:rPr>
        <w:instrText xml:space="preserve"> HYPERLINK \l _Toc16839 </w:instrText>
      </w:r>
      <w:r>
        <w:rPr>
          <w:bCs/>
          <w:highlight w:val="none"/>
          <w:lang w:val="zh-CN"/>
        </w:rPr>
        <w:fldChar w:fldCharType="separate"/>
      </w:r>
      <w:r>
        <w:rPr>
          <w:highlight w:val="none"/>
        </w:rPr>
        <w:t>10.</w:t>
      </w:r>
      <w:r>
        <w:rPr>
          <w:rFonts w:hint="eastAsia"/>
          <w:highlight w:val="none"/>
        </w:rPr>
        <w:t>8其他</w:t>
      </w:r>
      <w:r>
        <w:tab/>
      </w:r>
      <w:r>
        <w:fldChar w:fldCharType="begin"/>
      </w:r>
      <w:r>
        <w:instrText xml:space="preserve"> PAGEREF _Toc16839 \h </w:instrText>
      </w:r>
      <w:r>
        <w:fldChar w:fldCharType="separate"/>
      </w:r>
      <w:r>
        <w:t>26</w:t>
      </w:r>
      <w:r>
        <w:fldChar w:fldCharType="end"/>
      </w:r>
      <w:r>
        <w:rPr>
          <w:bCs/>
          <w:color w:val="auto"/>
          <w:highlight w:val="none"/>
          <w:lang w:val="zh-CN"/>
        </w:rPr>
        <w:fldChar w:fldCharType="end"/>
      </w:r>
    </w:p>
    <w:p w14:paraId="2E05D1A0">
      <w:pPr>
        <w:pStyle w:val="8"/>
        <w:tabs>
          <w:tab w:val="right" w:leader="dot" w:pos="8290"/>
        </w:tabs>
      </w:pPr>
      <w:r>
        <w:rPr>
          <w:bCs/>
          <w:color w:val="auto"/>
          <w:highlight w:val="none"/>
          <w:lang w:val="zh-CN"/>
        </w:rPr>
        <w:fldChar w:fldCharType="begin"/>
      </w:r>
      <w:r>
        <w:rPr>
          <w:bCs/>
          <w:highlight w:val="none"/>
          <w:lang w:val="zh-CN"/>
        </w:rPr>
        <w:instrText xml:space="preserve"> HYPERLINK \l _Toc21901 </w:instrText>
      </w:r>
      <w:r>
        <w:rPr>
          <w:bCs/>
          <w:highlight w:val="none"/>
          <w:lang w:val="zh-CN"/>
        </w:rPr>
        <w:fldChar w:fldCharType="separate"/>
      </w:r>
      <w:r>
        <w:rPr>
          <w:highlight w:val="none"/>
        </w:rPr>
        <w:t>10.</w:t>
      </w:r>
      <w:r>
        <w:rPr>
          <w:rFonts w:hint="eastAsia"/>
          <w:highlight w:val="none"/>
        </w:rPr>
        <w:t>9</w:t>
      </w:r>
      <w:r>
        <w:rPr>
          <w:highlight w:val="none"/>
        </w:rPr>
        <w:t xml:space="preserve"> </w:t>
      </w:r>
      <w:r>
        <w:rPr>
          <w:rFonts w:hint="eastAsia"/>
          <w:highlight w:val="none"/>
        </w:rPr>
        <w:t>招标人补充的其他内容</w:t>
      </w:r>
      <w:r>
        <w:tab/>
      </w:r>
      <w:r>
        <w:fldChar w:fldCharType="begin"/>
      </w:r>
      <w:r>
        <w:instrText xml:space="preserve"> PAGEREF _Toc21901 \h </w:instrText>
      </w:r>
      <w:r>
        <w:fldChar w:fldCharType="separate"/>
      </w:r>
      <w:r>
        <w:t>26</w:t>
      </w:r>
      <w:r>
        <w:fldChar w:fldCharType="end"/>
      </w:r>
      <w:r>
        <w:rPr>
          <w:bCs/>
          <w:color w:val="auto"/>
          <w:highlight w:val="none"/>
          <w:lang w:val="zh-CN"/>
        </w:rPr>
        <w:fldChar w:fldCharType="end"/>
      </w:r>
    </w:p>
    <w:p w14:paraId="169BC1B4">
      <w:pPr>
        <w:pStyle w:val="13"/>
        <w:tabs>
          <w:tab w:val="right" w:leader="dot" w:pos="8290"/>
        </w:tabs>
      </w:pPr>
      <w:r>
        <w:rPr>
          <w:bCs/>
          <w:color w:val="auto"/>
          <w:highlight w:val="none"/>
          <w:lang w:val="zh-CN"/>
        </w:rPr>
        <w:fldChar w:fldCharType="begin"/>
      </w:r>
      <w:r>
        <w:rPr>
          <w:bCs/>
          <w:highlight w:val="none"/>
          <w:lang w:val="zh-CN"/>
        </w:rPr>
        <w:instrText xml:space="preserve"> HYPERLINK \l _Toc23837 </w:instrText>
      </w:r>
      <w:r>
        <w:rPr>
          <w:bCs/>
          <w:highlight w:val="none"/>
          <w:lang w:val="zh-CN"/>
        </w:rPr>
        <w:fldChar w:fldCharType="separate"/>
      </w:r>
      <w:r>
        <w:rPr>
          <w:rFonts w:hint="eastAsia"/>
          <w:highlight w:val="none"/>
        </w:rPr>
        <w:t>附录一：投标</w:t>
      </w:r>
      <w:r>
        <w:rPr>
          <w:highlight w:val="none"/>
        </w:rPr>
        <w:t>人资质条件、能力和信誉</w:t>
      </w:r>
      <w:r>
        <w:tab/>
      </w:r>
      <w:r>
        <w:fldChar w:fldCharType="begin"/>
      </w:r>
      <w:r>
        <w:instrText xml:space="preserve"> PAGEREF _Toc23837 \h </w:instrText>
      </w:r>
      <w:r>
        <w:fldChar w:fldCharType="separate"/>
      </w:r>
      <w:r>
        <w:t>1</w:t>
      </w:r>
      <w:r>
        <w:fldChar w:fldCharType="end"/>
      </w:r>
      <w:r>
        <w:rPr>
          <w:bCs/>
          <w:color w:val="auto"/>
          <w:highlight w:val="none"/>
          <w:lang w:val="zh-CN"/>
        </w:rPr>
        <w:fldChar w:fldCharType="end"/>
      </w:r>
    </w:p>
    <w:p w14:paraId="442E0538">
      <w:pPr>
        <w:pStyle w:val="13"/>
        <w:tabs>
          <w:tab w:val="right" w:leader="dot" w:pos="8290"/>
        </w:tabs>
      </w:pPr>
      <w:r>
        <w:rPr>
          <w:bCs/>
          <w:color w:val="auto"/>
          <w:highlight w:val="none"/>
          <w:lang w:val="zh-CN"/>
        </w:rPr>
        <w:fldChar w:fldCharType="begin"/>
      </w:r>
      <w:r>
        <w:rPr>
          <w:bCs/>
          <w:highlight w:val="none"/>
          <w:lang w:val="zh-CN"/>
        </w:rPr>
        <w:instrText xml:space="preserve"> HYPERLINK \l _Toc10868 </w:instrText>
      </w:r>
      <w:r>
        <w:rPr>
          <w:bCs/>
          <w:highlight w:val="none"/>
          <w:lang w:val="zh-CN"/>
        </w:rPr>
        <w:fldChar w:fldCharType="separate"/>
      </w:r>
      <w:r>
        <w:rPr>
          <w:rFonts w:hint="eastAsia"/>
          <w:highlight w:val="none"/>
        </w:rPr>
        <w:t>附录二：政府采购工程预留工作及金额</w:t>
      </w:r>
      <w:r>
        <w:tab/>
      </w:r>
      <w:r>
        <w:fldChar w:fldCharType="begin"/>
      </w:r>
      <w:r>
        <w:instrText xml:space="preserve"> PAGEREF _Toc10868 \h </w:instrText>
      </w:r>
      <w:r>
        <w:fldChar w:fldCharType="separate"/>
      </w:r>
      <w:r>
        <w:t>1</w:t>
      </w:r>
      <w:r>
        <w:fldChar w:fldCharType="end"/>
      </w:r>
      <w:r>
        <w:rPr>
          <w:bCs/>
          <w:color w:val="auto"/>
          <w:highlight w:val="none"/>
          <w:lang w:val="zh-CN"/>
        </w:rPr>
        <w:fldChar w:fldCharType="end"/>
      </w:r>
    </w:p>
    <w:p w14:paraId="60319FF9">
      <w:pPr>
        <w:pStyle w:val="13"/>
        <w:tabs>
          <w:tab w:val="right" w:leader="dot" w:pos="8290"/>
        </w:tabs>
      </w:pPr>
      <w:r>
        <w:rPr>
          <w:bCs/>
          <w:color w:val="auto"/>
          <w:highlight w:val="none"/>
          <w:lang w:val="zh-CN"/>
        </w:rPr>
        <w:fldChar w:fldCharType="begin"/>
      </w:r>
      <w:r>
        <w:rPr>
          <w:bCs/>
          <w:highlight w:val="none"/>
          <w:lang w:val="zh-CN"/>
        </w:rPr>
        <w:instrText xml:space="preserve"> HYPERLINK \l _Toc20557 </w:instrText>
      </w:r>
      <w:r>
        <w:rPr>
          <w:bCs/>
          <w:highlight w:val="none"/>
          <w:lang w:val="zh-CN"/>
        </w:rPr>
        <w:fldChar w:fldCharType="separate"/>
      </w:r>
      <w:r>
        <w:rPr>
          <w:rFonts w:hint="eastAsia"/>
          <w:highlight w:val="none"/>
        </w:rPr>
        <w:t>附录三：政府采购工程适合小微企业承担的工作及金额</w:t>
      </w:r>
      <w:r>
        <w:tab/>
      </w:r>
      <w:r>
        <w:fldChar w:fldCharType="begin"/>
      </w:r>
      <w:r>
        <w:instrText xml:space="preserve"> PAGEREF _Toc20557 \h </w:instrText>
      </w:r>
      <w:r>
        <w:fldChar w:fldCharType="separate"/>
      </w:r>
      <w:r>
        <w:t>1</w:t>
      </w:r>
      <w:r>
        <w:fldChar w:fldCharType="end"/>
      </w:r>
      <w:r>
        <w:rPr>
          <w:bCs/>
          <w:color w:val="auto"/>
          <w:highlight w:val="none"/>
          <w:lang w:val="zh-CN"/>
        </w:rPr>
        <w:fldChar w:fldCharType="end"/>
      </w:r>
    </w:p>
    <w:p w14:paraId="5B84E533">
      <w:pPr>
        <w:pStyle w:val="13"/>
        <w:tabs>
          <w:tab w:val="right" w:leader="dot" w:pos="8290"/>
        </w:tabs>
      </w:pPr>
      <w:r>
        <w:rPr>
          <w:bCs/>
          <w:color w:val="auto"/>
          <w:highlight w:val="none"/>
          <w:lang w:val="zh-CN"/>
        </w:rPr>
        <w:fldChar w:fldCharType="begin"/>
      </w:r>
      <w:r>
        <w:rPr>
          <w:bCs/>
          <w:highlight w:val="none"/>
          <w:lang w:val="zh-CN"/>
        </w:rPr>
        <w:instrText xml:space="preserve"> HYPERLINK \l _Toc18263 </w:instrText>
      </w:r>
      <w:r>
        <w:rPr>
          <w:bCs/>
          <w:highlight w:val="none"/>
          <w:lang w:val="zh-CN"/>
        </w:rPr>
        <w:fldChar w:fldCharType="separate"/>
      </w:r>
      <w:r>
        <w:rPr>
          <w:rFonts w:hint="eastAsia"/>
          <w:szCs w:val="24"/>
          <w:highlight w:val="none"/>
        </w:rPr>
        <w:t>附表一：招标文件澄清申请函</w:t>
      </w:r>
      <w:r>
        <w:tab/>
      </w:r>
      <w:r>
        <w:fldChar w:fldCharType="begin"/>
      </w:r>
      <w:r>
        <w:instrText xml:space="preserve"> PAGEREF _Toc18263 \h </w:instrText>
      </w:r>
      <w:r>
        <w:fldChar w:fldCharType="separate"/>
      </w:r>
      <w:r>
        <w:t>1</w:t>
      </w:r>
      <w:r>
        <w:fldChar w:fldCharType="end"/>
      </w:r>
      <w:r>
        <w:rPr>
          <w:bCs/>
          <w:color w:val="auto"/>
          <w:highlight w:val="none"/>
          <w:lang w:val="zh-CN"/>
        </w:rPr>
        <w:fldChar w:fldCharType="end"/>
      </w:r>
    </w:p>
    <w:p w14:paraId="4372CC38">
      <w:pPr>
        <w:pStyle w:val="13"/>
        <w:tabs>
          <w:tab w:val="right" w:leader="dot" w:pos="8290"/>
        </w:tabs>
      </w:pPr>
      <w:r>
        <w:rPr>
          <w:bCs/>
          <w:color w:val="auto"/>
          <w:highlight w:val="none"/>
          <w:lang w:val="zh-CN"/>
        </w:rPr>
        <w:fldChar w:fldCharType="begin"/>
      </w:r>
      <w:r>
        <w:rPr>
          <w:bCs/>
          <w:highlight w:val="none"/>
          <w:lang w:val="zh-CN"/>
        </w:rPr>
        <w:instrText xml:space="preserve"> HYPERLINK \l _Toc12781 </w:instrText>
      </w:r>
      <w:r>
        <w:rPr>
          <w:bCs/>
          <w:highlight w:val="none"/>
          <w:lang w:val="zh-CN"/>
        </w:rPr>
        <w:fldChar w:fldCharType="separate"/>
      </w:r>
      <w:r>
        <w:rPr>
          <w:rFonts w:hint="eastAsia"/>
          <w:szCs w:val="24"/>
          <w:highlight w:val="none"/>
        </w:rPr>
        <w:t>附表二：招标文件文件澄清通知</w:t>
      </w:r>
      <w:r>
        <w:tab/>
      </w:r>
      <w:r>
        <w:fldChar w:fldCharType="begin"/>
      </w:r>
      <w:r>
        <w:instrText xml:space="preserve"> PAGEREF _Toc12781 \h </w:instrText>
      </w:r>
      <w:r>
        <w:fldChar w:fldCharType="separate"/>
      </w:r>
      <w:r>
        <w:t>1</w:t>
      </w:r>
      <w:r>
        <w:fldChar w:fldCharType="end"/>
      </w:r>
      <w:r>
        <w:rPr>
          <w:bCs/>
          <w:color w:val="auto"/>
          <w:highlight w:val="none"/>
          <w:lang w:val="zh-CN"/>
        </w:rPr>
        <w:fldChar w:fldCharType="end"/>
      </w:r>
    </w:p>
    <w:p w14:paraId="099E3AA1">
      <w:pPr>
        <w:pStyle w:val="13"/>
        <w:tabs>
          <w:tab w:val="right" w:leader="dot" w:pos="8290"/>
        </w:tabs>
      </w:pPr>
      <w:r>
        <w:rPr>
          <w:bCs/>
          <w:color w:val="auto"/>
          <w:highlight w:val="none"/>
          <w:lang w:val="zh-CN"/>
        </w:rPr>
        <w:fldChar w:fldCharType="begin"/>
      </w:r>
      <w:r>
        <w:rPr>
          <w:bCs/>
          <w:highlight w:val="none"/>
          <w:lang w:val="zh-CN"/>
        </w:rPr>
        <w:instrText xml:space="preserve"> HYPERLINK \l _Toc9914 </w:instrText>
      </w:r>
      <w:r>
        <w:rPr>
          <w:bCs/>
          <w:highlight w:val="none"/>
          <w:lang w:val="zh-CN"/>
        </w:rPr>
        <w:fldChar w:fldCharType="separate"/>
      </w:r>
      <w:r>
        <w:rPr>
          <w:rFonts w:hint="eastAsia"/>
          <w:szCs w:val="24"/>
          <w:highlight w:val="none"/>
        </w:rPr>
        <w:t>附表三：招标文件文件修改通知</w:t>
      </w:r>
      <w:r>
        <w:tab/>
      </w:r>
      <w:r>
        <w:fldChar w:fldCharType="begin"/>
      </w:r>
      <w:r>
        <w:instrText xml:space="preserve"> PAGEREF _Toc9914 \h </w:instrText>
      </w:r>
      <w:r>
        <w:fldChar w:fldCharType="separate"/>
      </w:r>
      <w:r>
        <w:t>1</w:t>
      </w:r>
      <w:r>
        <w:fldChar w:fldCharType="end"/>
      </w:r>
      <w:r>
        <w:rPr>
          <w:bCs/>
          <w:color w:val="auto"/>
          <w:highlight w:val="none"/>
          <w:lang w:val="zh-CN"/>
        </w:rPr>
        <w:fldChar w:fldCharType="end"/>
      </w:r>
    </w:p>
    <w:p w14:paraId="62BF31FD">
      <w:pPr>
        <w:pStyle w:val="13"/>
        <w:tabs>
          <w:tab w:val="right" w:leader="dot" w:pos="8290"/>
        </w:tabs>
      </w:pPr>
      <w:r>
        <w:rPr>
          <w:bCs/>
          <w:color w:val="auto"/>
          <w:highlight w:val="none"/>
          <w:lang w:val="zh-CN"/>
        </w:rPr>
        <w:fldChar w:fldCharType="begin"/>
      </w:r>
      <w:r>
        <w:rPr>
          <w:bCs/>
          <w:highlight w:val="none"/>
          <w:lang w:val="zh-CN"/>
        </w:rPr>
        <w:instrText xml:space="preserve"> HYPERLINK \l _Toc32658 </w:instrText>
      </w:r>
      <w:r>
        <w:rPr>
          <w:bCs/>
          <w:highlight w:val="none"/>
          <w:lang w:val="zh-CN"/>
        </w:rPr>
        <w:fldChar w:fldCharType="separate"/>
      </w:r>
      <w:r>
        <w:rPr>
          <w:rFonts w:hint="eastAsia"/>
          <w:szCs w:val="24"/>
          <w:highlight w:val="none"/>
        </w:rPr>
        <w:t>附表四：投标文件递交签收凭证</w:t>
      </w:r>
      <w:r>
        <w:tab/>
      </w:r>
      <w:r>
        <w:fldChar w:fldCharType="begin"/>
      </w:r>
      <w:r>
        <w:instrText xml:space="preserve"> PAGEREF _Toc32658 \h </w:instrText>
      </w:r>
      <w:r>
        <w:fldChar w:fldCharType="separate"/>
      </w:r>
      <w:r>
        <w:t>1</w:t>
      </w:r>
      <w:r>
        <w:fldChar w:fldCharType="end"/>
      </w:r>
      <w:r>
        <w:rPr>
          <w:bCs/>
          <w:color w:val="auto"/>
          <w:highlight w:val="none"/>
          <w:lang w:val="zh-CN"/>
        </w:rPr>
        <w:fldChar w:fldCharType="end"/>
      </w:r>
    </w:p>
    <w:p w14:paraId="0095E672">
      <w:pPr>
        <w:pStyle w:val="13"/>
        <w:tabs>
          <w:tab w:val="right" w:leader="dot" w:pos="8290"/>
        </w:tabs>
      </w:pPr>
      <w:r>
        <w:rPr>
          <w:bCs/>
          <w:color w:val="auto"/>
          <w:highlight w:val="none"/>
          <w:lang w:val="zh-CN"/>
        </w:rPr>
        <w:fldChar w:fldCharType="begin"/>
      </w:r>
      <w:r>
        <w:rPr>
          <w:bCs/>
          <w:highlight w:val="none"/>
          <w:lang w:val="zh-CN"/>
        </w:rPr>
        <w:instrText xml:space="preserve"> HYPERLINK \l _Toc4222 </w:instrText>
      </w:r>
      <w:r>
        <w:rPr>
          <w:bCs/>
          <w:highlight w:val="none"/>
          <w:lang w:val="zh-CN"/>
        </w:rPr>
        <w:fldChar w:fldCharType="separate"/>
      </w:r>
      <w:r>
        <w:rPr>
          <w:rFonts w:hint="eastAsia"/>
          <w:szCs w:val="24"/>
          <w:highlight w:val="none"/>
        </w:rPr>
        <w:t>附表五：开标记录表</w:t>
      </w:r>
      <w:r>
        <w:tab/>
      </w:r>
      <w:r>
        <w:fldChar w:fldCharType="begin"/>
      </w:r>
      <w:r>
        <w:instrText xml:space="preserve"> PAGEREF _Toc4222 \h </w:instrText>
      </w:r>
      <w:r>
        <w:fldChar w:fldCharType="separate"/>
      </w:r>
      <w:r>
        <w:t>1</w:t>
      </w:r>
      <w:r>
        <w:fldChar w:fldCharType="end"/>
      </w:r>
      <w:r>
        <w:rPr>
          <w:bCs/>
          <w:color w:val="auto"/>
          <w:highlight w:val="none"/>
          <w:lang w:val="zh-CN"/>
        </w:rPr>
        <w:fldChar w:fldCharType="end"/>
      </w:r>
    </w:p>
    <w:p w14:paraId="30F4E2D3">
      <w:pPr>
        <w:pStyle w:val="13"/>
        <w:tabs>
          <w:tab w:val="right" w:leader="dot" w:pos="8290"/>
        </w:tabs>
      </w:pPr>
      <w:r>
        <w:rPr>
          <w:bCs/>
          <w:color w:val="auto"/>
          <w:highlight w:val="none"/>
          <w:lang w:val="zh-CN"/>
        </w:rPr>
        <w:fldChar w:fldCharType="begin"/>
      </w:r>
      <w:r>
        <w:rPr>
          <w:bCs/>
          <w:highlight w:val="none"/>
          <w:lang w:val="zh-CN"/>
        </w:rPr>
        <w:instrText xml:space="preserve"> HYPERLINK \l _Toc1998 </w:instrText>
      </w:r>
      <w:r>
        <w:rPr>
          <w:bCs/>
          <w:highlight w:val="none"/>
          <w:lang w:val="zh-CN"/>
        </w:rPr>
        <w:fldChar w:fldCharType="separate"/>
      </w:r>
      <w:r>
        <w:rPr>
          <w:rFonts w:hint="eastAsia"/>
          <w:szCs w:val="24"/>
          <w:highlight w:val="none"/>
        </w:rPr>
        <w:t>附表六：投标文件问题澄清通知</w:t>
      </w:r>
      <w:r>
        <w:tab/>
      </w:r>
      <w:r>
        <w:fldChar w:fldCharType="begin"/>
      </w:r>
      <w:r>
        <w:instrText xml:space="preserve"> PAGEREF _Toc1998 \h </w:instrText>
      </w:r>
      <w:r>
        <w:fldChar w:fldCharType="separate"/>
      </w:r>
      <w:r>
        <w:t>1</w:t>
      </w:r>
      <w:r>
        <w:fldChar w:fldCharType="end"/>
      </w:r>
      <w:r>
        <w:rPr>
          <w:bCs/>
          <w:color w:val="auto"/>
          <w:highlight w:val="none"/>
          <w:lang w:val="zh-CN"/>
        </w:rPr>
        <w:fldChar w:fldCharType="end"/>
      </w:r>
    </w:p>
    <w:p w14:paraId="0A4A7216">
      <w:pPr>
        <w:pStyle w:val="13"/>
        <w:tabs>
          <w:tab w:val="right" w:leader="dot" w:pos="8290"/>
        </w:tabs>
      </w:pPr>
      <w:r>
        <w:rPr>
          <w:bCs/>
          <w:color w:val="auto"/>
          <w:highlight w:val="none"/>
          <w:lang w:val="zh-CN"/>
        </w:rPr>
        <w:fldChar w:fldCharType="begin"/>
      </w:r>
      <w:r>
        <w:rPr>
          <w:bCs/>
          <w:highlight w:val="none"/>
          <w:lang w:val="zh-CN"/>
        </w:rPr>
        <w:instrText xml:space="preserve"> HYPERLINK \l _Toc28246 </w:instrText>
      </w:r>
      <w:r>
        <w:rPr>
          <w:bCs/>
          <w:highlight w:val="none"/>
          <w:lang w:val="zh-CN"/>
        </w:rPr>
        <w:fldChar w:fldCharType="separate"/>
      </w:r>
      <w:r>
        <w:rPr>
          <w:rFonts w:hint="eastAsia"/>
          <w:szCs w:val="24"/>
          <w:highlight w:val="none"/>
        </w:rPr>
        <w:t>附表七：投标文件问题的澄清</w:t>
      </w:r>
      <w:r>
        <w:tab/>
      </w:r>
      <w:r>
        <w:fldChar w:fldCharType="begin"/>
      </w:r>
      <w:r>
        <w:instrText xml:space="preserve"> PAGEREF _Toc28246 \h </w:instrText>
      </w:r>
      <w:r>
        <w:fldChar w:fldCharType="separate"/>
      </w:r>
      <w:r>
        <w:t>1</w:t>
      </w:r>
      <w:r>
        <w:fldChar w:fldCharType="end"/>
      </w:r>
      <w:r>
        <w:rPr>
          <w:bCs/>
          <w:color w:val="auto"/>
          <w:highlight w:val="none"/>
          <w:lang w:val="zh-CN"/>
        </w:rPr>
        <w:fldChar w:fldCharType="end"/>
      </w:r>
    </w:p>
    <w:p w14:paraId="7A3F4006">
      <w:pPr>
        <w:pStyle w:val="13"/>
        <w:tabs>
          <w:tab w:val="right" w:leader="dot" w:pos="8290"/>
        </w:tabs>
      </w:pPr>
      <w:r>
        <w:rPr>
          <w:bCs/>
          <w:color w:val="auto"/>
          <w:highlight w:val="none"/>
          <w:lang w:val="zh-CN"/>
        </w:rPr>
        <w:fldChar w:fldCharType="begin"/>
      </w:r>
      <w:r>
        <w:rPr>
          <w:bCs/>
          <w:highlight w:val="none"/>
          <w:lang w:val="zh-CN"/>
        </w:rPr>
        <w:instrText xml:space="preserve"> HYPERLINK \l _Toc13641 </w:instrText>
      </w:r>
      <w:r>
        <w:rPr>
          <w:bCs/>
          <w:highlight w:val="none"/>
          <w:lang w:val="zh-CN"/>
        </w:rPr>
        <w:fldChar w:fldCharType="separate"/>
      </w:r>
      <w:r>
        <w:rPr>
          <w:rFonts w:hint="eastAsia"/>
          <w:szCs w:val="24"/>
          <w:highlight w:val="none"/>
        </w:rPr>
        <w:t>附表八：中标通知书</w:t>
      </w:r>
      <w:r>
        <w:tab/>
      </w:r>
      <w:r>
        <w:fldChar w:fldCharType="begin"/>
      </w:r>
      <w:r>
        <w:instrText xml:space="preserve"> PAGEREF _Toc13641 \h </w:instrText>
      </w:r>
      <w:r>
        <w:fldChar w:fldCharType="separate"/>
      </w:r>
      <w:r>
        <w:t>1</w:t>
      </w:r>
      <w:r>
        <w:fldChar w:fldCharType="end"/>
      </w:r>
      <w:r>
        <w:rPr>
          <w:bCs/>
          <w:color w:val="auto"/>
          <w:highlight w:val="none"/>
          <w:lang w:val="zh-CN"/>
        </w:rPr>
        <w:fldChar w:fldCharType="end"/>
      </w:r>
    </w:p>
    <w:p w14:paraId="3B6C8698">
      <w:pPr>
        <w:pStyle w:val="13"/>
        <w:tabs>
          <w:tab w:val="right" w:leader="dot" w:pos="8290"/>
        </w:tabs>
      </w:pPr>
      <w:r>
        <w:rPr>
          <w:bCs/>
          <w:color w:val="auto"/>
          <w:highlight w:val="none"/>
          <w:lang w:val="zh-CN"/>
        </w:rPr>
        <w:fldChar w:fldCharType="begin"/>
      </w:r>
      <w:r>
        <w:rPr>
          <w:bCs/>
          <w:highlight w:val="none"/>
          <w:lang w:val="zh-CN"/>
        </w:rPr>
        <w:instrText xml:space="preserve"> HYPERLINK \l _Toc4352 </w:instrText>
      </w:r>
      <w:r>
        <w:rPr>
          <w:bCs/>
          <w:highlight w:val="none"/>
          <w:lang w:val="zh-CN"/>
        </w:rPr>
        <w:fldChar w:fldCharType="separate"/>
      </w:r>
      <w:r>
        <w:rPr>
          <w:rFonts w:hint="eastAsia"/>
          <w:szCs w:val="24"/>
          <w:highlight w:val="none"/>
        </w:rPr>
        <w:t>附表九：中标结果通知书</w:t>
      </w:r>
      <w:r>
        <w:tab/>
      </w:r>
      <w:r>
        <w:fldChar w:fldCharType="begin"/>
      </w:r>
      <w:r>
        <w:instrText xml:space="preserve"> PAGEREF _Toc4352 \h </w:instrText>
      </w:r>
      <w:r>
        <w:fldChar w:fldCharType="separate"/>
      </w:r>
      <w:r>
        <w:t>1</w:t>
      </w:r>
      <w:r>
        <w:fldChar w:fldCharType="end"/>
      </w:r>
      <w:r>
        <w:rPr>
          <w:bCs/>
          <w:color w:val="auto"/>
          <w:highlight w:val="none"/>
          <w:lang w:val="zh-CN"/>
        </w:rPr>
        <w:fldChar w:fldCharType="end"/>
      </w:r>
    </w:p>
    <w:p w14:paraId="518D4D1D">
      <w:pPr>
        <w:pStyle w:val="13"/>
        <w:tabs>
          <w:tab w:val="right" w:leader="dot" w:pos="8290"/>
        </w:tabs>
      </w:pPr>
      <w:r>
        <w:rPr>
          <w:bCs/>
          <w:color w:val="auto"/>
          <w:highlight w:val="none"/>
          <w:lang w:val="zh-CN"/>
        </w:rPr>
        <w:fldChar w:fldCharType="begin"/>
      </w:r>
      <w:r>
        <w:rPr>
          <w:bCs/>
          <w:highlight w:val="none"/>
          <w:lang w:val="zh-CN"/>
        </w:rPr>
        <w:instrText xml:space="preserve"> HYPERLINK \l _Toc19351 </w:instrText>
      </w:r>
      <w:r>
        <w:rPr>
          <w:bCs/>
          <w:highlight w:val="none"/>
          <w:lang w:val="zh-CN"/>
        </w:rPr>
        <w:fldChar w:fldCharType="separate"/>
      </w:r>
      <w:r>
        <w:rPr>
          <w:rFonts w:hint="eastAsia"/>
          <w:szCs w:val="24"/>
          <w:highlight w:val="none"/>
        </w:rPr>
        <w:t>附表十：异议函</w:t>
      </w:r>
      <w:r>
        <w:tab/>
      </w:r>
      <w:r>
        <w:fldChar w:fldCharType="begin"/>
      </w:r>
      <w:r>
        <w:instrText xml:space="preserve"> PAGEREF _Toc19351 \h </w:instrText>
      </w:r>
      <w:r>
        <w:fldChar w:fldCharType="separate"/>
      </w:r>
      <w:r>
        <w:t>1</w:t>
      </w:r>
      <w:r>
        <w:fldChar w:fldCharType="end"/>
      </w:r>
      <w:r>
        <w:rPr>
          <w:bCs/>
          <w:color w:val="auto"/>
          <w:highlight w:val="none"/>
          <w:lang w:val="zh-CN"/>
        </w:rPr>
        <w:fldChar w:fldCharType="end"/>
      </w:r>
    </w:p>
    <w:p w14:paraId="7B0B0229">
      <w:pPr>
        <w:pStyle w:val="13"/>
        <w:tabs>
          <w:tab w:val="right" w:leader="dot" w:pos="8290"/>
        </w:tabs>
      </w:pPr>
      <w:r>
        <w:rPr>
          <w:bCs/>
          <w:color w:val="auto"/>
          <w:highlight w:val="none"/>
          <w:lang w:val="zh-CN"/>
        </w:rPr>
        <w:fldChar w:fldCharType="begin"/>
      </w:r>
      <w:r>
        <w:rPr>
          <w:bCs/>
          <w:highlight w:val="none"/>
          <w:lang w:val="zh-CN"/>
        </w:rPr>
        <w:instrText xml:space="preserve"> HYPERLINK \l _Toc21579 </w:instrText>
      </w:r>
      <w:r>
        <w:rPr>
          <w:bCs/>
          <w:highlight w:val="none"/>
          <w:lang w:val="zh-CN"/>
        </w:rPr>
        <w:fldChar w:fldCharType="separate"/>
      </w:r>
      <w:r>
        <w:rPr>
          <w:rFonts w:hint="eastAsia"/>
          <w:szCs w:val="24"/>
          <w:highlight w:val="none"/>
        </w:rPr>
        <w:t>附表十一：异议答复函</w:t>
      </w:r>
      <w:r>
        <w:tab/>
      </w:r>
      <w:r>
        <w:fldChar w:fldCharType="begin"/>
      </w:r>
      <w:r>
        <w:instrText xml:space="preserve"> PAGEREF _Toc21579 \h </w:instrText>
      </w:r>
      <w:r>
        <w:fldChar w:fldCharType="separate"/>
      </w:r>
      <w:r>
        <w:t>1</w:t>
      </w:r>
      <w:r>
        <w:fldChar w:fldCharType="end"/>
      </w:r>
      <w:r>
        <w:rPr>
          <w:bCs/>
          <w:color w:val="auto"/>
          <w:highlight w:val="none"/>
          <w:lang w:val="zh-CN"/>
        </w:rPr>
        <w:fldChar w:fldCharType="end"/>
      </w:r>
    </w:p>
    <w:p w14:paraId="0BD3BD49">
      <w:pPr>
        <w:pStyle w:val="13"/>
        <w:tabs>
          <w:tab w:val="right" w:leader="dot" w:pos="8290"/>
        </w:tabs>
      </w:pPr>
      <w:r>
        <w:rPr>
          <w:bCs/>
          <w:color w:val="auto"/>
          <w:highlight w:val="none"/>
          <w:lang w:val="zh-CN"/>
        </w:rPr>
        <w:fldChar w:fldCharType="begin"/>
      </w:r>
      <w:r>
        <w:rPr>
          <w:bCs/>
          <w:highlight w:val="none"/>
          <w:lang w:val="zh-CN"/>
        </w:rPr>
        <w:instrText xml:space="preserve"> HYPERLINK \l _Toc27570 </w:instrText>
      </w:r>
      <w:r>
        <w:rPr>
          <w:bCs/>
          <w:highlight w:val="none"/>
          <w:lang w:val="zh-CN"/>
        </w:rPr>
        <w:fldChar w:fldCharType="separate"/>
      </w:r>
      <w:r>
        <w:rPr>
          <w:rFonts w:hint="eastAsia"/>
          <w:szCs w:val="24"/>
          <w:highlight w:val="none"/>
        </w:rPr>
        <w:t>附表十二：招标控制价明细</w:t>
      </w:r>
      <w:r>
        <w:tab/>
      </w:r>
      <w:r>
        <w:fldChar w:fldCharType="begin"/>
      </w:r>
      <w:r>
        <w:instrText xml:space="preserve"> PAGEREF _Toc27570 \h </w:instrText>
      </w:r>
      <w:r>
        <w:fldChar w:fldCharType="separate"/>
      </w:r>
      <w:r>
        <w:t>1</w:t>
      </w:r>
      <w:r>
        <w:fldChar w:fldCharType="end"/>
      </w:r>
      <w:r>
        <w:rPr>
          <w:bCs/>
          <w:color w:val="auto"/>
          <w:highlight w:val="none"/>
          <w:lang w:val="zh-CN"/>
        </w:rPr>
        <w:fldChar w:fldCharType="end"/>
      </w:r>
    </w:p>
    <w:p w14:paraId="2EEF5624">
      <w:pPr>
        <w:pStyle w:val="13"/>
        <w:tabs>
          <w:tab w:val="right" w:leader="dot" w:pos="8290"/>
        </w:tabs>
      </w:pPr>
      <w:r>
        <w:rPr>
          <w:bCs/>
          <w:color w:val="auto"/>
          <w:highlight w:val="none"/>
          <w:lang w:val="zh-CN"/>
        </w:rPr>
        <w:fldChar w:fldCharType="begin"/>
      </w:r>
      <w:r>
        <w:rPr>
          <w:bCs/>
          <w:highlight w:val="none"/>
          <w:lang w:val="zh-CN"/>
        </w:rPr>
        <w:instrText xml:space="preserve"> HYPERLINK \l _Toc16422 </w:instrText>
      </w:r>
      <w:r>
        <w:rPr>
          <w:bCs/>
          <w:highlight w:val="none"/>
          <w:lang w:val="zh-CN"/>
        </w:rPr>
        <w:fldChar w:fldCharType="separate"/>
      </w:r>
      <w:r>
        <w:rPr>
          <w:rFonts w:hint="eastAsia"/>
          <w:szCs w:val="24"/>
          <w:highlight w:val="none"/>
        </w:rPr>
        <w:t>附表十三：授权委托书</w:t>
      </w:r>
      <w:r>
        <w:tab/>
      </w:r>
      <w:r>
        <w:fldChar w:fldCharType="begin"/>
      </w:r>
      <w:r>
        <w:instrText xml:space="preserve"> PAGEREF _Toc16422 \h </w:instrText>
      </w:r>
      <w:r>
        <w:fldChar w:fldCharType="separate"/>
      </w:r>
      <w:r>
        <w:t>1</w:t>
      </w:r>
      <w:r>
        <w:fldChar w:fldCharType="end"/>
      </w:r>
      <w:r>
        <w:rPr>
          <w:bCs/>
          <w:color w:val="auto"/>
          <w:highlight w:val="none"/>
          <w:lang w:val="zh-CN"/>
        </w:rPr>
        <w:fldChar w:fldCharType="end"/>
      </w:r>
    </w:p>
    <w:p w14:paraId="59243EC4">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_Toc9534 </w:instrText>
      </w:r>
      <w:r>
        <w:rPr>
          <w:bCs/>
          <w:highlight w:val="none"/>
          <w:lang w:val="zh-CN"/>
        </w:rPr>
        <w:fldChar w:fldCharType="separate"/>
      </w:r>
      <w:r>
        <w:rPr>
          <w:rFonts w:hint="eastAsia" w:ascii="黑体" w:hAnsi="黑体" w:eastAsia="黑体"/>
          <w:bCs w:val="0"/>
          <w:highlight w:val="none"/>
        </w:rPr>
        <w:t>第三章  评标办法</w:t>
      </w:r>
      <w:r>
        <w:tab/>
      </w:r>
      <w:r>
        <w:fldChar w:fldCharType="begin"/>
      </w:r>
      <w:r>
        <w:instrText xml:space="preserve"> PAGEREF _Toc9534 \h </w:instrText>
      </w:r>
      <w:r>
        <w:fldChar w:fldCharType="separate"/>
      </w:r>
      <w:r>
        <w:rPr>
          <w:b/>
        </w:rPr>
        <w:t>错误！未定义书签。</w:t>
      </w:r>
      <w:r>
        <w:fldChar w:fldCharType="end"/>
      </w:r>
      <w:r>
        <w:rPr>
          <w:bCs/>
          <w:color w:val="auto"/>
          <w:highlight w:val="none"/>
          <w:lang w:val="zh-CN"/>
        </w:rPr>
        <w:fldChar w:fldCharType="end"/>
      </w:r>
    </w:p>
    <w:p w14:paraId="167F4F31">
      <w:pPr>
        <w:pStyle w:val="13"/>
        <w:tabs>
          <w:tab w:val="right" w:leader="dot" w:pos="8290"/>
        </w:tabs>
      </w:pPr>
      <w:r>
        <w:rPr>
          <w:bCs/>
          <w:color w:val="auto"/>
          <w:highlight w:val="none"/>
          <w:lang w:val="zh-CN"/>
        </w:rPr>
        <w:fldChar w:fldCharType="begin"/>
      </w:r>
      <w:r>
        <w:rPr>
          <w:bCs/>
          <w:highlight w:val="none"/>
          <w:lang w:val="zh-CN"/>
        </w:rPr>
        <w:instrText xml:space="preserve"> HYPERLINK \l _Toc30541 </w:instrText>
      </w:r>
      <w:r>
        <w:rPr>
          <w:bCs/>
          <w:highlight w:val="none"/>
          <w:lang w:val="zh-CN"/>
        </w:rPr>
        <w:fldChar w:fldCharType="separate"/>
      </w:r>
      <w:r>
        <w:rPr>
          <w:rFonts w:hint="eastAsia"/>
          <w:highlight w:val="none"/>
        </w:rPr>
        <w:t>评标办法前附表（办法四）（综合评估法）</w:t>
      </w:r>
      <w:r>
        <w:tab/>
      </w:r>
      <w:r>
        <w:fldChar w:fldCharType="begin"/>
      </w:r>
      <w:r>
        <w:instrText xml:space="preserve"> PAGEREF _Toc30541 \h </w:instrText>
      </w:r>
      <w:r>
        <w:fldChar w:fldCharType="separate"/>
      </w:r>
      <w:r>
        <w:t>1</w:t>
      </w:r>
      <w:r>
        <w:fldChar w:fldCharType="end"/>
      </w:r>
      <w:r>
        <w:rPr>
          <w:bCs/>
          <w:color w:val="auto"/>
          <w:highlight w:val="none"/>
          <w:lang w:val="zh-CN"/>
        </w:rPr>
        <w:fldChar w:fldCharType="end"/>
      </w:r>
    </w:p>
    <w:p w14:paraId="3196F693">
      <w:pPr>
        <w:pStyle w:val="13"/>
        <w:tabs>
          <w:tab w:val="right" w:leader="dot" w:pos="8290"/>
        </w:tabs>
      </w:pPr>
      <w:r>
        <w:rPr>
          <w:bCs/>
          <w:color w:val="auto"/>
          <w:highlight w:val="none"/>
          <w:lang w:val="zh-CN"/>
        </w:rPr>
        <w:fldChar w:fldCharType="begin"/>
      </w:r>
      <w:r>
        <w:rPr>
          <w:bCs/>
          <w:highlight w:val="none"/>
          <w:lang w:val="zh-CN"/>
        </w:rPr>
        <w:instrText xml:space="preserve"> HYPERLINK \l _Toc17159 </w:instrText>
      </w:r>
      <w:r>
        <w:rPr>
          <w:bCs/>
          <w:highlight w:val="none"/>
          <w:lang w:val="zh-CN"/>
        </w:rPr>
        <w:fldChar w:fldCharType="separate"/>
      </w:r>
      <w:r>
        <w:rPr>
          <w:rFonts w:hint="eastAsia"/>
          <w:highlight w:val="none"/>
        </w:rPr>
        <w:t>评标办法正文部分</w:t>
      </w:r>
      <w:r>
        <w:tab/>
      </w:r>
      <w:r>
        <w:fldChar w:fldCharType="begin"/>
      </w:r>
      <w:r>
        <w:instrText xml:space="preserve"> PAGEREF _Toc17159 \h </w:instrText>
      </w:r>
      <w:r>
        <w:fldChar w:fldCharType="separate"/>
      </w:r>
      <w:r>
        <w:t>1</w:t>
      </w:r>
      <w:r>
        <w:fldChar w:fldCharType="end"/>
      </w:r>
      <w:r>
        <w:rPr>
          <w:bCs/>
          <w:color w:val="auto"/>
          <w:highlight w:val="none"/>
          <w:lang w:val="zh-CN"/>
        </w:rPr>
        <w:fldChar w:fldCharType="end"/>
      </w:r>
    </w:p>
    <w:p w14:paraId="20F7401D">
      <w:pPr>
        <w:pStyle w:val="13"/>
        <w:tabs>
          <w:tab w:val="right" w:leader="dot" w:pos="8290"/>
        </w:tabs>
      </w:pPr>
      <w:r>
        <w:rPr>
          <w:bCs/>
          <w:color w:val="auto"/>
          <w:highlight w:val="none"/>
          <w:lang w:val="zh-CN"/>
        </w:rPr>
        <w:fldChar w:fldCharType="begin"/>
      </w:r>
      <w:r>
        <w:rPr>
          <w:bCs/>
          <w:highlight w:val="none"/>
          <w:lang w:val="zh-CN"/>
        </w:rPr>
        <w:instrText xml:space="preserve"> HYPERLINK \l _Toc2137 </w:instrText>
      </w:r>
      <w:r>
        <w:rPr>
          <w:bCs/>
          <w:highlight w:val="none"/>
          <w:lang w:val="zh-CN"/>
        </w:rPr>
        <w:fldChar w:fldCharType="separate"/>
      </w:r>
      <w:r>
        <w:rPr>
          <w:highlight w:val="none"/>
        </w:rPr>
        <w:t xml:space="preserve">1. </w:t>
      </w:r>
      <w:r>
        <w:rPr>
          <w:rFonts w:hint="eastAsia"/>
          <w:highlight w:val="none"/>
        </w:rPr>
        <w:t>评标方法</w:t>
      </w:r>
      <w:r>
        <w:tab/>
      </w:r>
      <w:r>
        <w:fldChar w:fldCharType="begin"/>
      </w:r>
      <w:r>
        <w:instrText xml:space="preserve"> PAGEREF _Toc2137 \h </w:instrText>
      </w:r>
      <w:r>
        <w:fldChar w:fldCharType="separate"/>
      </w:r>
      <w:r>
        <w:t>1</w:t>
      </w:r>
      <w:r>
        <w:fldChar w:fldCharType="end"/>
      </w:r>
      <w:r>
        <w:rPr>
          <w:bCs/>
          <w:color w:val="auto"/>
          <w:highlight w:val="none"/>
          <w:lang w:val="zh-CN"/>
        </w:rPr>
        <w:fldChar w:fldCharType="end"/>
      </w:r>
    </w:p>
    <w:p w14:paraId="218A6E34">
      <w:pPr>
        <w:pStyle w:val="13"/>
        <w:tabs>
          <w:tab w:val="right" w:leader="dot" w:pos="8290"/>
        </w:tabs>
      </w:pPr>
      <w:r>
        <w:rPr>
          <w:bCs/>
          <w:color w:val="auto"/>
          <w:highlight w:val="none"/>
          <w:lang w:val="zh-CN"/>
        </w:rPr>
        <w:fldChar w:fldCharType="begin"/>
      </w:r>
      <w:r>
        <w:rPr>
          <w:bCs/>
          <w:highlight w:val="none"/>
          <w:lang w:val="zh-CN"/>
        </w:rPr>
        <w:instrText xml:space="preserve"> HYPERLINK \l _Toc13398 </w:instrText>
      </w:r>
      <w:r>
        <w:rPr>
          <w:bCs/>
          <w:highlight w:val="none"/>
          <w:lang w:val="zh-CN"/>
        </w:rPr>
        <w:fldChar w:fldCharType="separate"/>
      </w:r>
      <w:r>
        <w:rPr>
          <w:highlight w:val="none"/>
        </w:rPr>
        <w:t xml:space="preserve">2. </w:t>
      </w:r>
      <w:r>
        <w:rPr>
          <w:rFonts w:hint="eastAsia"/>
          <w:highlight w:val="none"/>
        </w:rPr>
        <w:t>评审标准</w:t>
      </w:r>
      <w:r>
        <w:tab/>
      </w:r>
      <w:r>
        <w:fldChar w:fldCharType="begin"/>
      </w:r>
      <w:r>
        <w:instrText xml:space="preserve"> PAGEREF _Toc13398 \h </w:instrText>
      </w:r>
      <w:r>
        <w:fldChar w:fldCharType="separate"/>
      </w:r>
      <w:r>
        <w:t>1</w:t>
      </w:r>
      <w:r>
        <w:fldChar w:fldCharType="end"/>
      </w:r>
      <w:r>
        <w:rPr>
          <w:bCs/>
          <w:color w:val="auto"/>
          <w:highlight w:val="none"/>
          <w:lang w:val="zh-CN"/>
        </w:rPr>
        <w:fldChar w:fldCharType="end"/>
      </w:r>
    </w:p>
    <w:p w14:paraId="39DE0581">
      <w:pPr>
        <w:pStyle w:val="8"/>
        <w:tabs>
          <w:tab w:val="right" w:leader="dot" w:pos="8290"/>
        </w:tabs>
      </w:pPr>
      <w:r>
        <w:rPr>
          <w:bCs/>
          <w:color w:val="auto"/>
          <w:highlight w:val="none"/>
          <w:lang w:val="zh-CN"/>
        </w:rPr>
        <w:fldChar w:fldCharType="begin"/>
      </w:r>
      <w:r>
        <w:rPr>
          <w:bCs/>
          <w:highlight w:val="none"/>
          <w:lang w:val="zh-CN"/>
        </w:rPr>
        <w:instrText xml:space="preserve"> HYPERLINK \l _Toc7217 </w:instrText>
      </w:r>
      <w:r>
        <w:rPr>
          <w:bCs/>
          <w:highlight w:val="none"/>
          <w:lang w:val="zh-CN"/>
        </w:rPr>
        <w:fldChar w:fldCharType="separate"/>
      </w:r>
      <w:r>
        <w:rPr>
          <w:highlight w:val="none"/>
        </w:rPr>
        <w:t xml:space="preserve">2.1 </w:t>
      </w:r>
      <w:r>
        <w:rPr>
          <w:rFonts w:hint="eastAsia"/>
          <w:highlight w:val="none"/>
        </w:rPr>
        <w:t>初步评审标准</w:t>
      </w:r>
      <w:r>
        <w:tab/>
      </w:r>
      <w:r>
        <w:fldChar w:fldCharType="begin"/>
      </w:r>
      <w:r>
        <w:instrText xml:space="preserve"> PAGEREF _Toc7217 \h </w:instrText>
      </w:r>
      <w:r>
        <w:fldChar w:fldCharType="separate"/>
      </w:r>
      <w:r>
        <w:t>1</w:t>
      </w:r>
      <w:r>
        <w:fldChar w:fldCharType="end"/>
      </w:r>
      <w:r>
        <w:rPr>
          <w:bCs/>
          <w:color w:val="auto"/>
          <w:highlight w:val="none"/>
          <w:lang w:val="zh-CN"/>
        </w:rPr>
        <w:fldChar w:fldCharType="end"/>
      </w:r>
    </w:p>
    <w:p w14:paraId="72DA7E8A">
      <w:pPr>
        <w:pStyle w:val="8"/>
        <w:tabs>
          <w:tab w:val="right" w:leader="dot" w:pos="8290"/>
        </w:tabs>
      </w:pPr>
      <w:r>
        <w:rPr>
          <w:bCs/>
          <w:color w:val="auto"/>
          <w:highlight w:val="none"/>
          <w:lang w:val="zh-CN"/>
        </w:rPr>
        <w:fldChar w:fldCharType="begin"/>
      </w:r>
      <w:r>
        <w:rPr>
          <w:bCs/>
          <w:highlight w:val="none"/>
          <w:lang w:val="zh-CN"/>
        </w:rPr>
        <w:instrText xml:space="preserve"> HYPERLINK \l _Toc16918 </w:instrText>
      </w:r>
      <w:r>
        <w:rPr>
          <w:bCs/>
          <w:highlight w:val="none"/>
          <w:lang w:val="zh-CN"/>
        </w:rPr>
        <w:fldChar w:fldCharType="separate"/>
      </w:r>
      <w:r>
        <w:rPr>
          <w:highlight w:val="none"/>
        </w:rPr>
        <w:t xml:space="preserve">2.2 </w:t>
      </w:r>
      <w:r>
        <w:rPr>
          <w:rFonts w:hint="eastAsia"/>
          <w:highlight w:val="none"/>
        </w:rPr>
        <w:t>分值构成与评分标准</w:t>
      </w:r>
      <w:r>
        <w:tab/>
      </w:r>
      <w:r>
        <w:fldChar w:fldCharType="begin"/>
      </w:r>
      <w:r>
        <w:instrText xml:space="preserve"> PAGEREF _Toc16918 \h </w:instrText>
      </w:r>
      <w:r>
        <w:fldChar w:fldCharType="separate"/>
      </w:r>
      <w:r>
        <w:t>1</w:t>
      </w:r>
      <w:r>
        <w:fldChar w:fldCharType="end"/>
      </w:r>
      <w:r>
        <w:rPr>
          <w:bCs/>
          <w:color w:val="auto"/>
          <w:highlight w:val="none"/>
          <w:lang w:val="zh-CN"/>
        </w:rPr>
        <w:fldChar w:fldCharType="end"/>
      </w:r>
    </w:p>
    <w:p w14:paraId="3AF22350">
      <w:pPr>
        <w:pStyle w:val="13"/>
        <w:tabs>
          <w:tab w:val="right" w:leader="dot" w:pos="8290"/>
        </w:tabs>
      </w:pPr>
      <w:r>
        <w:rPr>
          <w:bCs/>
          <w:color w:val="auto"/>
          <w:highlight w:val="none"/>
          <w:lang w:val="zh-CN"/>
        </w:rPr>
        <w:fldChar w:fldCharType="begin"/>
      </w:r>
      <w:r>
        <w:rPr>
          <w:bCs/>
          <w:highlight w:val="none"/>
          <w:lang w:val="zh-CN"/>
        </w:rPr>
        <w:instrText xml:space="preserve"> HYPERLINK \l _Toc5431 </w:instrText>
      </w:r>
      <w:r>
        <w:rPr>
          <w:bCs/>
          <w:highlight w:val="none"/>
          <w:lang w:val="zh-CN"/>
        </w:rPr>
        <w:fldChar w:fldCharType="separate"/>
      </w:r>
      <w:r>
        <w:rPr>
          <w:highlight w:val="none"/>
        </w:rPr>
        <w:t xml:space="preserve">3. </w:t>
      </w:r>
      <w:r>
        <w:rPr>
          <w:rFonts w:hint="eastAsia"/>
          <w:highlight w:val="none"/>
        </w:rPr>
        <w:t>评标程序</w:t>
      </w:r>
      <w:r>
        <w:tab/>
      </w:r>
      <w:r>
        <w:fldChar w:fldCharType="begin"/>
      </w:r>
      <w:r>
        <w:instrText xml:space="preserve"> PAGEREF _Toc5431 \h </w:instrText>
      </w:r>
      <w:r>
        <w:fldChar w:fldCharType="separate"/>
      </w:r>
      <w:r>
        <w:t>1</w:t>
      </w:r>
      <w:r>
        <w:fldChar w:fldCharType="end"/>
      </w:r>
      <w:r>
        <w:rPr>
          <w:bCs/>
          <w:color w:val="auto"/>
          <w:highlight w:val="none"/>
          <w:lang w:val="zh-CN"/>
        </w:rPr>
        <w:fldChar w:fldCharType="end"/>
      </w:r>
    </w:p>
    <w:p w14:paraId="25668361">
      <w:pPr>
        <w:pStyle w:val="8"/>
        <w:tabs>
          <w:tab w:val="right" w:leader="dot" w:pos="8290"/>
        </w:tabs>
      </w:pPr>
      <w:r>
        <w:rPr>
          <w:bCs/>
          <w:color w:val="auto"/>
          <w:highlight w:val="none"/>
          <w:lang w:val="zh-CN"/>
        </w:rPr>
        <w:fldChar w:fldCharType="begin"/>
      </w:r>
      <w:r>
        <w:rPr>
          <w:bCs/>
          <w:highlight w:val="none"/>
          <w:lang w:val="zh-CN"/>
        </w:rPr>
        <w:instrText xml:space="preserve"> HYPERLINK \l _Toc30166 </w:instrText>
      </w:r>
      <w:r>
        <w:rPr>
          <w:bCs/>
          <w:highlight w:val="none"/>
          <w:lang w:val="zh-CN"/>
        </w:rPr>
        <w:fldChar w:fldCharType="separate"/>
      </w:r>
      <w:r>
        <w:rPr>
          <w:highlight w:val="none"/>
        </w:rPr>
        <w:t xml:space="preserve">3.1 </w:t>
      </w:r>
      <w:r>
        <w:rPr>
          <w:rFonts w:hint="eastAsia"/>
          <w:highlight w:val="none"/>
        </w:rPr>
        <w:t>初步评审</w:t>
      </w:r>
      <w:r>
        <w:tab/>
      </w:r>
      <w:r>
        <w:fldChar w:fldCharType="begin"/>
      </w:r>
      <w:r>
        <w:instrText xml:space="preserve"> PAGEREF _Toc30166 \h </w:instrText>
      </w:r>
      <w:r>
        <w:fldChar w:fldCharType="separate"/>
      </w:r>
      <w:r>
        <w:t>1</w:t>
      </w:r>
      <w:r>
        <w:fldChar w:fldCharType="end"/>
      </w:r>
      <w:r>
        <w:rPr>
          <w:bCs/>
          <w:color w:val="auto"/>
          <w:highlight w:val="none"/>
          <w:lang w:val="zh-CN"/>
        </w:rPr>
        <w:fldChar w:fldCharType="end"/>
      </w:r>
    </w:p>
    <w:p w14:paraId="23F61794">
      <w:pPr>
        <w:pStyle w:val="8"/>
        <w:tabs>
          <w:tab w:val="right" w:leader="dot" w:pos="8290"/>
        </w:tabs>
      </w:pPr>
      <w:r>
        <w:rPr>
          <w:bCs/>
          <w:color w:val="auto"/>
          <w:highlight w:val="none"/>
          <w:lang w:val="zh-CN"/>
        </w:rPr>
        <w:fldChar w:fldCharType="begin"/>
      </w:r>
      <w:r>
        <w:rPr>
          <w:bCs/>
          <w:highlight w:val="none"/>
          <w:lang w:val="zh-CN"/>
        </w:rPr>
        <w:instrText xml:space="preserve"> HYPERLINK \l _Toc3235 </w:instrText>
      </w:r>
      <w:r>
        <w:rPr>
          <w:bCs/>
          <w:highlight w:val="none"/>
          <w:lang w:val="zh-CN"/>
        </w:rPr>
        <w:fldChar w:fldCharType="separate"/>
      </w:r>
      <w:r>
        <w:rPr>
          <w:highlight w:val="none"/>
        </w:rPr>
        <w:t xml:space="preserve">3.2 </w:t>
      </w:r>
      <w:r>
        <w:rPr>
          <w:rFonts w:hint="eastAsia"/>
          <w:highlight w:val="none"/>
        </w:rPr>
        <w:t>详细评审</w:t>
      </w:r>
      <w:r>
        <w:tab/>
      </w:r>
      <w:r>
        <w:fldChar w:fldCharType="begin"/>
      </w:r>
      <w:r>
        <w:instrText xml:space="preserve"> PAGEREF _Toc3235 \h </w:instrText>
      </w:r>
      <w:r>
        <w:fldChar w:fldCharType="separate"/>
      </w:r>
      <w:r>
        <w:t>1</w:t>
      </w:r>
      <w:r>
        <w:fldChar w:fldCharType="end"/>
      </w:r>
      <w:r>
        <w:rPr>
          <w:bCs/>
          <w:color w:val="auto"/>
          <w:highlight w:val="none"/>
          <w:lang w:val="zh-CN"/>
        </w:rPr>
        <w:fldChar w:fldCharType="end"/>
      </w:r>
    </w:p>
    <w:p w14:paraId="1FE12DB7">
      <w:pPr>
        <w:pStyle w:val="8"/>
        <w:tabs>
          <w:tab w:val="right" w:leader="dot" w:pos="8290"/>
        </w:tabs>
      </w:pPr>
      <w:r>
        <w:rPr>
          <w:bCs/>
          <w:color w:val="auto"/>
          <w:highlight w:val="none"/>
          <w:lang w:val="zh-CN"/>
        </w:rPr>
        <w:fldChar w:fldCharType="begin"/>
      </w:r>
      <w:r>
        <w:rPr>
          <w:bCs/>
          <w:highlight w:val="none"/>
          <w:lang w:val="zh-CN"/>
        </w:rPr>
        <w:instrText xml:space="preserve"> HYPERLINK \l _Toc2607 </w:instrText>
      </w:r>
      <w:r>
        <w:rPr>
          <w:bCs/>
          <w:highlight w:val="none"/>
          <w:lang w:val="zh-CN"/>
        </w:rPr>
        <w:fldChar w:fldCharType="separate"/>
      </w:r>
      <w:r>
        <w:rPr>
          <w:highlight w:val="none"/>
        </w:rPr>
        <w:t xml:space="preserve">3.3 </w:t>
      </w:r>
      <w:r>
        <w:rPr>
          <w:rFonts w:hint="eastAsia"/>
          <w:highlight w:val="none"/>
        </w:rPr>
        <w:t>投标文件的澄清和补正</w:t>
      </w:r>
      <w:r>
        <w:tab/>
      </w:r>
      <w:r>
        <w:fldChar w:fldCharType="begin"/>
      </w:r>
      <w:r>
        <w:instrText xml:space="preserve"> PAGEREF _Toc2607 \h </w:instrText>
      </w:r>
      <w:r>
        <w:fldChar w:fldCharType="separate"/>
      </w:r>
      <w:r>
        <w:t>1</w:t>
      </w:r>
      <w:r>
        <w:fldChar w:fldCharType="end"/>
      </w:r>
      <w:r>
        <w:rPr>
          <w:bCs/>
          <w:color w:val="auto"/>
          <w:highlight w:val="none"/>
          <w:lang w:val="zh-CN"/>
        </w:rPr>
        <w:fldChar w:fldCharType="end"/>
      </w:r>
    </w:p>
    <w:p w14:paraId="2F978399">
      <w:pPr>
        <w:pStyle w:val="8"/>
        <w:tabs>
          <w:tab w:val="right" w:leader="dot" w:pos="8290"/>
        </w:tabs>
      </w:pPr>
      <w:r>
        <w:rPr>
          <w:bCs/>
          <w:color w:val="auto"/>
          <w:highlight w:val="none"/>
          <w:lang w:val="zh-CN"/>
        </w:rPr>
        <w:fldChar w:fldCharType="begin"/>
      </w:r>
      <w:r>
        <w:rPr>
          <w:bCs/>
          <w:highlight w:val="none"/>
          <w:lang w:val="zh-CN"/>
        </w:rPr>
        <w:instrText xml:space="preserve"> HYPERLINK \l _Toc18406 </w:instrText>
      </w:r>
      <w:r>
        <w:rPr>
          <w:bCs/>
          <w:highlight w:val="none"/>
          <w:lang w:val="zh-CN"/>
        </w:rPr>
        <w:fldChar w:fldCharType="separate"/>
      </w:r>
      <w:r>
        <w:rPr>
          <w:highlight w:val="none"/>
        </w:rPr>
        <w:t xml:space="preserve">3.4 </w:t>
      </w:r>
      <w:r>
        <w:rPr>
          <w:rFonts w:hint="eastAsia"/>
          <w:highlight w:val="none"/>
        </w:rPr>
        <w:t>评标结果</w:t>
      </w:r>
      <w:r>
        <w:tab/>
      </w:r>
      <w:r>
        <w:fldChar w:fldCharType="begin"/>
      </w:r>
      <w:r>
        <w:instrText xml:space="preserve"> PAGEREF _Toc18406 \h </w:instrText>
      </w:r>
      <w:r>
        <w:fldChar w:fldCharType="separate"/>
      </w:r>
      <w:r>
        <w:t>1</w:t>
      </w:r>
      <w:r>
        <w:fldChar w:fldCharType="end"/>
      </w:r>
      <w:r>
        <w:rPr>
          <w:bCs/>
          <w:color w:val="auto"/>
          <w:highlight w:val="none"/>
          <w:lang w:val="zh-CN"/>
        </w:rPr>
        <w:fldChar w:fldCharType="end"/>
      </w:r>
    </w:p>
    <w:p w14:paraId="17D3FA11">
      <w:pPr>
        <w:pStyle w:val="13"/>
        <w:tabs>
          <w:tab w:val="right" w:leader="dot" w:pos="8290"/>
        </w:tabs>
      </w:pPr>
      <w:r>
        <w:rPr>
          <w:bCs/>
          <w:color w:val="auto"/>
          <w:highlight w:val="none"/>
          <w:lang w:val="zh-CN"/>
        </w:rPr>
        <w:fldChar w:fldCharType="begin"/>
      </w:r>
      <w:r>
        <w:rPr>
          <w:bCs/>
          <w:highlight w:val="none"/>
          <w:lang w:val="zh-CN"/>
        </w:rPr>
        <w:instrText xml:space="preserve"> HYPERLINK \l _Toc14108 </w:instrText>
      </w:r>
      <w:r>
        <w:rPr>
          <w:bCs/>
          <w:highlight w:val="none"/>
          <w:lang w:val="zh-CN"/>
        </w:rPr>
        <w:fldChar w:fldCharType="separate"/>
      </w:r>
      <w:r>
        <w:rPr>
          <w:rFonts w:hint="eastAsia"/>
          <w:szCs w:val="24"/>
          <w:highlight w:val="none"/>
        </w:rPr>
        <w:t>附件</w:t>
      </w:r>
      <w:r>
        <w:rPr>
          <w:szCs w:val="24"/>
          <w:highlight w:val="none"/>
        </w:rPr>
        <w:t>A:</w:t>
      </w:r>
      <w:r>
        <w:rPr>
          <w:rFonts w:hint="eastAsia"/>
          <w:szCs w:val="24"/>
          <w:highlight w:val="none"/>
        </w:rPr>
        <w:t>评标详细程序</w:t>
      </w:r>
      <w:r>
        <w:tab/>
      </w:r>
      <w:r>
        <w:fldChar w:fldCharType="begin"/>
      </w:r>
      <w:r>
        <w:instrText xml:space="preserve"> PAGEREF _Toc14108 \h </w:instrText>
      </w:r>
      <w:r>
        <w:fldChar w:fldCharType="separate"/>
      </w:r>
      <w:r>
        <w:t>1</w:t>
      </w:r>
      <w:r>
        <w:fldChar w:fldCharType="end"/>
      </w:r>
      <w:r>
        <w:rPr>
          <w:bCs/>
          <w:color w:val="auto"/>
          <w:highlight w:val="none"/>
          <w:lang w:val="zh-CN"/>
        </w:rPr>
        <w:fldChar w:fldCharType="end"/>
      </w:r>
    </w:p>
    <w:p w14:paraId="041BAC4F">
      <w:pPr>
        <w:pStyle w:val="8"/>
        <w:tabs>
          <w:tab w:val="right" w:leader="dot" w:pos="8290"/>
        </w:tabs>
      </w:pPr>
      <w:r>
        <w:rPr>
          <w:bCs/>
          <w:color w:val="auto"/>
          <w:highlight w:val="none"/>
          <w:lang w:val="zh-CN"/>
        </w:rPr>
        <w:fldChar w:fldCharType="begin"/>
      </w:r>
      <w:r>
        <w:rPr>
          <w:bCs/>
          <w:highlight w:val="none"/>
          <w:lang w:val="zh-CN"/>
        </w:rPr>
        <w:instrText xml:space="preserve"> HYPERLINK \l _Toc19991 </w:instrText>
      </w:r>
      <w:r>
        <w:rPr>
          <w:bCs/>
          <w:highlight w:val="none"/>
          <w:lang w:val="zh-CN"/>
        </w:rPr>
        <w:fldChar w:fldCharType="separate"/>
      </w:r>
      <w:r>
        <w:rPr>
          <w:highlight w:val="none"/>
        </w:rPr>
        <w:t>A0.</w:t>
      </w:r>
      <w:r>
        <w:rPr>
          <w:rFonts w:hint="eastAsia"/>
          <w:highlight w:val="none"/>
        </w:rPr>
        <w:t>总</w:t>
      </w:r>
      <w:r>
        <w:rPr>
          <w:highlight w:val="none"/>
        </w:rPr>
        <w:t xml:space="preserve">  </w:t>
      </w:r>
      <w:r>
        <w:rPr>
          <w:rFonts w:hint="eastAsia"/>
          <w:highlight w:val="none"/>
        </w:rPr>
        <w:t>则</w:t>
      </w:r>
      <w:r>
        <w:tab/>
      </w:r>
      <w:r>
        <w:fldChar w:fldCharType="begin"/>
      </w:r>
      <w:r>
        <w:instrText xml:space="preserve"> PAGEREF _Toc19991 \h </w:instrText>
      </w:r>
      <w:r>
        <w:fldChar w:fldCharType="separate"/>
      </w:r>
      <w:r>
        <w:t>1</w:t>
      </w:r>
      <w:r>
        <w:fldChar w:fldCharType="end"/>
      </w:r>
      <w:r>
        <w:rPr>
          <w:bCs/>
          <w:color w:val="auto"/>
          <w:highlight w:val="none"/>
          <w:lang w:val="zh-CN"/>
        </w:rPr>
        <w:fldChar w:fldCharType="end"/>
      </w:r>
    </w:p>
    <w:p w14:paraId="7C1463E2">
      <w:pPr>
        <w:pStyle w:val="8"/>
        <w:tabs>
          <w:tab w:val="right" w:leader="dot" w:pos="8290"/>
        </w:tabs>
      </w:pPr>
      <w:r>
        <w:rPr>
          <w:bCs/>
          <w:color w:val="auto"/>
          <w:highlight w:val="none"/>
          <w:lang w:val="zh-CN"/>
        </w:rPr>
        <w:fldChar w:fldCharType="begin"/>
      </w:r>
      <w:r>
        <w:rPr>
          <w:bCs/>
          <w:highlight w:val="none"/>
          <w:lang w:val="zh-CN"/>
        </w:rPr>
        <w:instrText xml:space="preserve"> HYPERLINK \l _Toc576 </w:instrText>
      </w:r>
      <w:r>
        <w:rPr>
          <w:bCs/>
          <w:highlight w:val="none"/>
          <w:lang w:val="zh-CN"/>
        </w:rPr>
        <w:fldChar w:fldCharType="separate"/>
      </w:r>
      <w:r>
        <w:rPr>
          <w:highlight w:val="none"/>
        </w:rPr>
        <w:t>A1.</w:t>
      </w:r>
      <w:r>
        <w:rPr>
          <w:rFonts w:hint="eastAsia"/>
          <w:highlight w:val="none"/>
        </w:rPr>
        <w:t>基本程序</w:t>
      </w:r>
      <w:r>
        <w:tab/>
      </w:r>
      <w:r>
        <w:fldChar w:fldCharType="begin"/>
      </w:r>
      <w:r>
        <w:instrText xml:space="preserve"> PAGEREF _Toc576 \h </w:instrText>
      </w:r>
      <w:r>
        <w:fldChar w:fldCharType="separate"/>
      </w:r>
      <w:r>
        <w:t>1</w:t>
      </w:r>
      <w:r>
        <w:fldChar w:fldCharType="end"/>
      </w:r>
      <w:r>
        <w:rPr>
          <w:bCs/>
          <w:color w:val="auto"/>
          <w:highlight w:val="none"/>
          <w:lang w:val="zh-CN"/>
        </w:rPr>
        <w:fldChar w:fldCharType="end"/>
      </w:r>
    </w:p>
    <w:p w14:paraId="1F609BA9">
      <w:pPr>
        <w:pStyle w:val="8"/>
        <w:tabs>
          <w:tab w:val="right" w:leader="dot" w:pos="8290"/>
        </w:tabs>
      </w:pPr>
      <w:r>
        <w:rPr>
          <w:bCs/>
          <w:color w:val="auto"/>
          <w:highlight w:val="none"/>
          <w:lang w:val="zh-CN"/>
        </w:rPr>
        <w:fldChar w:fldCharType="begin"/>
      </w:r>
      <w:r>
        <w:rPr>
          <w:bCs/>
          <w:highlight w:val="none"/>
          <w:lang w:val="zh-CN"/>
        </w:rPr>
        <w:instrText xml:space="preserve"> HYPERLINK \l _Toc17832 </w:instrText>
      </w:r>
      <w:r>
        <w:rPr>
          <w:bCs/>
          <w:highlight w:val="none"/>
          <w:lang w:val="zh-CN"/>
        </w:rPr>
        <w:fldChar w:fldCharType="separate"/>
      </w:r>
      <w:r>
        <w:rPr>
          <w:highlight w:val="none"/>
        </w:rPr>
        <w:t>A2.</w:t>
      </w:r>
      <w:r>
        <w:rPr>
          <w:rFonts w:hint="eastAsia"/>
          <w:highlight w:val="none"/>
        </w:rPr>
        <w:t>评标准备</w:t>
      </w:r>
      <w:r>
        <w:tab/>
      </w:r>
      <w:r>
        <w:fldChar w:fldCharType="begin"/>
      </w:r>
      <w:r>
        <w:instrText xml:space="preserve"> PAGEREF _Toc17832 \h </w:instrText>
      </w:r>
      <w:r>
        <w:fldChar w:fldCharType="separate"/>
      </w:r>
      <w:r>
        <w:t>1</w:t>
      </w:r>
      <w:r>
        <w:fldChar w:fldCharType="end"/>
      </w:r>
      <w:r>
        <w:rPr>
          <w:bCs/>
          <w:color w:val="auto"/>
          <w:highlight w:val="none"/>
          <w:lang w:val="zh-CN"/>
        </w:rPr>
        <w:fldChar w:fldCharType="end"/>
      </w:r>
    </w:p>
    <w:p w14:paraId="208A55F6">
      <w:pPr>
        <w:pStyle w:val="8"/>
        <w:tabs>
          <w:tab w:val="right" w:leader="dot" w:pos="8290"/>
        </w:tabs>
      </w:pPr>
      <w:r>
        <w:rPr>
          <w:bCs/>
          <w:color w:val="auto"/>
          <w:highlight w:val="none"/>
          <w:lang w:val="zh-CN"/>
        </w:rPr>
        <w:fldChar w:fldCharType="begin"/>
      </w:r>
      <w:r>
        <w:rPr>
          <w:bCs/>
          <w:highlight w:val="none"/>
          <w:lang w:val="zh-CN"/>
        </w:rPr>
        <w:instrText xml:space="preserve"> HYPERLINK \l _Toc14898 </w:instrText>
      </w:r>
      <w:r>
        <w:rPr>
          <w:bCs/>
          <w:highlight w:val="none"/>
          <w:lang w:val="zh-CN"/>
        </w:rPr>
        <w:fldChar w:fldCharType="separate"/>
      </w:r>
      <w:r>
        <w:rPr>
          <w:szCs w:val="21"/>
          <w:highlight w:val="none"/>
        </w:rPr>
        <w:t>A2.1</w:t>
      </w:r>
      <w:r>
        <w:rPr>
          <w:rFonts w:hint="eastAsia"/>
          <w:szCs w:val="21"/>
          <w:highlight w:val="none"/>
        </w:rPr>
        <w:t>评标委员会成员签到</w:t>
      </w:r>
      <w:r>
        <w:tab/>
      </w:r>
      <w:r>
        <w:fldChar w:fldCharType="begin"/>
      </w:r>
      <w:r>
        <w:instrText xml:space="preserve"> PAGEREF _Toc14898 \h </w:instrText>
      </w:r>
      <w:r>
        <w:fldChar w:fldCharType="separate"/>
      </w:r>
      <w:r>
        <w:t>1</w:t>
      </w:r>
      <w:r>
        <w:fldChar w:fldCharType="end"/>
      </w:r>
      <w:r>
        <w:rPr>
          <w:bCs/>
          <w:color w:val="auto"/>
          <w:highlight w:val="none"/>
          <w:lang w:val="zh-CN"/>
        </w:rPr>
        <w:fldChar w:fldCharType="end"/>
      </w:r>
    </w:p>
    <w:p w14:paraId="511AA417">
      <w:pPr>
        <w:pStyle w:val="8"/>
        <w:tabs>
          <w:tab w:val="right" w:leader="dot" w:pos="8290"/>
        </w:tabs>
      </w:pPr>
      <w:r>
        <w:rPr>
          <w:bCs/>
          <w:color w:val="auto"/>
          <w:highlight w:val="none"/>
          <w:lang w:val="zh-CN"/>
        </w:rPr>
        <w:fldChar w:fldCharType="begin"/>
      </w:r>
      <w:r>
        <w:rPr>
          <w:bCs/>
          <w:highlight w:val="none"/>
          <w:lang w:val="zh-CN"/>
        </w:rPr>
        <w:instrText xml:space="preserve"> HYPERLINK \l _Toc17666 </w:instrText>
      </w:r>
      <w:r>
        <w:rPr>
          <w:bCs/>
          <w:highlight w:val="none"/>
          <w:lang w:val="zh-CN"/>
        </w:rPr>
        <w:fldChar w:fldCharType="separate"/>
      </w:r>
      <w:r>
        <w:rPr>
          <w:szCs w:val="21"/>
          <w:highlight w:val="none"/>
        </w:rPr>
        <w:t>A2.2</w:t>
      </w:r>
      <w:r>
        <w:rPr>
          <w:rFonts w:hint="eastAsia"/>
          <w:szCs w:val="21"/>
          <w:highlight w:val="none"/>
        </w:rPr>
        <w:t>评标委员会的分工</w:t>
      </w:r>
      <w:r>
        <w:tab/>
      </w:r>
      <w:r>
        <w:fldChar w:fldCharType="begin"/>
      </w:r>
      <w:r>
        <w:instrText xml:space="preserve"> PAGEREF _Toc17666 \h </w:instrText>
      </w:r>
      <w:r>
        <w:fldChar w:fldCharType="separate"/>
      </w:r>
      <w:r>
        <w:t>1</w:t>
      </w:r>
      <w:r>
        <w:fldChar w:fldCharType="end"/>
      </w:r>
      <w:r>
        <w:rPr>
          <w:bCs/>
          <w:color w:val="auto"/>
          <w:highlight w:val="none"/>
          <w:lang w:val="zh-CN"/>
        </w:rPr>
        <w:fldChar w:fldCharType="end"/>
      </w:r>
    </w:p>
    <w:p w14:paraId="52D6A373">
      <w:pPr>
        <w:pStyle w:val="8"/>
        <w:tabs>
          <w:tab w:val="right" w:leader="dot" w:pos="8290"/>
        </w:tabs>
      </w:pPr>
      <w:r>
        <w:rPr>
          <w:bCs/>
          <w:color w:val="auto"/>
          <w:highlight w:val="none"/>
          <w:lang w:val="zh-CN"/>
        </w:rPr>
        <w:fldChar w:fldCharType="begin"/>
      </w:r>
      <w:r>
        <w:rPr>
          <w:bCs/>
          <w:highlight w:val="none"/>
          <w:lang w:val="zh-CN"/>
        </w:rPr>
        <w:instrText xml:space="preserve"> HYPERLINK \l _Toc15679 </w:instrText>
      </w:r>
      <w:r>
        <w:rPr>
          <w:bCs/>
          <w:highlight w:val="none"/>
          <w:lang w:val="zh-CN"/>
        </w:rPr>
        <w:fldChar w:fldCharType="separate"/>
      </w:r>
      <w:r>
        <w:rPr>
          <w:szCs w:val="21"/>
          <w:highlight w:val="none"/>
        </w:rPr>
        <w:t>A2.3</w:t>
      </w:r>
      <w:r>
        <w:rPr>
          <w:rFonts w:hint="eastAsia"/>
          <w:szCs w:val="21"/>
          <w:highlight w:val="none"/>
        </w:rPr>
        <w:t>熟悉文件资料</w:t>
      </w:r>
      <w:r>
        <w:tab/>
      </w:r>
      <w:r>
        <w:fldChar w:fldCharType="begin"/>
      </w:r>
      <w:r>
        <w:instrText xml:space="preserve"> PAGEREF _Toc15679 \h </w:instrText>
      </w:r>
      <w:r>
        <w:fldChar w:fldCharType="separate"/>
      </w:r>
      <w:r>
        <w:t>1</w:t>
      </w:r>
      <w:r>
        <w:fldChar w:fldCharType="end"/>
      </w:r>
      <w:r>
        <w:rPr>
          <w:bCs/>
          <w:color w:val="auto"/>
          <w:highlight w:val="none"/>
          <w:lang w:val="zh-CN"/>
        </w:rPr>
        <w:fldChar w:fldCharType="end"/>
      </w:r>
    </w:p>
    <w:p w14:paraId="41B19A5C">
      <w:pPr>
        <w:pStyle w:val="8"/>
        <w:tabs>
          <w:tab w:val="right" w:leader="dot" w:pos="8290"/>
        </w:tabs>
      </w:pPr>
      <w:r>
        <w:rPr>
          <w:bCs/>
          <w:color w:val="auto"/>
          <w:highlight w:val="none"/>
          <w:lang w:val="zh-CN"/>
        </w:rPr>
        <w:fldChar w:fldCharType="begin"/>
      </w:r>
      <w:r>
        <w:rPr>
          <w:bCs/>
          <w:highlight w:val="none"/>
          <w:lang w:val="zh-CN"/>
        </w:rPr>
        <w:instrText xml:space="preserve"> HYPERLINK \l _Toc21680 </w:instrText>
      </w:r>
      <w:r>
        <w:rPr>
          <w:bCs/>
          <w:highlight w:val="none"/>
          <w:lang w:val="zh-CN"/>
        </w:rPr>
        <w:fldChar w:fldCharType="separate"/>
      </w:r>
      <w:r>
        <w:rPr>
          <w:szCs w:val="21"/>
          <w:highlight w:val="none"/>
        </w:rPr>
        <w:t>A2.4</w:t>
      </w:r>
      <w:r>
        <w:rPr>
          <w:rFonts w:hint="eastAsia"/>
          <w:szCs w:val="21"/>
          <w:highlight w:val="none"/>
        </w:rPr>
        <w:t>暗标编号</w:t>
      </w:r>
      <w:r>
        <w:rPr>
          <w:szCs w:val="21"/>
          <w:highlight w:val="none"/>
        </w:rPr>
        <w:t>(</w:t>
      </w:r>
      <w:r>
        <w:rPr>
          <w:rFonts w:hint="eastAsia"/>
          <w:szCs w:val="21"/>
          <w:highlight w:val="none"/>
        </w:rPr>
        <w:t>适用于对施工组织设计进行暗标评审的</w:t>
      </w:r>
      <w:r>
        <w:rPr>
          <w:szCs w:val="21"/>
          <w:highlight w:val="none"/>
        </w:rPr>
        <w:t>)</w:t>
      </w:r>
      <w:r>
        <w:tab/>
      </w:r>
      <w:r>
        <w:fldChar w:fldCharType="begin"/>
      </w:r>
      <w:r>
        <w:instrText xml:space="preserve"> PAGEREF _Toc21680 \h </w:instrText>
      </w:r>
      <w:r>
        <w:fldChar w:fldCharType="separate"/>
      </w:r>
      <w:r>
        <w:t>1</w:t>
      </w:r>
      <w:r>
        <w:fldChar w:fldCharType="end"/>
      </w:r>
      <w:r>
        <w:rPr>
          <w:bCs/>
          <w:color w:val="auto"/>
          <w:highlight w:val="none"/>
          <w:lang w:val="zh-CN"/>
        </w:rPr>
        <w:fldChar w:fldCharType="end"/>
      </w:r>
    </w:p>
    <w:p w14:paraId="107DB697">
      <w:pPr>
        <w:pStyle w:val="8"/>
        <w:tabs>
          <w:tab w:val="right" w:leader="dot" w:pos="8290"/>
        </w:tabs>
      </w:pPr>
      <w:r>
        <w:rPr>
          <w:bCs/>
          <w:color w:val="auto"/>
          <w:highlight w:val="none"/>
          <w:lang w:val="zh-CN"/>
        </w:rPr>
        <w:fldChar w:fldCharType="begin"/>
      </w:r>
      <w:r>
        <w:rPr>
          <w:bCs/>
          <w:highlight w:val="none"/>
          <w:lang w:val="zh-CN"/>
        </w:rPr>
        <w:instrText xml:space="preserve"> HYPERLINK \l _Toc28495 </w:instrText>
      </w:r>
      <w:r>
        <w:rPr>
          <w:bCs/>
          <w:highlight w:val="none"/>
          <w:lang w:val="zh-CN"/>
        </w:rPr>
        <w:fldChar w:fldCharType="separate"/>
      </w:r>
      <w:r>
        <w:rPr>
          <w:szCs w:val="21"/>
          <w:highlight w:val="none"/>
        </w:rPr>
        <w:t>A2.5</w:t>
      </w:r>
      <w:r>
        <w:rPr>
          <w:rFonts w:hint="eastAsia"/>
          <w:szCs w:val="21"/>
          <w:highlight w:val="none"/>
        </w:rPr>
        <w:t>对投标文件进行基础性数据分析和整理工作</w:t>
      </w:r>
      <w:r>
        <w:rPr>
          <w:szCs w:val="21"/>
          <w:highlight w:val="none"/>
        </w:rPr>
        <w:t>(</w:t>
      </w:r>
      <w:r>
        <w:rPr>
          <w:rFonts w:hint="eastAsia"/>
          <w:szCs w:val="21"/>
          <w:highlight w:val="none"/>
        </w:rPr>
        <w:t>清标</w:t>
      </w:r>
      <w:r>
        <w:rPr>
          <w:szCs w:val="21"/>
          <w:highlight w:val="none"/>
        </w:rPr>
        <w:t>)</w:t>
      </w:r>
      <w:r>
        <w:tab/>
      </w:r>
      <w:r>
        <w:fldChar w:fldCharType="begin"/>
      </w:r>
      <w:r>
        <w:instrText xml:space="preserve"> PAGEREF _Toc28495 \h </w:instrText>
      </w:r>
      <w:r>
        <w:fldChar w:fldCharType="separate"/>
      </w:r>
      <w:r>
        <w:t>1</w:t>
      </w:r>
      <w:r>
        <w:fldChar w:fldCharType="end"/>
      </w:r>
      <w:r>
        <w:rPr>
          <w:bCs/>
          <w:color w:val="auto"/>
          <w:highlight w:val="none"/>
          <w:lang w:val="zh-CN"/>
        </w:rPr>
        <w:fldChar w:fldCharType="end"/>
      </w:r>
    </w:p>
    <w:p w14:paraId="7245F349">
      <w:pPr>
        <w:pStyle w:val="8"/>
        <w:tabs>
          <w:tab w:val="right" w:leader="dot" w:pos="8290"/>
        </w:tabs>
      </w:pPr>
      <w:r>
        <w:rPr>
          <w:bCs/>
          <w:color w:val="auto"/>
          <w:highlight w:val="none"/>
          <w:lang w:val="zh-CN"/>
        </w:rPr>
        <w:fldChar w:fldCharType="begin"/>
      </w:r>
      <w:r>
        <w:rPr>
          <w:bCs/>
          <w:highlight w:val="none"/>
          <w:lang w:val="zh-CN"/>
        </w:rPr>
        <w:instrText xml:space="preserve"> HYPERLINK \l _Toc6217 </w:instrText>
      </w:r>
      <w:r>
        <w:rPr>
          <w:bCs/>
          <w:highlight w:val="none"/>
          <w:lang w:val="zh-CN"/>
        </w:rPr>
        <w:fldChar w:fldCharType="separate"/>
      </w:r>
      <w:r>
        <w:rPr>
          <w:highlight w:val="none"/>
        </w:rPr>
        <w:t>A3</w:t>
      </w:r>
      <w:r>
        <w:rPr>
          <w:rFonts w:hint="eastAsia"/>
          <w:highlight w:val="none"/>
        </w:rPr>
        <w:t>初步评审</w:t>
      </w:r>
      <w:r>
        <w:tab/>
      </w:r>
      <w:r>
        <w:fldChar w:fldCharType="begin"/>
      </w:r>
      <w:r>
        <w:instrText xml:space="preserve"> PAGEREF _Toc6217 \h </w:instrText>
      </w:r>
      <w:r>
        <w:fldChar w:fldCharType="separate"/>
      </w:r>
      <w:r>
        <w:t>1</w:t>
      </w:r>
      <w:r>
        <w:fldChar w:fldCharType="end"/>
      </w:r>
      <w:r>
        <w:rPr>
          <w:bCs/>
          <w:color w:val="auto"/>
          <w:highlight w:val="none"/>
          <w:lang w:val="zh-CN"/>
        </w:rPr>
        <w:fldChar w:fldCharType="end"/>
      </w:r>
    </w:p>
    <w:p w14:paraId="61E8789B">
      <w:pPr>
        <w:pStyle w:val="8"/>
        <w:tabs>
          <w:tab w:val="right" w:leader="dot" w:pos="8290"/>
        </w:tabs>
      </w:pPr>
      <w:r>
        <w:rPr>
          <w:bCs/>
          <w:color w:val="auto"/>
          <w:highlight w:val="none"/>
          <w:lang w:val="zh-CN"/>
        </w:rPr>
        <w:fldChar w:fldCharType="begin"/>
      </w:r>
      <w:r>
        <w:rPr>
          <w:bCs/>
          <w:highlight w:val="none"/>
          <w:lang w:val="zh-CN"/>
        </w:rPr>
        <w:instrText xml:space="preserve"> HYPERLINK \l _Toc8136 </w:instrText>
      </w:r>
      <w:r>
        <w:rPr>
          <w:bCs/>
          <w:highlight w:val="none"/>
          <w:lang w:val="zh-CN"/>
        </w:rPr>
        <w:fldChar w:fldCharType="separate"/>
      </w:r>
      <w:r>
        <w:rPr>
          <w:szCs w:val="21"/>
          <w:highlight w:val="none"/>
        </w:rPr>
        <w:t>A3.1</w:t>
      </w:r>
      <w:r>
        <w:rPr>
          <w:rFonts w:hint="eastAsia"/>
          <w:szCs w:val="21"/>
          <w:highlight w:val="none"/>
        </w:rPr>
        <w:t>形式评审</w:t>
      </w:r>
      <w:r>
        <w:tab/>
      </w:r>
      <w:r>
        <w:fldChar w:fldCharType="begin"/>
      </w:r>
      <w:r>
        <w:instrText xml:space="preserve"> PAGEREF _Toc8136 \h </w:instrText>
      </w:r>
      <w:r>
        <w:fldChar w:fldCharType="separate"/>
      </w:r>
      <w:r>
        <w:t>1</w:t>
      </w:r>
      <w:r>
        <w:fldChar w:fldCharType="end"/>
      </w:r>
      <w:r>
        <w:rPr>
          <w:bCs/>
          <w:color w:val="auto"/>
          <w:highlight w:val="none"/>
          <w:lang w:val="zh-CN"/>
        </w:rPr>
        <w:fldChar w:fldCharType="end"/>
      </w:r>
    </w:p>
    <w:p w14:paraId="5D2901AB">
      <w:pPr>
        <w:pStyle w:val="8"/>
        <w:tabs>
          <w:tab w:val="right" w:leader="dot" w:pos="8290"/>
        </w:tabs>
      </w:pPr>
      <w:r>
        <w:rPr>
          <w:bCs/>
          <w:color w:val="auto"/>
          <w:highlight w:val="none"/>
          <w:lang w:val="zh-CN"/>
        </w:rPr>
        <w:fldChar w:fldCharType="begin"/>
      </w:r>
      <w:r>
        <w:rPr>
          <w:bCs/>
          <w:highlight w:val="none"/>
          <w:lang w:val="zh-CN"/>
        </w:rPr>
        <w:instrText xml:space="preserve"> HYPERLINK \l _Toc31541 </w:instrText>
      </w:r>
      <w:r>
        <w:rPr>
          <w:bCs/>
          <w:highlight w:val="none"/>
          <w:lang w:val="zh-CN"/>
        </w:rPr>
        <w:fldChar w:fldCharType="separate"/>
      </w:r>
      <w:r>
        <w:rPr>
          <w:szCs w:val="21"/>
          <w:highlight w:val="none"/>
        </w:rPr>
        <w:t>A3.2</w:t>
      </w:r>
      <w:r>
        <w:rPr>
          <w:rFonts w:hint="eastAsia"/>
          <w:szCs w:val="21"/>
          <w:highlight w:val="none"/>
        </w:rPr>
        <w:t>资格评审</w:t>
      </w:r>
      <w:r>
        <w:tab/>
      </w:r>
      <w:r>
        <w:fldChar w:fldCharType="begin"/>
      </w:r>
      <w:r>
        <w:instrText xml:space="preserve"> PAGEREF _Toc31541 \h </w:instrText>
      </w:r>
      <w:r>
        <w:fldChar w:fldCharType="separate"/>
      </w:r>
      <w:r>
        <w:t>1</w:t>
      </w:r>
      <w:r>
        <w:fldChar w:fldCharType="end"/>
      </w:r>
      <w:r>
        <w:rPr>
          <w:bCs/>
          <w:color w:val="auto"/>
          <w:highlight w:val="none"/>
          <w:lang w:val="zh-CN"/>
        </w:rPr>
        <w:fldChar w:fldCharType="end"/>
      </w:r>
    </w:p>
    <w:p w14:paraId="79CC7C4E">
      <w:pPr>
        <w:pStyle w:val="8"/>
        <w:tabs>
          <w:tab w:val="right" w:leader="dot" w:pos="8290"/>
        </w:tabs>
      </w:pPr>
      <w:r>
        <w:rPr>
          <w:bCs/>
          <w:color w:val="auto"/>
          <w:highlight w:val="none"/>
          <w:lang w:val="zh-CN"/>
        </w:rPr>
        <w:fldChar w:fldCharType="begin"/>
      </w:r>
      <w:r>
        <w:rPr>
          <w:bCs/>
          <w:highlight w:val="none"/>
          <w:lang w:val="zh-CN"/>
        </w:rPr>
        <w:instrText xml:space="preserve"> HYPERLINK \l _Toc26529 </w:instrText>
      </w:r>
      <w:r>
        <w:rPr>
          <w:bCs/>
          <w:highlight w:val="none"/>
          <w:lang w:val="zh-CN"/>
        </w:rPr>
        <w:fldChar w:fldCharType="separate"/>
      </w:r>
      <w:r>
        <w:rPr>
          <w:szCs w:val="21"/>
          <w:highlight w:val="none"/>
        </w:rPr>
        <w:t>A3.3</w:t>
      </w:r>
      <w:r>
        <w:rPr>
          <w:rFonts w:hint="eastAsia"/>
          <w:szCs w:val="21"/>
          <w:highlight w:val="none"/>
        </w:rPr>
        <w:t>响应性评审</w:t>
      </w:r>
      <w:r>
        <w:tab/>
      </w:r>
      <w:r>
        <w:fldChar w:fldCharType="begin"/>
      </w:r>
      <w:r>
        <w:instrText xml:space="preserve"> PAGEREF _Toc26529 \h </w:instrText>
      </w:r>
      <w:r>
        <w:fldChar w:fldCharType="separate"/>
      </w:r>
      <w:r>
        <w:t>1</w:t>
      </w:r>
      <w:r>
        <w:fldChar w:fldCharType="end"/>
      </w:r>
      <w:r>
        <w:rPr>
          <w:bCs/>
          <w:color w:val="auto"/>
          <w:highlight w:val="none"/>
          <w:lang w:val="zh-CN"/>
        </w:rPr>
        <w:fldChar w:fldCharType="end"/>
      </w:r>
    </w:p>
    <w:p w14:paraId="4F2F75C2">
      <w:pPr>
        <w:pStyle w:val="8"/>
        <w:tabs>
          <w:tab w:val="right" w:leader="dot" w:pos="8290"/>
        </w:tabs>
      </w:pPr>
      <w:r>
        <w:rPr>
          <w:bCs/>
          <w:color w:val="auto"/>
          <w:highlight w:val="none"/>
          <w:lang w:val="zh-CN"/>
        </w:rPr>
        <w:fldChar w:fldCharType="begin"/>
      </w:r>
      <w:r>
        <w:rPr>
          <w:bCs/>
          <w:highlight w:val="none"/>
          <w:lang w:val="zh-CN"/>
        </w:rPr>
        <w:instrText xml:space="preserve"> HYPERLINK \l _Toc26873 </w:instrText>
      </w:r>
      <w:r>
        <w:rPr>
          <w:bCs/>
          <w:highlight w:val="none"/>
          <w:lang w:val="zh-CN"/>
        </w:rPr>
        <w:fldChar w:fldCharType="separate"/>
      </w:r>
      <w:r>
        <w:rPr>
          <w:szCs w:val="21"/>
          <w:highlight w:val="none"/>
        </w:rPr>
        <w:t>A3.4</w:t>
      </w:r>
      <w:r>
        <w:rPr>
          <w:rFonts w:hint="eastAsia"/>
          <w:szCs w:val="21"/>
          <w:highlight w:val="none"/>
        </w:rPr>
        <w:t>施工组织设计评审</w:t>
      </w:r>
      <w:r>
        <w:tab/>
      </w:r>
      <w:r>
        <w:fldChar w:fldCharType="begin"/>
      </w:r>
      <w:r>
        <w:instrText xml:space="preserve"> PAGEREF _Toc26873 \h </w:instrText>
      </w:r>
      <w:r>
        <w:fldChar w:fldCharType="separate"/>
      </w:r>
      <w:r>
        <w:t>1</w:t>
      </w:r>
      <w:r>
        <w:fldChar w:fldCharType="end"/>
      </w:r>
      <w:r>
        <w:rPr>
          <w:bCs/>
          <w:color w:val="auto"/>
          <w:highlight w:val="none"/>
          <w:lang w:val="zh-CN"/>
        </w:rPr>
        <w:fldChar w:fldCharType="end"/>
      </w:r>
    </w:p>
    <w:p w14:paraId="51106D01">
      <w:pPr>
        <w:pStyle w:val="8"/>
        <w:tabs>
          <w:tab w:val="right" w:leader="dot" w:pos="8290"/>
        </w:tabs>
      </w:pPr>
      <w:r>
        <w:rPr>
          <w:bCs/>
          <w:color w:val="auto"/>
          <w:highlight w:val="none"/>
          <w:lang w:val="zh-CN"/>
        </w:rPr>
        <w:fldChar w:fldCharType="begin"/>
      </w:r>
      <w:r>
        <w:rPr>
          <w:bCs/>
          <w:highlight w:val="none"/>
          <w:lang w:val="zh-CN"/>
        </w:rPr>
        <w:instrText xml:space="preserve"> HYPERLINK \l _Toc2312 </w:instrText>
      </w:r>
      <w:r>
        <w:rPr>
          <w:bCs/>
          <w:highlight w:val="none"/>
          <w:lang w:val="zh-CN"/>
        </w:rPr>
        <w:fldChar w:fldCharType="separate"/>
      </w:r>
      <w:r>
        <w:rPr>
          <w:szCs w:val="21"/>
          <w:highlight w:val="none"/>
        </w:rPr>
        <w:t>A3.5</w:t>
      </w:r>
      <w:r>
        <w:rPr>
          <w:rFonts w:hint="eastAsia"/>
          <w:szCs w:val="21"/>
          <w:highlight w:val="none"/>
        </w:rPr>
        <w:t>算术错误修正</w:t>
      </w:r>
      <w:r>
        <w:tab/>
      </w:r>
      <w:r>
        <w:fldChar w:fldCharType="begin"/>
      </w:r>
      <w:r>
        <w:instrText xml:space="preserve"> PAGEREF _Toc2312 \h </w:instrText>
      </w:r>
      <w:r>
        <w:fldChar w:fldCharType="separate"/>
      </w:r>
      <w:r>
        <w:t>1</w:t>
      </w:r>
      <w:r>
        <w:fldChar w:fldCharType="end"/>
      </w:r>
      <w:r>
        <w:rPr>
          <w:bCs/>
          <w:color w:val="auto"/>
          <w:highlight w:val="none"/>
          <w:lang w:val="zh-CN"/>
        </w:rPr>
        <w:fldChar w:fldCharType="end"/>
      </w:r>
    </w:p>
    <w:p w14:paraId="36F3C4D8">
      <w:pPr>
        <w:pStyle w:val="8"/>
        <w:tabs>
          <w:tab w:val="right" w:leader="dot" w:pos="8290"/>
        </w:tabs>
      </w:pPr>
      <w:r>
        <w:rPr>
          <w:bCs/>
          <w:color w:val="auto"/>
          <w:highlight w:val="none"/>
          <w:lang w:val="zh-CN"/>
        </w:rPr>
        <w:fldChar w:fldCharType="begin"/>
      </w:r>
      <w:r>
        <w:rPr>
          <w:bCs/>
          <w:highlight w:val="none"/>
          <w:lang w:val="zh-CN"/>
        </w:rPr>
        <w:instrText xml:space="preserve"> HYPERLINK \l _Toc5316 </w:instrText>
      </w:r>
      <w:r>
        <w:rPr>
          <w:bCs/>
          <w:highlight w:val="none"/>
          <w:lang w:val="zh-CN"/>
        </w:rPr>
        <w:fldChar w:fldCharType="separate"/>
      </w:r>
      <w:r>
        <w:rPr>
          <w:szCs w:val="21"/>
          <w:highlight w:val="none"/>
        </w:rPr>
        <w:t xml:space="preserve">A3.6 </w:t>
      </w:r>
      <w:r>
        <w:rPr>
          <w:rFonts w:hint="eastAsia"/>
          <w:szCs w:val="21"/>
          <w:highlight w:val="none"/>
        </w:rPr>
        <w:t>判断投标报价是否低于成本</w:t>
      </w:r>
      <w:r>
        <w:tab/>
      </w:r>
      <w:r>
        <w:fldChar w:fldCharType="begin"/>
      </w:r>
      <w:r>
        <w:instrText xml:space="preserve"> PAGEREF _Toc5316 \h </w:instrText>
      </w:r>
      <w:r>
        <w:fldChar w:fldCharType="separate"/>
      </w:r>
      <w:r>
        <w:t>1</w:t>
      </w:r>
      <w:r>
        <w:fldChar w:fldCharType="end"/>
      </w:r>
      <w:r>
        <w:rPr>
          <w:bCs/>
          <w:color w:val="auto"/>
          <w:highlight w:val="none"/>
          <w:lang w:val="zh-CN"/>
        </w:rPr>
        <w:fldChar w:fldCharType="end"/>
      </w:r>
    </w:p>
    <w:p w14:paraId="4B930E52">
      <w:pPr>
        <w:pStyle w:val="8"/>
        <w:tabs>
          <w:tab w:val="right" w:leader="dot" w:pos="8290"/>
        </w:tabs>
      </w:pPr>
      <w:r>
        <w:rPr>
          <w:bCs/>
          <w:color w:val="auto"/>
          <w:highlight w:val="none"/>
          <w:lang w:val="zh-CN"/>
        </w:rPr>
        <w:fldChar w:fldCharType="begin"/>
      </w:r>
      <w:r>
        <w:rPr>
          <w:bCs/>
          <w:highlight w:val="none"/>
          <w:lang w:val="zh-CN"/>
        </w:rPr>
        <w:instrText xml:space="preserve"> HYPERLINK \l _Toc25929 </w:instrText>
      </w:r>
      <w:r>
        <w:rPr>
          <w:bCs/>
          <w:highlight w:val="none"/>
          <w:lang w:val="zh-CN"/>
        </w:rPr>
        <w:fldChar w:fldCharType="separate"/>
      </w:r>
      <w:r>
        <w:rPr>
          <w:szCs w:val="21"/>
          <w:highlight w:val="none"/>
        </w:rPr>
        <w:t xml:space="preserve">A3.7 </w:t>
      </w:r>
      <w:r>
        <w:rPr>
          <w:rFonts w:hint="eastAsia"/>
          <w:szCs w:val="21"/>
          <w:highlight w:val="none"/>
        </w:rPr>
        <w:t>判断投标是否为应当被否决</w:t>
      </w:r>
      <w:r>
        <w:tab/>
      </w:r>
      <w:r>
        <w:fldChar w:fldCharType="begin"/>
      </w:r>
      <w:r>
        <w:instrText xml:space="preserve"> PAGEREF _Toc25929 \h </w:instrText>
      </w:r>
      <w:r>
        <w:fldChar w:fldCharType="separate"/>
      </w:r>
      <w:r>
        <w:t>1</w:t>
      </w:r>
      <w:r>
        <w:fldChar w:fldCharType="end"/>
      </w:r>
      <w:r>
        <w:rPr>
          <w:bCs/>
          <w:color w:val="auto"/>
          <w:highlight w:val="none"/>
          <w:lang w:val="zh-CN"/>
        </w:rPr>
        <w:fldChar w:fldCharType="end"/>
      </w:r>
    </w:p>
    <w:p w14:paraId="54C78370">
      <w:pPr>
        <w:pStyle w:val="8"/>
        <w:tabs>
          <w:tab w:val="right" w:leader="dot" w:pos="8290"/>
        </w:tabs>
      </w:pPr>
      <w:r>
        <w:rPr>
          <w:bCs/>
          <w:color w:val="auto"/>
          <w:highlight w:val="none"/>
          <w:lang w:val="zh-CN"/>
        </w:rPr>
        <w:fldChar w:fldCharType="begin"/>
      </w:r>
      <w:r>
        <w:rPr>
          <w:bCs/>
          <w:highlight w:val="none"/>
          <w:lang w:val="zh-CN"/>
        </w:rPr>
        <w:instrText xml:space="preserve"> HYPERLINK \l _Toc12858 </w:instrText>
      </w:r>
      <w:r>
        <w:rPr>
          <w:bCs/>
          <w:highlight w:val="none"/>
          <w:lang w:val="zh-CN"/>
        </w:rPr>
        <w:fldChar w:fldCharType="separate"/>
      </w:r>
      <w:r>
        <w:rPr>
          <w:szCs w:val="21"/>
          <w:highlight w:val="none"/>
        </w:rPr>
        <w:t xml:space="preserve">A3.8 </w:t>
      </w:r>
      <w:r>
        <w:rPr>
          <w:rFonts w:hint="eastAsia"/>
          <w:szCs w:val="21"/>
          <w:highlight w:val="none"/>
        </w:rPr>
        <w:t>澄清、说明或补正</w:t>
      </w:r>
      <w:r>
        <w:tab/>
      </w:r>
      <w:r>
        <w:fldChar w:fldCharType="begin"/>
      </w:r>
      <w:r>
        <w:instrText xml:space="preserve"> PAGEREF _Toc12858 \h </w:instrText>
      </w:r>
      <w:r>
        <w:fldChar w:fldCharType="separate"/>
      </w:r>
      <w:r>
        <w:t>1</w:t>
      </w:r>
      <w:r>
        <w:fldChar w:fldCharType="end"/>
      </w:r>
      <w:r>
        <w:rPr>
          <w:bCs/>
          <w:color w:val="auto"/>
          <w:highlight w:val="none"/>
          <w:lang w:val="zh-CN"/>
        </w:rPr>
        <w:fldChar w:fldCharType="end"/>
      </w:r>
    </w:p>
    <w:p w14:paraId="058F15CB">
      <w:pPr>
        <w:pStyle w:val="8"/>
        <w:tabs>
          <w:tab w:val="right" w:leader="dot" w:pos="8290"/>
        </w:tabs>
      </w:pPr>
      <w:r>
        <w:rPr>
          <w:bCs/>
          <w:color w:val="auto"/>
          <w:highlight w:val="none"/>
          <w:lang w:val="zh-CN"/>
        </w:rPr>
        <w:fldChar w:fldCharType="begin"/>
      </w:r>
      <w:r>
        <w:rPr>
          <w:bCs/>
          <w:highlight w:val="none"/>
          <w:lang w:val="zh-CN"/>
        </w:rPr>
        <w:instrText xml:space="preserve"> HYPERLINK \l _Toc729 </w:instrText>
      </w:r>
      <w:r>
        <w:rPr>
          <w:bCs/>
          <w:highlight w:val="none"/>
          <w:lang w:val="zh-CN"/>
        </w:rPr>
        <w:fldChar w:fldCharType="separate"/>
      </w:r>
      <w:r>
        <w:rPr>
          <w:highlight w:val="none"/>
        </w:rPr>
        <w:t>A4</w:t>
      </w:r>
      <w:r>
        <w:rPr>
          <w:rFonts w:hint="eastAsia"/>
          <w:highlight w:val="none"/>
        </w:rPr>
        <w:t>．详细评审</w:t>
      </w:r>
      <w:r>
        <w:tab/>
      </w:r>
      <w:r>
        <w:fldChar w:fldCharType="begin"/>
      </w:r>
      <w:r>
        <w:instrText xml:space="preserve"> PAGEREF _Toc729 \h </w:instrText>
      </w:r>
      <w:r>
        <w:fldChar w:fldCharType="separate"/>
      </w:r>
      <w:r>
        <w:t>1</w:t>
      </w:r>
      <w:r>
        <w:fldChar w:fldCharType="end"/>
      </w:r>
      <w:r>
        <w:rPr>
          <w:bCs/>
          <w:color w:val="auto"/>
          <w:highlight w:val="none"/>
          <w:lang w:val="zh-CN"/>
        </w:rPr>
        <w:fldChar w:fldCharType="end"/>
      </w:r>
    </w:p>
    <w:p w14:paraId="34683C5D">
      <w:pPr>
        <w:pStyle w:val="8"/>
        <w:tabs>
          <w:tab w:val="right" w:leader="dot" w:pos="8290"/>
        </w:tabs>
      </w:pPr>
      <w:r>
        <w:rPr>
          <w:bCs/>
          <w:color w:val="auto"/>
          <w:highlight w:val="none"/>
          <w:lang w:val="zh-CN"/>
        </w:rPr>
        <w:fldChar w:fldCharType="begin"/>
      </w:r>
      <w:r>
        <w:rPr>
          <w:bCs/>
          <w:highlight w:val="none"/>
          <w:lang w:val="zh-CN"/>
        </w:rPr>
        <w:instrText xml:space="preserve"> HYPERLINK \l _Toc20954 </w:instrText>
      </w:r>
      <w:r>
        <w:rPr>
          <w:bCs/>
          <w:highlight w:val="none"/>
          <w:lang w:val="zh-CN"/>
        </w:rPr>
        <w:fldChar w:fldCharType="separate"/>
      </w:r>
      <w:r>
        <w:rPr>
          <w:szCs w:val="21"/>
          <w:highlight w:val="none"/>
        </w:rPr>
        <w:t>A4.1</w:t>
      </w:r>
      <w:r>
        <w:rPr>
          <w:rFonts w:hint="eastAsia"/>
          <w:szCs w:val="21"/>
          <w:highlight w:val="none"/>
        </w:rPr>
        <w:t>详细评审的程序</w:t>
      </w:r>
      <w:r>
        <w:tab/>
      </w:r>
      <w:r>
        <w:fldChar w:fldCharType="begin"/>
      </w:r>
      <w:r>
        <w:instrText xml:space="preserve"> PAGEREF _Toc20954 \h </w:instrText>
      </w:r>
      <w:r>
        <w:fldChar w:fldCharType="separate"/>
      </w:r>
      <w:r>
        <w:t>1</w:t>
      </w:r>
      <w:r>
        <w:fldChar w:fldCharType="end"/>
      </w:r>
      <w:r>
        <w:rPr>
          <w:bCs/>
          <w:color w:val="auto"/>
          <w:highlight w:val="none"/>
          <w:lang w:val="zh-CN"/>
        </w:rPr>
        <w:fldChar w:fldCharType="end"/>
      </w:r>
    </w:p>
    <w:p w14:paraId="3658F799">
      <w:pPr>
        <w:pStyle w:val="8"/>
        <w:tabs>
          <w:tab w:val="right" w:leader="dot" w:pos="8290"/>
        </w:tabs>
      </w:pPr>
      <w:r>
        <w:rPr>
          <w:bCs/>
          <w:color w:val="auto"/>
          <w:highlight w:val="none"/>
          <w:lang w:val="zh-CN"/>
        </w:rPr>
        <w:fldChar w:fldCharType="begin"/>
      </w:r>
      <w:r>
        <w:rPr>
          <w:bCs/>
          <w:highlight w:val="none"/>
          <w:lang w:val="zh-CN"/>
        </w:rPr>
        <w:instrText xml:space="preserve"> HYPERLINK \l _Toc11432 </w:instrText>
      </w:r>
      <w:r>
        <w:rPr>
          <w:bCs/>
          <w:highlight w:val="none"/>
          <w:lang w:val="zh-CN"/>
        </w:rPr>
        <w:fldChar w:fldCharType="separate"/>
      </w:r>
      <w:r>
        <w:rPr>
          <w:szCs w:val="21"/>
          <w:highlight w:val="none"/>
        </w:rPr>
        <w:t>A4.2</w:t>
      </w:r>
      <w:r>
        <w:rPr>
          <w:rFonts w:hint="eastAsia"/>
          <w:szCs w:val="21"/>
          <w:highlight w:val="none"/>
        </w:rPr>
        <w:t>投标报价评审和评分</w:t>
      </w:r>
      <w:r>
        <w:tab/>
      </w:r>
      <w:r>
        <w:fldChar w:fldCharType="begin"/>
      </w:r>
      <w:r>
        <w:instrText xml:space="preserve"> PAGEREF _Toc11432 \h </w:instrText>
      </w:r>
      <w:r>
        <w:fldChar w:fldCharType="separate"/>
      </w:r>
      <w:r>
        <w:t>1</w:t>
      </w:r>
      <w:r>
        <w:fldChar w:fldCharType="end"/>
      </w:r>
      <w:r>
        <w:rPr>
          <w:bCs/>
          <w:color w:val="auto"/>
          <w:highlight w:val="none"/>
          <w:lang w:val="zh-CN"/>
        </w:rPr>
        <w:fldChar w:fldCharType="end"/>
      </w:r>
    </w:p>
    <w:p w14:paraId="3F7E49EE">
      <w:pPr>
        <w:pStyle w:val="8"/>
        <w:tabs>
          <w:tab w:val="right" w:leader="dot" w:pos="8290"/>
        </w:tabs>
      </w:pPr>
      <w:r>
        <w:rPr>
          <w:bCs/>
          <w:color w:val="auto"/>
          <w:highlight w:val="none"/>
          <w:lang w:val="zh-CN"/>
        </w:rPr>
        <w:fldChar w:fldCharType="begin"/>
      </w:r>
      <w:r>
        <w:rPr>
          <w:bCs/>
          <w:highlight w:val="none"/>
          <w:lang w:val="zh-CN"/>
        </w:rPr>
        <w:instrText xml:space="preserve"> HYPERLINK \l _Toc25982 </w:instrText>
      </w:r>
      <w:r>
        <w:rPr>
          <w:bCs/>
          <w:highlight w:val="none"/>
          <w:lang w:val="zh-CN"/>
        </w:rPr>
        <w:fldChar w:fldCharType="separate"/>
      </w:r>
      <w:r>
        <w:rPr>
          <w:szCs w:val="21"/>
          <w:highlight w:val="none"/>
        </w:rPr>
        <w:t xml:space="preserve">A4.3 </w:t>
      </w:r>
      <w:r>
        <w:rPr>
          <w:rFonts w:hint="eastAsia"/>
          <w:szCs w:val="21"/>
          <w:highlight w:val="none"/>
        </w:rPr>
        <w:t>施工组织设计评审和评分</w:t>
      </w:r>
      <w:r>
        <w:tab/>
      </w:r>
      <w:r>
        <w:fldChar w:fldCharType="begin"/>
      </w:r>
      <w:r>
        <w:instrText xml:space="preserve"> PAGEREF _Toc25982 \h </w:instrText>
      </w:r>
      <w:r>
        <w:fldChar w:fldCharType="separate"/>
      </w:r>
      <w:r>
        <w:t>1</w:t>
      </w:r>
      <w:r>
        <w:fldChar w:fldCharType="end"/>
      </w:r>
      <w:r>
        <w:rPr>
          <w:bCs/>
          <w:color w:val="auto"/>
          <w:highlight w:val="none"/>
          <w:lang w:val="zh-CN"/>
        </w:rPr>
        <w:fldChar w:fldCharType="end"/>
      </w:r>
    </w:p>
    <w:p w14:paraId="033CF294">
      <w:pPr>
        <w:pStyle w:val="8"/>
        <w:tabs>
          <w:tab w:val="right" w:leader="dot" w:pos="8290"/>
        </w:tabs>
      </w:pPr>
      <w:r>
        <w:rPr>
          <w:bCs/>
          <w:color w:val="auto"/>
          <w:highlight w:val="none"/>
          <w:lang w:val="zh-CN"/>
        </w:rPr>
        <w:fldChar w:fldCharType="begin"/>
      </w:r>
      <w:r>
        <w:rPr>
          <w:bCs/>
          <w:highlight w:val="none"/>
          <w:lang w:val="zh-CN"/>
        </w:rPr>
        <w:instrText xml:space="preserve"> HYPERLINK \l _Toc15662 </w:instrText>
      </w:r>
      <w:r>
        <w:rPr>
          <w:bCs/>
          <w:highlight w:val="none"/>
          <w:lang w:val="zh-CN"/>
        </w:rPr>
        <w:fldChar w:fldCharType="separate"/>
      </w:r>
      <w:r>
        <w:rPr>
          <w:szCs w:val="21"/>
          <w:highlight w:val="none"/>
        </w:rPr>
        <w:t>A4.4</w:t>
      </w:r>
      <w:r>
        <w:rPr>
          <w:rFonts w:hint="eastAsia"/>
          <w:szCs w:val="21"/>
          <w:highlight w:val="none"/>
        </w:rPr>
        <w:t>项目管理机构评审和评分</w:t>
      </w:r>
      <w:r>
        <w:tab/>
      </w:r>
      <w:r>
        <w:fldChar w:fldCharType="begin"/>
      </w:r>
      <w:r>
        <w:instrText xml:space="preserve"> PAGEREF _Toc15662 \h </w:instrText>
      </w:r>
      <w:r>
        <w:fldChar w:fldCharType="separate"/>
      </w:r>
      <w:r>
        <w:t>1</w:t>
      </w:r>
      <w:r>
        <w:fldChar w:fldCharType="end"/>
      </w:r>
      <w:r>
        <w:rPr>
          <w:bCs/>
          <w:color w:val="auto"/>
          <w:highlight w:val="none"/>
          <w:lang w:val="zh-CN"/>
        </w:rPr>
        <w:fldChar w:fldCharType="end"/>
      </w:r>
    </w:p>
    <w:p w14:paraId="68C60E1E">
      <w:pPr>
        <w:pStyle w:val="8"/>
        <w:tabs>
          <w:tab w:val="right" w:leader="dot" w:pos="8290"/>
        </w:tabs>
      </w:pPr>
      <w:r>
        <w:rPr>
          <w:bCs/>
          <w:color w:val="auto"/>
          <w:highlight w:val="none"/>
          <w:lang w:val="zh-CN"/>
        </w:rPr>
        <w:fldChar w:fldCharType="begin"/>
      </w:r>
      <w:r>
        <w:rPr>
          <w:bCs/>
          <w:highlight w:val="none"/>
          <w:lang w:val="zh-CN"/>
        </w:rPr>
        <w:instrText xml:space="preserve"> HYPERLINK \l _Toc21938 </w:instrText>
      </w:r>
      <w:r>
        <w:rPr>
          <w:bCs/>
          <w:highlight w:val="none"/>
          <w:lang w:val="zh-CN"/>
        </w:rPr>
        <w:fldChar w:fldCharType="separate"/>
      </w:r>
      <w:r>
        <w:rPr>
          <w:szCs w:val="21"/>
          <w:highlight w:val="none"/>
        </w:rPr>
        <w:t xml:space="preserve">A4.5 </w:t>
      </w:r>
      <w:r>
        <w:rPr>
          <w:rFonts w:hint="eastAsia"/>
          <w:szCs w:val="21"/>
          <w:highlight w:val="none"/>
        </w:rPr>
        <w:t>其他因素的评审和评分</w:t>
      </w:r>
      <w:r>
        <w:tab/>
      </w:r>
      <w:r>
        <w:fldChar w:fldCharType="begin"/>
      </w:r>
      <w:r>
        <w:instrText xml:space="preserve"> PAGEREF _Toc21938 \h </w:instrText>
      </w:r>
      <w:r>
        <w:fldChar w:fldCharType="separate"/>
      </w:r>
      <w:r>
        <w:t>1</w:t>
      </w:r>
      <w:r>
        <w:fldChar w:fldCharType="end"/>
      </w:r>
      <w:r>
        <w:rPr>
          <w:bCs/>
          <w:color w:val="auto"/>
          <w:highlight w:val="none"/>
          <w:lang w:val="zh-CN"/>
        </w:rPr>
        <w:fldChar w:fldCharType="end"/>
      </w:r>
    </w:p>
    <w:p w14:paraId="65C68A21">
      <w:pPr>
        <w:pStyle w:val="8"/>
        <w:tabs>
          <w:tab w:val="right" w:leader="dot" w:pos="8290"/>
        </w:tabs>
      </w:pPr>
      <w:r>
        <w:rPr>
          <w:bCs/>
          <w:color w:val="auto"/>
          <w:highlight w:val="none"/>
          <w:lang w:val="zh-CN"/>
        </w:rPr>
        <w:fldChar w:fldCharType="begin"/>
      </w:r>
      <w:r>
        <w:rPr>
          <w:bCs/>
          <w:highlight w:val="none"/>
          <w:lang w:val="zh-CN"/>
        </w:rPr>
        <w:instrText xml:space="preserve"> HYPERLINK \l _Toc31449 </w:instrText>
      </w:r>
      <w:r>
        <w:rPr>
          <w:bCs/>
          <w:highlight w:val="none"/>
          <w:lang w:val="zh-CN"/>
        </w:rPr>
        <w:fldChar w:fldCharType="separate"/>
      </w:r>
      <w:r>
        <w:rPr>
          <w:szCs w:val="21"/>
          <w:highlight w:val="none"/>
        </w:rPr>
        <w:t xml:space="preserve">A4.6 </w:t>
      </w:r>
      <w:r>
        <w:rPr>
          <w:rFonts w:hint="eastAsia"/>
          <w:szCs w:val="21"/>
          <w:highlight w:val="none"/>
        </w:rPr>
        <w:t>澄清、说明或补正</w:t>
      </w:r>
      <w:r>
        <w:tab/>
      </w:r>
      <w:r>
        <w:fldChar w:fldCharType="begin"/>
      </w:r>
      <w:r>
        <w:instrText xml:space="preserve"> PAGEREF _Toc31449 \h </w:instrText>
      </w:r>
      <w:r>
        <w:fldChar w:fldCharType="separate"/>
      </w:r>
      <w:r>
        <w:t>1</w:t>
      </w:r>
      <w:r>
        <w:fldChar w:fldCharType="end"/>
      </w:r>
      <w:r>
        <w:rPr>
          <w:bCs/>
          <w:color w:val="auto"/>
          <w:highlight w:val="none"/>
          <w:lang w:val="zh-CN"/>
        </w:rPr>
        <w:fldChar w:fldCharType="end"/>
      </w:r>
    </w:p>
    <w:p w14:paraId="5BD42B7E">
      <w:pPr>
        <w:pStyle w:val="8"/>
        <w:tabs>
          <w:tab w:val="right" w:leader="dot" w:pos="8290"/>
        </w:tabs>
      </w:pPr>
      <w:r>
        <w:rPr>
          <w:bCs/>
          <w:color w:val="auto"/>
          <w:highlight w:val="none"/>
          <w:lang w:val="zh-CN"/>
        </w:rPr>
        <w:fldChar w:fldCharType="begin"/>
      </w:r>
      <w:r>
        <w:rPr>
          <w:bCs/>
          <w:highlight w:val="none"/>
          <w:lang w:val="zh-CN"/>
        </w:rPr>
        <w:instrText xml:space="preserve"> HYPERLINK \l _Toc5886 </w:instrText>
      </w:r>
      <w:r>
        <w:rPr>
          <w:bCs/>
          <w:highlight w:val="none"/>
          <w:lang w:val="zh-CN"/>
        </w:rPr>
        <w:fldChar w:fldCharType="separate"/>
      </w:r>
      <w:r>
        <w:rPr>
          <w:szCs w:val="21"/>
          <w:highlight w:val="none"/>
        </w:rPr>
        <w:t xml:space="preserve">A4.7  </w:t>
      </w:r>
      <w:r>
        <w:rPr>
          <w:rFonts w:hint="eastAsia"/>
          <w:szCs w:val="21"/>
          <w:highlight w:val="none"/>
        </w:rPr>
        <w:t>汇总评分（评审）结果</w:t>
      </w:r>
      <w:r>
        <w:tab/>
      </w:r>
      <w:r>
        <w:fldChar w:fldCharType="begin"/>
      </w:r>
      <w:r>
        <w:instrText xml:space="preserve"> PAGEREF _Toc5886 \h </w:instrText>
      </w:r>
      <w:r>
        <w:fldChar w:fldCharType="separate"/>
      </w:r>
      <w:r>
        <w:t>1</w:t>
      </w:r>
      <w:r>
        <w:fldChar w:fldCharType="end"/>
      </w:r>
      <w:r>
        <w:rPr>
          <w:bCs/>
          <w:color w:val="auto"/>
          <w:highlight w:val="none"/>
          <w:lang w:val="zh-CN"/>
        </w:rPr>
        <w:fldChar w:fldCharType="end"/>
      </w:r>
    </w:p>
    <w:p w14:paraId="41515B05">
      <w:pPr>
        <w:pStyle w:val="8"/>
        <w:tabs>
          <w:tab w:val="right" w:leader="dot" w:pos="8290"/>
        </w:tabs>
      </w:pPr>
      <w:r>
        <w:rPr>
          <w:bCs/>
          <w:color w:val="auto"/>
          <w:highlight w:val="none"/>
          <w:lang w:val="zh-CN"/>
        </w:rPr>
        <w:fldChar w:fldCharType="begin"/>
      </w:r>
      <w:r>
        <w:rPr>
          <w:bCs/>
          <w:highlight w:val="none"/>
          <w:lang w:val="zh-CN"/>
        </w:rPr>
        <w:instrText xml:space="preserve"> HYPERLINK \l _Toc22706 </w:instrText>
      </w:r>
      <w:r>
        <w:rPr>
          <w:bCs/>
          <w:highlight w:val="none"/>
          <w:lang w:val="zh-CN"/>
        </w:rPr>
        <w:fldChar w:fldCharType="separate"/>
      </w:r>
      <w:r>
        <w:rPr>
          <w:highlight w:val="none"/>
        </w:rPr>
        <w:t xml:space="preserve">A5.  </w:t>
      </w:r>
      <w:r>
        <w:rPr>
          <w:rFonts w:hint="eastAsia"/>
          <w:highlight w:val="none"/>
        </w:rPr>
        <w:t>推荐中标候选人或者直接确定中标人</w:t>
      </w:r>
      <w:r>
        <w:tab/>
      </w:r>
      <w:r>
        <w:fldChar w:fldCharType="begin"/>
      </w:r>
      <w:r>
        <w:instrText xml:space="preserve"> PAGEREF _Toc22706 \h </w:instrText>
      </w:r>
      <w:r>
        <w:fldChar w:fldCharType="separate"/>
      </w:r>
      <w:r>
        <w:t>1</w:t>
      </w:r>
      <w:r>
        <w:fldChar w:fldCharType="end"/>
      </w:r>
      <w:r>
        <w:rPr>
          <w:bCs/>
          <w:color w:val="auto"/>
          <w:highlight w:val="none"/>
          <w:lang w:val="zh-CN"/>
        </w:rPr>
        <w:fldChar w:fldCharType="end"/>
      </w:r>
    </w:p>
    <w:p w14:paraId="221973BA">
      <w:pPr>
        <w:pStyle w:val="8"/>
        <w:tabs>
          <w:tab w:val="right" w:leader="dot" w:pos="8290"/>
        </w:tabs>
      </w:pPr>
      <w:r>
        <w:rPr>
          <w:bCs/>
          <w:color w:val="auto"/>
          <w:highlight w:val="none"/>
          <w:lang w:val="zh-CN"/>
        </w:rPr>
        <w:fldChar w:fldCharType="begin"/>
      </w:r>
      <w:r>
        <w:rPr>
          <w:bCs/>
          <w:highlight w:val="none"/>
          <w:lang w:val="zh-CN"/>
        </w:rPr>
        <w:instrText xml:space="preserve"> HYPERLINK \l _Toc26204 </w:instrText>
      </w:r>
      <w:r>
        <w:rPr>
          <w:bCs/>
          <w:highlight w:val="none"/>
          <w:lang w:val="zh-CN"/>
        </w:rPr>
        <w:fldChar w:fldCharType="separate"/>
      </w:r>
      <w:r>
        <w:rPr>
          <w:szCs w:val="21"/>
          <w:highlight w:val="none"/>
        </w:rPr>
        <w:t xml:space="preserve">A5.1  </w:t>
      </w:r>
      <w:r>
        <w:rPr>
          <w:rFonts w:hint="eastAsia"/>
          <w:szCs w:val="21"/>
          <w:highlight w:val="none"/>
        </w:rPr>
        <w:t>推荐中标候选人</w:t>
      </w:r>
      <w:r>
        <w:tab/>
      </w:r>
      <w:r>
        <w:fldChar w:fldCharType="begin"/>
      </w:r>
      <w:r>
        <w:instrText xml:space="preserve"> PAGEREF _Toc26204 \h </w:instrText>
      </w:r>
      <w:r>
        <w:fldChar w:fldCharType="separate"/>
      </w:r>
      <w:r>
        <w:t>1</w:t>
      </w:r>
      <w:r>
        <w:fldChar w:fldCharType="end"/>
      </w:r>
      <w:r>
        <w:rPr>
          <w:bCs/>
          <w:color w:val="auto"/>
          <w:highlight w:val="none"/>
          <w:lang w:val="zh-CN"/>
        </w:rPr>
        <w:fldChar w:fldCharType="end"/>
      </w:r>
    </w:p>
    <w:p w14:paraId="31E6A998">
      <w:pPr>
        <w:pStyle w:val="8"/>
        <w:tabs>
          <w:tab w:val="right" w:leader="dot" w:pos="8290"/>
        </w:tabs>
      </w:pPr>
      <w:r>
        <w:rPr>
          <w:bCs/>
          <w:color w:val="auto"/>
          <w:highlight w:val="none"/>
          <w:lang w:val="zh-CN"/>
        </w:rPr>
        <w:fldChar w:fldCharType="begin"/>
      </w:r>
      <w:r>
        <w:rPr>
          <w:bCs/>
          <w:highlight w:val="none"/>
          <w:lang w:val="zh-CN"/>
        </w:rPr>
        <w:instrText xml:space="preserve"> HYPERLINK \l _Toc17790 </w:instrText>
      </w:r>
      <w:r>
        <w:rPr>
          <w:bCs/>
          <w:highlight w:val="none"/>
          <w:lang w:val="zh-CN"/>
        </w:rPr>
        <w:fldChar w:fldCharType="separate"/>
      </w:r>
      <w:r>
        <w:rPr>
          <w:szCs w:val="21"/>
          <w:highlight w:val="none"/>
        </w:rPr>
        <w:t>A5.2</w:t>
      </w:r>
      <w:r>
        <w:rPr>
          <w:rFonts w:hint="eastAsia"/>
          <w:szCs w:val="21"/>
          <w:highlight w:val="none"/>
        </w:rPr>
        <w:t>直接确定中标人</w:t>
      </w:r>
      <w:r>
        <w:tab/>
      </w:r>
      <w:r>
        <w:fldChar w:fldCharType="begin"/>
      </w:r>
      <w:r>
        <w:instrText xml:space="preserve"> PAGEREF _Toc17790 \h </w:instrText>
      </w:r>
      <w:r>
        <w:fldChar w:fldCharType="separate"/>
      </w:r>
      <w:r>
        <w:t>1</w:t>
      </w:r>
      <w:r>
        <w:fldChar w:fldCharType="end"/>
      </w:r>
      <w:r>
        <w:rPr>
          <w:bCs/>
          <w:color w:val="auto"/>
          <w:highlight w:val="none"/>
          <w:lang w:val="zh-CN"/>
        </w:rPr>
        <w:fldChar w:fldCharType="end"/>
      </w:r>
    </w:p>
    <w:p w14:paraId="4B0400D2">
      <w:pPr>
        <w:pStyle w:val="8"/>
        <w:tabs>
          <w:tab w:val="right" w:leader="dot" w:pos="8290"/>
        </w:tabs>
      </w:pPr>
      <w:r>
        <w:rPr>
          <w:bCs/>
          <w:color w:val="auto"/>
          <w:highlight w:val="none"/>
          <w:lang w:val="zh-CN"/>
        </w:rPr>
        <w:fldChar w:fldCharType="begin"/>
      </w:r>
      <w:r>
        <w:rPr>
          <w:bCs/>
          <w:highlight w:val="none"/>
          <w:lang w:val="zh-CN"/>
        </w:rPr>
        <w:instrText xml:space="preserve"> HYPERLINK \l _Toc20071 </w:instrText>
      </w:r>
      <w:r>
        <w:rPr>
          <w:bCs/>
          <w:highlight w:val="none"/>
          <w:lang w:val="zh-CN"/>
        </w:rPr>
        <w:fldChar w:fldCharType="separate"/>
      </w:r>
      <w:r>
        <w:rPr>
          <w:szCs w:val="21"/>
          <w:highlight w:val="none"/>
        </w:rPr>
        <w:t>A5.3</w:t>
      </w:r>
      <w:r>
        <w:rPr>
          <w:rFonts w:hint="eastAsia"/>
          <w:szCs w:val="21"/>
          <w:highlight w:val="none"/>
        </w:rPr>
        <w:t>编制评标报告</w:t>
      </w:r>
      <w:r>
        <w:tab/>
      </w:r>
      <w:r>
        <w:fldChar w:fldCharType="begin"/>
      </w:r>
      <w:r>
        <w:instrText xml:space="preserve"> PAGEREF _Toc20071 \h </w:instrText>
      </w:r>
      <w:r>
        <w:fldChar w:fldCharType="separate"/>
      </w:r>
      <w:r>
        <w:t>1</w:t>
      </w:r>
      <w:r>
        <w:fldChar w:fldCharType="end"/>
      </w:r>
      <w:r>
        <w:rPr>
          <w:bCs/>
          <w:color w:val="auto"/>
          <w:highlight w:val="none"/>
          <w:lang w:val="zh-CN"/>
        </w:rPr>
        <w:fldChar w:fldCharType="end"/>
      </w:r>
    </w:p>
    <w:p w14:paraId="4423E217">
      <w:pPr>
        <w:pStyle w:val="8"/>
        <w:tabs>
          <w:tab w:val="right" w:leader="dot" w:pos="8290"/>
        </w:tabs>
      </w:pPr>
      <w:r>
        <w:rPr>
          <w:bCs/>
          <w:color w:val="auto"/>
          <w:highlight w:val="none"/>
          <w:lang w:val="zh-CN"/>
        </w:rPr>
        <w:fldChar w:fldCharType="begin"/>
      </w:r>
      <w:r>
        <w:rPr>
          <w:bCs/>
          <w:highlight w:val="none"/>
          <w:lang w:val="zh-CN"/>
        </w:rPr>
        <w:instrText xml:space="preserve"> HYPERLINK \l _Toc17580 </w:instrText>
      </w:r>
      <w:r>
        <w:rPr>
          <w:bCs/>
          <w:highlight w:val="none"/>
          <w:lang w:val="zh-CN"/>
        </w:rPr>
        <w:fldChar w:fldCharType="separate"/>
      </w:r>
      <w:r>
        <w:rPr>
          <w:highlight w:val="none"/>
        </w:rPr>
        <w:t>A6</w:t>
      </w:r>
      <w:r>
        <w:rPr>
          <w:rFonts w:hint="eastAsia"/>
          <w:highlight w:val="none"/>
        </w:rPr>
        <w:t>．特殊情况的处置程序</w:t>
      </w:r>
      <w:r>
        <w:tab/>
      </w:r>
      <w:r>
        <w:fldChar w:fldCharType="begin"/>
      </w:r>
      <w:r>
        <w:instrText xml:space="preserve"> PAGEREF _Toc17580 \h </w:instrText>
      </w:r>
      <w:r>
        <w:fldChar w:fldCharType="separate"/>
      </w:r>
      <w:r>
        <w:t>1</w:t>
      </w:r>
      <w:r>
        <w:fldChar w:fldCharType="end"/>
      </w:r>
      <w:r>
        <w:rPr>
          <w:bCs/>
          <w:color w:val="auto"/>
          <w:highlight w:val="none"/>
          <w:lang w:val="zh-CN"/>
        </w:rPr>
        <w:fldChar w:fldCharType="end"/>
      </w:r>
    </w:p>
    <w:p w14:paraId="21DC5566">
      <w:pPr>
        <w:pStyle w:val="8"/>
        <w:tabs>
          <w:tab w:val="right" w:leader="dot" w:pos="8290"/>
        </w:tabs>
      </w:pPr>
      <w:r>
        <w:rPr>
          <w:bCs/>
          <w:color w:val="auto"/>
          <w:highlight w:val="none"/>
          <w:lang w:val="zh-CN"/>
        </w:rPr>
        <w:fldChar w:fldCharType="begin"/>
      </w:r>
      <w:r>
        <w:rPr>
          <w:bCs/>
          <w:highlight w:val="none"/>
          <w:lang w:val="zh-CN"/>
        </w:rPr>
        <w:instrText xml:space="preserve"> HYPERLINK \l _Toc25359 </w:instrText>
      </w:r>
      <w:r>
        <w:rPr>
          <w:bCs/>
          <w:highlight w:val="none"/>
          <w:lang w:val="zh-CN"/>
        </w:rPr>
        <w:fldChar w:fldCharType="separate"/>
      </w:r>
      <w:r>
        <w:rPr>
          <w:szCs w:val="21"/>
          <w:highlight w:val="none"/>
        </w:rPr>
        <w:t xml:space="preserve">A6.1  </w:t>
      </w:r>
      <w:r>
        <w:rPr>
          <w:rFonts w:hint="eastAsia"/>
          <w:szCs w:val="21"/>
          <w:highlight w:val="none"/>
        </w:rPr>
        <w:t>暗标评审的评审程序规定</w:t>
      </w:r>
      <w:r>
        <w:rPr>
          <w:szCs w:val="21"/>
          <w:highlight w:val="none"/>
        </w:rPr>
        <w:t>(</w:t>
      </w:r>
      <w:r>
        <w:rPr>
          <w:rFonts w:hint="eastAsia"/>
          <w:szCs w:val="21"/>
          <w:highlight w:val="none"/>
        </w:rPr>
        <w:t>适用于对施工组织设计进行暗标评审的</w:t>
      </w:r>
      <w:r>
        <w:rPr>
          <w:szCs w:val="21"/>
          <w:highlight w:val="none"/>
        </w:rPr>
        <w:t>)</w:t>
      </w:r>
      <w:r>
        <w:tab/>
      </w:r>
      <w:r>
        <w:fldChar w:fldCharType="begin"/>
      </w:r>
      <w:r>
        <w:instrText xml:space="preserve"> PAGEREF _Toc25359 \h </w:instrText>
      </w:r>
      <w:r>
        <w:fldChar w:fldCharType="separate"/>
      </w:r>
      <w:r>
        <w:t>1</w:t>
      </w:r>
      <w:r>
        <w:fldChar w:fldCharType="end"/>
      </w:r>
      <w:r>
        <w:rPr>
          <w:bCs/>
          <w:color w:val="auto"/>
          <w:highlight w:val="none"/>
          <w:lang w:val="zh-CN"/>
        </w:rPr>
        <w:fldChar w:fldCharType="end"/>
      </w:r>
    </w:p>
    <w:p w14:paraId="5D93CD1D">
      <w:pPr>
        <w:pStyle w:val="8"/>
        <w:tabs>
          <w:tab w:val="right" w:leader="dot" w:pos="8290"/>
        </w:tabs>
      </w:pPr>
      <w:r>
        <w:rPr>
          <w:bCs/>
          <w:color w:val="auto"/>
          <w:highlight w:val="none"/>
          <w:lang w:val="zh-CN"/>
        </w:rPr>
        <w:fldChar w:fldCharType="begin"/>
      </w:r>
      <w:r>
        <w:rPr>
          <w:bCs/>
          <w:highlight w:val="none"/>
          <w:lang w:val="zh-CN"/>
        </w:rPr>
        <w:instrText xml:space="preserve"> HYPERLINK \l _Toc10176 </w:instrText>
      </w:r>
      <w:r>
        <w:rPr>
          <w:bCs/>
          <w:highlight w:val="none"/>
          <w:lang w:val="zh-CN"/>
        </w:rPr>
        <w:fldChar w:fldCharType="separate"/>
      </w:r>
      <w:r>
        <w:rPr>
          <w:szCs w:val="21"/>
          <w:highlight w:val="none"/>
        </w:rPr>
        <w:t>A6.2</w:t>
      </w:r>
      <w:r>
        <w:rPr>
          <w:rFonts w:hint="eastAsia"/>
          <w:szCs w:val="21"/>
          <w:highlight w:val="none"/>
        </w:rPr>
        <w:t>关于评标活动暂停</w:t>
      </w:r>
      <w:r>
        <w:tab/>
      </w:r>
      <w:r>
        <w:fldChar w:fldCharType="begin"/>
      </w:r>
      <w:r>
        <w:instrText xml:space="preserve"> PAGEREF _Toc10176 \h </w:instrText>
      </w:r>
      <w:r>
        <w:fldChar w:fldCharType="separate"/>
      </w:r>
      <w:r>
        <w:t>1</w:t>
      </w:r>
      <w:r>
        <w:fldChar w:fldCharType="end"/>
      </w:r>
      <w:r>
        <w:rPr>
          <w:bCs/>
          <w:color w:val="auto"/>
          <w:highlight w:val="none"/>
          <w:lang w:val="zh-CN"/>
        </w:rPr>
        <w:fldChar w:fldCharType="end"/>
      </w:r>
    </w:p>
    <w:p w14:paraId="446B7003">
      <w:pPr>
        <w:pStyle w:val="8"/>
        <w:tabs>
          <w:tab w:val="right" w:leader="dot" w:pos="8290"/>
        </w:tabs>
      </w:pPr>
      <w:r>
        <w:rPr>
          <w:bCs/>
          <w:color w:val="auto"/>
          <w:highlight w:val="none"/>
          <w:lang w:val="zh-CN"/>
        </w:rPr>
        <w:fldChar w:fldCharType="begin"/>
      </w:r>
      <w:r>
        <w:rPr>
          <w:bCs/>
          <w:highlight w:val="none"/>
          <w:lang w:val="zh-CN"/>
        </w:rPr>
        <w:instrText xml:space="preserve"> HYPERLINK \l _Toc20432 </w:instrText>
      </w:r>
      <w:r>
        <w:rPr>
          <w:bCs/>
          <w:highlight w:val="none"/>
          <w:lang w:val="zh-CN"/>
        </w:rPr>
        <w:fldChar w:fldCharType="separate"/>
      </w:r>
      <w:r>
        <w:rPr>
          <w:szCs w:val="21"/>
          <w:highlight w:val="none"/>
        </w:rPr>
        <w:t xml:space="preserve">A6.3  </w:t>
      </w:r>
      <w:r>
        <w:rPr>
          <w:rFonts w:hint="eastAsia"/>
          <w:szCs w:val="21"/>
          <w:highlight w:val="none"/>
        </w:rPr>
        <w:t>关于评标中途更换评标委员会成员</w:t>
      </w:r>
      <w:r>
        <w:tab/>
      </w:r>
      <w:r>
        <w:fldChar w:fldCharType="begin"/>
      </w:r>
      <w:r>
        <w:instrText xml:space="preserve"> PAGEREF _Toc20432 \h </w:instrText>
      </w:r>
      <w:r>
        <w:fldChar w:fldCharType="separate"/>
      </w:r>
      <w:r>
        <w:t>1</w:t>
      </w:r>
      <w:r>
        <w:fldChar w:fldCharType="end"/>
      </w:r>
      <w:r>
        <w:rPr>
          <w:bCs/>
          <w:color w:val="auto"/>
          <w:highlight w:val="none"/>
          <w:lang w:val="zh-CN"/>
        </w:rPr>
        <w:fldChar w:fldCharType="end"/>
      </w:r>
    </w:p>
    <w:p w14:paraId="413771E7">
      <w:pPr>
        <w:pStyle w:val="8"/>
        <w:tabs>
          <w:tab w:val="right" w:leader="dot" w:pos="8290"/>
        </w:tabs>
      </w:pPr>
      <w:r>
        <w:rPr>
          <w:bCs/>
          <w:color w:val="auto"/>
          <w:highlight w:val="none"/>
          <w:lang w:val="zh-CN"/>
        </w:rPr>
        <w:fldChar w:fldCharType="begin"/>
      </w:r>
      <w:r>
        <w:rPr>
          <w:bCs/>
          <w:highlight w:val="none"/>
          <w:lang w:val="zh-CN"/>
        </w:rPr>
        <w:instrText xml:space="preserve"> HYPERLINK \l _Toc13350 </w:instrText>
      </w:r>
      <w:r>
        <w:rPr>
          <w:bCs/>
          <w:highlight w:val="none"/>
          <w:lang w:val="zh-CN"/>
        </w:rPr>
        <w:fldChar w:fldCharType="separate"/>
      </w:r>
      <w:r>
        <w:rPr>
          <w:szCs w:val="21"/>
          <w:highlight w:val="none"/>
        </w:rPr>
        <w:t xml:space="preserve">A6.4 </w:t>
      </w:r>
      <w:r>
        <w:rPr>
          <w:rFonts w:hint="eastAsia"/>
          <w:szCs w:val="21"/>
          <w:highlight w:val="none"/>
        </w:rPr>
        <w:t>评标争议处理</w:t>
      </w:r>
      <w:r>
        <w:tab/>
      </w:r>
      <w:r>
        <w:fldChar w:fldCharType="begin"/>
      </w:r>
      <w:r>
        <w:instrText xml:space="preserve"> PAGEREF _Toc13350 \h </w:instrText>
      </w:r>
      <w:r>
        <w:fldChar w:fldCharType="separate"/>
      </w:r>
      <w:r>
        <w:t>1</w:t>
      </w:r>
      <w:r>
        <w:fldChar w:fldCharType="end"/>
      </w:r>
      <w:r>
        <w:rPr>
          <w:bCs/>
          <w:color w:val="auto"/>
          <w:highlight w:val="none"/>
          <w:lang w:val="zh-CN"/>
        </w:rPr>
        <w:fldChar w:fldCharType="end"/>
      </w:r>
    </w:p>
    <w:p w14:paraId="5E780C65">
      <w:pPr>
        <w:pStyle w:val="8"/>
        <w:tabs>
          <w:tab w:val="right" w:leader="dot" w:pos="8290"/>
        </w:tabs>
      </w:pPr>
      <w:r>
        <w:rPr>
          <w:bCs/>
          <w:color w:val="auto"/>
          <w:highlight w:val="none"/>
          <w:lang w:val="zh-CN"/>
        </w:rPr>
        <w:fldChar w:fldCharType="begin"/>
      </w:r>
      <w:r>
        <w:rPr>
          <w:bCs/>
          <w:highlight w:val="none"/>
          <w:lang w:val="zh-CN"/>
        </w:rPr>
        <w:instrText xml:space="preserve"> HYPERLINK \l _Toc29888 </w:instrText>
      </w:r>
      <w:r>
        <w:rPr>
          <w:bCs/>
          <w:highlight w:val="none"/>
          <w:lang w:val="zh-CN"/>
        </w:rPr>
        <w:fldChar w:fldCharType="separate"/>
      </w:r>
      <w:r>
        <w:rPr>
          <w:highlight w:val="none"/>
        </w:rPr>
        <w:t>A7.</w:t>
      </w:r>
      <w:r>
        <w:rPr>
          <w:rFonts w:hint="eastAsia"/>
          <w:highlight w:val="none"/>
        </w:rPr>
        <w:t>补充条款</w:t>
      </w:r>
      <w:r>
        <w:tab/>
      </w:r>
      <w:r>
        <w:fldChar w:fldCharType="begin"/>
      </w:r>
      <w:r>
        <w:instrText xml:space="preserve"> PAGEREF _Toc29888 \h </w:instrText>
      </w:r>
      <w:r>
        <w:fldChar w:fldCharType="separate"/>
      </w:r>
      <w:r>
        <w:t>1</w:t>
      </w:r>
      <w:r>
        <w:fldChar w:fldCharType="end"/>
      </w:r>
      <w:r>
        <w:rPr>
          <w:bCs/>
          <w:color w:val="auto"/>
          <w:highlight w:val="none"/>
          <w:lang w:val="zh-CN"/>
        </w:rPr>
        <w:fldChar w:fldCharType="end"/>
      </w:r>
    </w:p>
    <w:p w14:paraId="4D102E21">
      <w:pPr>
        <w:pStyle w:val="13"/>
        <w:tabs>
          <w:tab w:val="right" w:leader="dot" w:pos="8290"/>
        </w:tabs>
      </w:pPr>
      <w:r>
        <w:rPr>
          <w:bCs/>
          <w:color w:val="auto"/>
          <w:highlight w:val="none"/>
          <w:lang w:val="zh-CN"/>
        </w:rPr>
        <w:fldChar w:fldCharType="begin"/>
      </w:r>
      <w:r>
        <w:rPr>
          <w:bCs/>
          <w:highlight w:val="none"/>
          <w:lang w:val="zh-CN"/>
        </w:rPr>
        <w:instrText xml:space="preserve"> HYPERLINK \l _Toc8337 </w:instrText>
      </w:r>
      <w:r>
        <w:rPr>
          <w:bCs/>
          <w:highlight w:val="none"/>
          <w:lang w:val="zh-CN"/>
        </w:rPr>
        <w:fldChar w:fldCharType="separate"/>
      </w:r>
      <w:r>
        <w:rPr>
          <w:rFonts w:hint="eastAsia"/>
          <w:szCs w:val="24"/>
          <w:highlight w:val="none"/>
        </w:rPr>
        <w:t>附件</w:t>
      </w:r>
      <w:r>
        <w:rPr>
          <w:szCs w:val="24"/>
          <w:highlight w:val="none"/>
        </w:rPr>
        <w:t>B</w:t>
      </w:r>
      <w:r>
        <w:rPr>
          <w:rFonts w:hint="eastAsia"/>
          <w:szCs w:val="24"/>
          <w:highlight w:val="none"/>
        </w:rPr>
        <w:t>：否决投标的条件</w:t>
      </w:r>
      <w:r>
        <w:tab/>
      </w:r>
      <w:r>
        <w:fldChar w:fldCharType="begin"/>
      </w:r>
      <w:r>
        <w:instrText xml:space="preserve"> PAGEREF _Toc8337 \h </w:instrText>
      </w:r>
      <w:r>
        <w:fldChar w:fldCharType="separate"/>
      </w:r>
      <w:r>
        <w:t>1</w:t>
      </w:r>
      <w:r>
        <w:fldChar w:fldCharType="end"/>
      </w:r>
      <w:r>
        <w:rPr>
          <w:bCs/>
          <w:color w:val="auto"/>
          <w:highlight w:val="none"/>
          <w:lang w:val="zh-CN"/>
        </w:rPr>
        <w:fldChar w:fldCharType="end"/>
      </w:r>
    </w:p>
    <w:p w14:paraId="0C344D46">
      <w:pPr>
        <w:pStyle w:val="8"/>
        <w:tabs>
          <w:tab w:val="right" w:leader="dot" w:pos="8290"/>
        </w:tabs>
      </w:pPr>
      <w:r>
        <w:rPr>
          <w:bCs/>
          <w:color w:val="auto"/>
          <w:highlight w:val="none"/>
          <w:lang w:val="zh-CN"/>
        </w:rPr>
        <w:fldChar w:fldCharType="begin"/>
      </w:r>
      <w:r>
        <w:rPr>
          <w:bCs/>
          <w:highlight w:val="none"/>
          <w:lang w:val="zh-CN"/>
        </w:rPr>
        <w:instrText xml:space="preserve"> HYPERLINK \l _Toc28912 </w:instrText>
      </w:r>
      <w:r>
        <w:rPr>
          <w:bCs/>
          <w:highlight w:val="none"/>
          <w:lang w:val="zh-CN"/>
        </w:rPr>
        <w:fldChar w:fldCharType="separate"/>
      </w:r>
      <w:r>
        <w:rPr>
          <w:highlight w:val="none"/>
        </w:rPr>
        <w:t>B0.</w:t>
      </w:r>
      <w:r>
        <w:rPr>
          <w:rFonts w:hint="eastAsia"/>
          <w:highlight w:val="none"/>
        </w:rPr>
        <w:t>总</w:t>
      </w:r>
      <w:r>
        <w:rPr>
          <w:highlight w:val="none"/>
        </w:rPr>
        <w:t xml:space="preserve">  </w:t>
      </w:r>
      <w:r>
        <w:rPr>
          <w:rFonts w:hint="eastAsia"/>
          <w:highlight w:val="none"/>
        </w:rPr>
        <w:t>则</w:t>
      </w:r>
      <w:r>
        <w:tab/>
      </w:r>
      <w:r>
        <w:fldChar w:fldCharType="begin"/>
      </w:r>
      <w:r>
        <w:instrText xml:space="preserve"> PAGEREF _Toc28912 \h </w:instrText>
      </w:r>
      <w:r>
        <w:fldChar w:fldCharType="separate"/>
      </w:r>
      <w:r>
        <w:t>1</w:t>
      </w:r>
      <w:r>
        <w:fldChar w:fldCharType="end"/>
      </w:r>
      <w:r>
        <w:rPr>
          <w:bCs/>
          <w:color w:val="auto"/>
          <w:highlight w:val="none"/>
          <w:lang w:val="zh-CN"/>
        </w:rPr>
        <w:fldChar w:fldCharType="end"/>
      </w:r>
    </w:p>
    <w:p w14:paraId="4144AC90">
      <w:pPr>
        <w:pStyle w:val="8"/>
        <w:tabs>
          <w:tab w:val="right" w:leader="dot" w:pos="8290"/>
        </w:tabs>
      </w:pPr>
      <w:r>
        <w:rPr>
          <w:bCs/>
          <w:color w:val="auto"/>
          <w:highlight w:val="none"/>
          <w:lang w:val="zh-CN"/>
        </w:rPr>
        <w:fldChar w:fldCharType="begin"/>
      </w:r>
      <w:r>
        <w:rPr>
          <w:bCs/>
          <w:highlight w:val="none"/>
          <w:lang w:val="zh-CN"/>
        </w:rPr>
        <w:instrText xml:space="preserve"> HYPERLINK \l _Toc28238 </w:instrText>
      </w:r>
      <w:r>
        <w:rPr>
          <w:bCs/>
          <w:highlight w:val="none"/>
          <w:lang w:val="zh-CN"/>
        </w:rPr>
        <w:fldChar w:fldCharType="separate"/>
      </w:r>
      <w:r>
        <w:rPr>
          <w:highlight w:val="none"/>
        </w:rPr>
        <w:t xml:space="preserve">B1. </w:t>
      </w:r>
      <w:r>
        <w:rPr>
          <w:rFonts w:hint="eastAsia"/>
          <w:highlight w:val="none"/>
        </w:rPr>
        <w:t>否决投标的条件</w:t>
      </w:r>
      <w:r>
        <w:tab/>
      </w:r>
      <w:r>
        <w:fldChar w:fldCharType="begin"/>
      </w:r>
      <w:r>
        <w:instrText xml:space="preserve"> PAGEREF _Toc28238 \h </w:instrText>
      </w:r>
      <w:r>
        <w:fldChar w:fldCharType="separate"/>
      </w:r>
      <w:r>
        <w:t>1</w:t>
      </w:r>
      <w:r>
        <w:fldChar w:fldCharType="end"/>
      </w:r>
      <w:r>
        <w:rPr>
          <w:bCs/>
          <w:color w:val="auto"/>
          <w:highlight w:val="none"/>
          <w:lang w:val="zh-CN"/>
        </w:rPr>
        <w:fldChar w:fldCharType="end"/>
      </w:r>
    </w:p>
    <w:p w14:paraId="1A22FC7D">
      <w:pPr>
        <w:pStyle w:val="13"/>
        <w:tabs>
          <w:tab w:val="right" w:leader="dot" w:pos="8290"/>
        </w:tabs>
      </w:pPr>
      <w:r>
        <w:rPr>
          <w:bCs/>
          <w:color w:val="auto"/>
          <w:highlight w:val="none"/>
          <w:lang w:val="zh-CN"/>
        </w:rPr>
        <w:fldChar w:fldCharType="begin"/>
      </w:r>
      <w:r>
        <w:rPr>
          <w:bCs/>
          <w:highlight w:val="none"/>
          <w:lang w:val="zh-CN"/>
        </w:rPr>
        <w:instrText xml:space="preserve"> HYPERLINK \l _Toc11507 </w:instrText>
      </w:r>
      <w:r>
        <w:rPr>
          <w:bCs/>
          <w:highlight w:val="none"/>
          <w:lang w:val="zh-CN"/>
        </w:rPr>
        <w:fldChar w:fldCharType="separate"/>
      </w:r>
      <w:r>
        <w:rPr>
          <w:rFonts w:hint="eastAsia"/>
          <w:szCs w:val="24"/>
          <w:highlight w:val="none"/>
        </w:rPr>
        <w:t>附件</w:t>
      </w:r>
      <w:r>
        <w:rPr>
          <w:szCs w:val="24"/>
          <w:highlight w:val="none"/>
        </w:rPr>
        <w:t>C</w:t>
      </w:r>
      <w:r>
        <w:rPr>
          <w:rFonts w:hint="eastAsia"/>
          <w:szCs w:val="24"/>
          <w:highlight w:val="none"/>
        </w:rPr>
        <w:t>：清标报告</w:t>
      </w:r>
      <w:r>
        <w:tab/>
      </w:r>
      <w:r>
        <w:fldChar w:fldCharType="begin"/>
      </w:r>
      <w:r>
        <w:instrText xml:space="preserve"> PAGEREF _Toc11507 \h </w:instrText>
      </w:r>
      <w:r>
        <w:fldChar w:fldCharType="separate"/>
      </w:r>
      <w:r>
        <w:t>1</w:t>
      </w:r>
      <w:r>
        <w:fldChar w:fldCharType="end"/>
      </w:r>
      <w:r>
        <w:rPr>
          <w:bCs/>
          <w:color w:val="auto"/>
          <w:highlight w:val="none"/>
          <w:lang w:val="zh-CN"/>
        </w:rPr>
        <w:fldChar w:fldCharType="end"/>
      </w:r>
    </w:p>
    <w:p w14:paraId="33C646CD">
      <w:pPr>
        <w:pStyle w:val="8"/>
        <w:tabs>
          <w:tab w:val="right" w:leader="dot" w:pos="8290"/>
        </w:tabs>
      </w:pPr>
      <w:r>
        <w:rPr>
          <w:bCs/>
          <w:color w:val="auto"/>
          <w:highlight w:val="none"/>
          <w:lang w:val="zh-CN"/>
        </w:rPr>
        <w:fldChar w:fldCharType="begin"/>
      </w:r>
      <w:r>
        <w:rPr>
          <w:bCs/>
          <w:highlight w:val="none"/>
          <w:lang w:val="zh-CN"/>
        </w:rPr>
        <w:instrText xml:space="preserve"> HYPERLINK \l _Toc1588 </w:instrText>
      </w:r>
      <w:r>
        <w:rPr>
          <w:bCs/>
          <w:highlight w:val="none"/>
          <w:lang w:val="zh-CN"/>
        </w:rPr>
        <w:fldChar w:fldCharType="separate"/>
      </w:r>
      <w:r>
        <w:rPr>
          <w:highlight w:val="none"/>
        </w:rPr>
        <w:t>C0.</w:t>
      </w:r>
      <w:r>
        <w:rPr>
          <w:rFonts w:hint="eastAsia"/>
          <w:highlight w:val="none"/>
        </w:rPr>
        <w:t>总</w:t>
      </w:r>
      <w:r>
        <w:rPr>
          <w:highlight w:val="none"/>
        </w:rPr>
        <w:t xml:space="preserve">  </w:t>
      </w:r>
      <w:r>
        <w:rPr>
          <w:rFonts w:hint="eastAsia"/>
          <w:highlight w:val="none"/>
        </w:rPr>
        <w:t>则</w:t>
      </w:r>
      <w:r>
        <w:tab/>
      </w:r>
      <w:r>
        <w:fldChar w:fldCharType="begin"/>
      </w:r>
      <w:r>
        <w:instrText xml:space="preserve"> PAGEREF _Toc1588 \h </w:instrText>
      </w:r>
      <w:r>
        <w:fldChar w:fldCharType="separate"/>
      </w:r>
      <w:r>
        <w:t>1</w:t>
      </w:r>
      <w:r>
        <w:fldChar w:fldCharType="end"/>
      </w:r>
      <w:r>
        <w:rPr>
          <w:bCs/>
          <w:color w:val="auto"/>
          <w:highlight w:val="none"/>
          <w:lang w:val="zh-CN"/>
        </w:rPr>
        <w:fldChar w:fldCharType="end"/>
      </w:r>
    </w:p>
    <w:p w14:paraId="5E7B3724">
      <w:pPr>
        <w:pStyle w:val="8"/>
        <w:tabs>
          <w:tab w:val="right" w:leader="dot" w:pos="8290"/>
        </w:tabs>
      </w:pPr>
      <w:r>
        <w:rPr>
          <w:bCs/>
          <w:color w:val="auto"/>
          <w:highlight w:val="none"/>
          <w:lang w:val="zh-CN"/>
        </w:rPr>
        <w:fldChar w:fldCharType="begin"/>
      </w:r>
      <w:r>
        <w:rPr>
          <w:bCs/>
          <w:highlight w:val="none"/>
          <w:lang w:val="zh-CN"/>
        </w:rPr>
        <w:instrText xml:space="preserve"> HYPERLINK \l _Toc20110 </w:instrText>
      </w:r>
      <w:r>
        <w:rPr>
          <w:bCs/>
          <w:highlight w:val="none"/>
          <w:lang w:val="zh-CN"/>
        </w:rPr>
        <w:fldChar w:fldCharType="separate"/>
      </w:r>
      <w:r>
        <w:rPr>
          <w:highlight w:val="none"/>
        </w:rPr>
        <w:t>C1.</w:t>
      </w:r>
      <w:r>
        <w:rPr>
          <w:rFonts w:hint="eastAsia"/>
          <w:highlight w:val="none"/>
        </w:rPr>
        <w:t>清标程序</w:t>
      </w:r>
      <w:r>
        <w:tab/>
      </w:r>
      <w:r>
        <w:fldChar w:fldCharType="begin"/>
      </w:r>
      <w:r>
        <w:instrText xml:space="preserve"> PAGEREF _Toc20110 \h </w:instrText>
      </w:r>
      <w:r>
        <w:fldChar w:fldCharType="separate"/>
      </w:r>
      <w:r>
        <w:t>1</w:t>
      </w:r>
      <w:r>
        <w:fldChar w:fldCharType="end"/>
      </w:r>
      <w:r>
        <w:rPr>
          <w:bCs/>
          <w:color w:val="auto"/>
          <w:highlight w:val="none"/>
          <w:lang w:val="zh-CN"/>
        </w:rPr>
        <w:fldChar w:fldCharType="end"/>
      </w:r>
    </w:p>
    <w:p w14:paraId="67E71D77">
      <w:pPr>
        <w:pStyle w:val="8"/>
        <w:tabs>
          <w:tab w:val="right" w:leader="dot" w:pos="8290"/>
        </w:tabs>
      </w:pPr>
      <w:r>
        <w:rPr>
          <w:bCs/>
          <w:color w:val="auto"/>
          <w:highlight w:val="none"/>
          <w:lang w:val="zh-CN"/>
        </w:rPr>
        <w:fldChar w:fldCharType="begin"/>
      </w:r>
      <w:r>
        <w:rPr>
          <w:bCs/>
          <w:highlight w:val="none"/>
          <w:lang w:val="zh-CN"/>
        </w:rPr>
        <w:instrText xml:space="preserve"> HYPERLINK \l _Toc32284 </w:instrText>
      </w:r>
      <w:r>
        <w:rPr>
          <w:bCs/>
          <w:highlight w:val="none"/>
          <w:lang w:val="zh-CN"/>
        </w:rPr>
        <w:fldChar w:fldCharType="separate"/>
      </w:r>
      <w:r>
        <w:rPr>
          <w:highlight w:val="none"/>
        </w:rPr>
        <w:t>C2.</w:t>
      </w:r>
      <w:r>
        <w:rPr>
          <w:rFonts w:hint="eastAsia"/>
          <w:highlight w:val="none"/>
        </w:rPr>
        <w:t>清标内容</w:t>
      </w:r>
      <w:r>
        <w:tab/>
      </w:r>
      <w:r>
        <w:fldChar w:fldCharType="begin"/>
      </w:r>
      <w:r>
        <w:instrText xml:space="preserve"> PAGEREF _Toc32284 \h </w:instrText>
      </w:r>
      <w:r>
        <w:fldChar w:fldCharType="separate"/>
      </w:r>
      <w:r>
        <w:t>1</w:t>
      </w:r>
      <w:r>
        <w:fldChar w:fldCharType="end"/>
      </w:r>
      <w:r>
        <w:rPr>
          <w:bCs/>
          <w:color w:val="auto"/>
          <w:highlight w:val="none"/>
          <w:lang w:val="zh-CN"/>
        </w:rPr>
        <w:fldChar w:fldCharType="end"/>
      </w:r>
    </w:p>
    <w:p w14:paraId="6D883B19">
      <w:pPr>
        <w:pStyle w:val="8"/>
        <w:tabs>
          <w:tab w:val="right" w:leader="dot" w:pos="8290"/>
        </w:tabs>
      </w:pPr>
      <w:r>
        <w:rPr>
          <w:bCs/>
          <w:color w:val="auto"/>
          <w:highlight w:val="none"/>
          <w:lang w:val="zh-CN"/>
        </w:rPr>
        <w:fldChar w:fldCharType="begin"/>
      </w:r>
      <w:r>
        <w:rPr>
          <w:bCs/>
          <w:highlight w:val="none"/>
          <w:lang w:val="zh-CN"/>
        </w:rPr>
        <w:instrText xml:space="preserve"> HYPERLINK \l _Toc1746 </w:instrText>
      </w:r>
      <w:r>
        <w:rPr>
          <w:bCs/>
          <w:highlight w:val="none"/>
          <w:lang w:val="zh-CN"/>
        </w:rPr>
        <w:fldChar w:fldCharType="separate"/>
      </w:r>
      <w:r>
        <w:rPr>
          <w:szCs w:val="21"/>
          <w:highlight w:val="none"/>
        </w:rPr>
        <w:t>C2.1</w:t>
      </w:r>
      <w:r>
        <w:rPr>
          <w:rFonts w:hint="eastAsia"/>
          <w:szCs w:val="21"/>
          <w:highlight w:val="none"/>
        </w:rPr>
        <w:t>已标价工程量清单符合性检查</w:t>
      </w:r>
      <w:r>
        <w:tab/>
      </w:r>
      <w:r>
        <w:fldChar w:fldCharType="begin"/>
      </w:r>
      <w:r>
        <w:instrText xml:space="preserve"> PAGEREF _Toc1746 \h </w:instrText>
      </w:r>
      <w:r>
        <w:fldChar w:fldCharType="separate"/>
      </w:r>
      <w:r>
        <w:t>1</w:t>
      </w:r>
      <w:r>
        <w:fldChar w:fldCharType="end"/>
      </w:r>
      <w:r>
        <w:rPr>
          <w:bCs/>
          <w:color w:val="auto"/>
          <w:highlight w:val="none"/>
          <w:lang w:val="zh-CN"/>
        </w:rPr>
        <w:fldChar w:fldCharType="end"/>
      </w:r>
    </w:p>
    <w:p w14:paraId="03F097E4">
      <w:pPr>
        <w:pStyle w:val="8"/>
        <w:tabs>
          <w:tab w:val="right" w:leader="dot" w:pos="8290"/>
        </w:tabs>
      </w:pPr>
      <w:r>
        <w:rPr>
          <w:bCs/>
          <w:color w:val="auto"/>
          <w:highlight w:val="none"/>
          <w:lang w:val="zh-CN"/>
        </w:rPr>
        <w:fldChar w:fldCharType="begin"/>
      </w:r>
      <w:r>
        <w:rPr>
          <w:bCs/>
          <w:highlight w:val="none"/>
          <w:lang w:val="zh-CN"/>
        </w:rPr>
        <w:instrText xml:space="preserve"> HYPERLINK \l _Toc21248 </w:instrText>
      </w:r>
      <w:r>
        <w:rPr>
          <w:bCs/>
          <w:highlight w:val="none"/>
          <w:lang w:val="zh-CN"/>
        </w:rPr>
        <w:fldChar w:fldCharType="separate"/>
      </w:r>
      <w:r>
        <w:rPr>
          <w:szCs w:val="21"/>
          <w:highlight w:val="none"/>
        </w:rPr>
        <w:t>C2.2</w:t>
      </w:r>
      <w:r>
        <w:rPr>
          <w:rFonts w:hint="eastAsia"/>
          <w:szCs w:val="21"/>
          <w:highlight w:val="none"/>
        </w:rPr>
        <w:t>已标价工程量清单算术错误修正</w:t>
      </w:r>
      <w:r>
        <w:tab/>
      </w:r>
      <w:r>
        <w:fldChar w:fldCharType="begin"/>
      </w:r>
      <w:r>
        <w:instrText xml:space="preserve"> PAGEREF _Toc21248 \h </w:instrText>
      </w:r>
      <w:r>
        <w:fldChar w:fldCharType="separate"/>
      </w:r>
      <w:r>
        <w:t>1</w:t>
      </w:r>
      <w:r>
        <w:fldChar w:fldCharType="end"/>
      </w:r>
      <w:r>
        <w:rPr>
          <w:bCs/>
          <w:color w:val="auto"/>
          <w:highlight w:val="none"/>
          <w:lang w:val="zh-CN"/>
        </w:rPr>
        <w:fldChar w:fldCharType="end"/>
      </w:r>
    </w:p>
    <w:p w14:paraId="626C42C6">
      <w:pPr>
        <w:pStyle w:val="8"/>
        <w:tabs>
          <w:tab w:val="right" w:leader="dot" w:pos="8290"/>
        </w:tabs>
      </w:pPr>
      <w:r>
        <w:rPr>
          <w:bCs/>
          <w:color w:val="auto"/>
          <w:highlight w:val="none"/>
          <w:lang w:val="zh-CN"/>
        </w:rPr>
        <w:fldChar w:fldCharType="begin"/>
      </w:r>
      <w:r>
        <w:rPr>
          <w:bCs/>
          <w:highlight w:val="none"/>
          <w:lang w:val="zh-CN"/>
        </w:rPr>
        <w:instrText xml:space="preserve"> HYPERLINK \l _Toc30264 </w:instrText>
      </w:r>
      <w:r>
        <w:rPr>
          <w:bCs/>
          <w:highlight w:val="none"/>
          <w:lang w:val="zh-CN"/>
        </w:rPr>
        <w:fldChar w:fldCharType="separate"/>
      </w:r>
      <w:r>
        <w:rPr>
          <w:szCs w:val="21"/>
          <w:highlight w:val="none"/>
        </w:rPr>
        <w:t>C2.3</w:t>
      </w:r>
      <w:r>
        <w:rPr>
          <w:rFonts w:hint="eastAsia"/>
          <w:szCs w:val="21"/>
          <w:highlight w:val="none"/>
        </w:rPr>
        <w:t>已标价工程量清单偏差分析</w:t>
      </w:r>
      <w:r>
        <w:tab/>
      </w:r>
      <w:r>
        <w:fldChar w:fldCharType="begin"/>
      </w:r>
      <w:r>
        <w:instrText xml:space="preserve"> PAGEREF _Toc30264 \h </w:instrText>
      </w:r>
      <w:r>
        <w:fldChar w:fldCharType="separate"/>
      </w:r>
      <w:r>
        <w:t>1</w:t>
      </w:r>
      <w:r>
        <w:fldChar w:fldCharType="end"/>
      </w:r>
      <w:r>
        <w:rPr>
          <w:bCs/>
          <w:color w:val="auto"/>
          <w:highlight w:val="none"/>
          <w:lang w:val="zh-CN"/>
        </w:rPr>
        <w:fldChar w:fldCharType="end"/>
      </w:r>
    </w:p>
    <w:p w14:paraId="48006387">
      <w:pPr>
        <w:pStyle w:val="8"/>
        <w:tabs>
          <w:tab w:val="right" w:leader="dot" w:pos="8290"/>
        </w:tabs>
      </w:pPr>
      <w:r>
        <w:rPr>
          <w:bCs/>
          <w:color w:val="auto"/>
          <w:highlight w:val="none"/>
          <w:lang w:val="zh-CN"/>
        </w:rPr>
        <w:fldChar w:fldCharType="begin"/>
      </w:r>
      <w:r>
        <w:rPr>
          <w:bCs/>
          <w:highlight w:val="none"/>
          <w:lang w:val="zh-CN"/>
        </w:rPr>
        <w:instrText xml:space="preserve"> HYPERLINK \l _Toc1333 </w:instrText>
      </w:r>
      <w:r>
        <w:rPr>
          <w:bCs/>
          <w:highlight w:val="none"/>
          <w:lang w:val="zh-CN"/>
        </w:rPr>
        <w:fldChar w:fldCharType="separate"/>
      </w:r>
      <w:r>
        <w:rPr>
          <w:highlight w:val="none"/>
        </w:rPr>
        <w:t>C3.</w:t>
      </w:r>
      <w:r>
        <w:rPr>
          <w:rFonts w:hint="eastAsia"/>
          <w:highlight w:val="none"/>
        </w:rPr>
        <w:t>清标报告</w:t>
      </w:r>
      <w:r>
        <w:tab/>
      </w:r>
      <w:r>
        <w:fldChar w:fldCharType="begin"/>
      </w:r>
      <w:r>
        <w:instrText xml:space="preserve"> PAGEREF _Toc1333 \h </w:instrText>
      </w:r>
      <w:r>
        <w:fldChar w:fldCharType="separate"/>
      </w:r>
      <w:r>
        <w:t>1</w:t>
      </w:r>
      <w:r>
        <w:fldChar w:fldCharType="end"/>
      </w:r>
      <w:r>
        <w:rPr>
          <w:bCs/>
          <w:color w:val="auto"/>
          <w:highlight w:val="none"/>
          <w:lang w:val="zh-CN"/>
        </w:rPr>
        <w:fldChar w:fldCharType="end"/>
      </w:r>
    </w:p>
    <w:p w14:paraId="4EC43045">
      <w:pPr>
        <w:pStyle w:val="13"/>
        <w:tabs>
          <w:tab w:val="right" w:leader="dot" w:pos="8290"/>
        </w:tabs>
      </w:pPr>
      <w:r>
        <w:rPr>
          <w:bCs/>
          <w:color w:val="auto"/>
          <w:highlight w:val="none"/>
          <w:lang w:val="zh-CN"/>
        </w:rPr>
        <w:fldChar w:fldCharType="begin"/>
      </w:r>
      <w:r>
        <w:rPr>
          <w:bCs/>
          <w:highlight w:val="none"/>
          <w:lang w:val="zh-CN"/>
        </w:rPr>
        <w:instrText xml:space="preserve"> HYPERLINK \l _Toc32380 </w:instrText>
      </w:r>
      <w:r>
        <w:rPr>
          <w:bCs/>
          <w:highlight w:val="none"/>
          <w:lang w:val="zh-CN"/>
        </w:rPr>
        <w:fldChar w:fldCharType="separate"/>
      </w:r>
      <w:r>
        <w:rPr>
          <w:rFonts w:hint="eastAsia"/>
          <w:szCs w:val="24"/>
          <w:highlight w:val="none"/>
        </w:rPr>
        <w:t>附件</w:t>
      </w:r>
      <w:r>
        <w:rPr>
          <w:szCs w:val="24"/>
          <w:highlight w:val="none"/>
        </w:rPr>
        <w:t>D</w:t>
      </w:r>
      <w:r>
        <w:rPr>
          <w:rFonts w:hint="eastAsia"/>
          <w:szCs w:val="24"/>
          <w:highlight w:val="none"/>
        </w:rPr>
        <w:t>：投标人成本评审办法</w:t>
      </w:r>
      <w:r>
        <w:tab/>
      </w:r>
      <w:r>
        <w:fldChar w:fldCharType="begin"/>
      </w:r>
      <w:r>
        <w:instrText xml:space="preserve"> PAGEREF _Toc32380 \h </w:instrText>
      </w:r>
      <w:r>
        <w:fldChar w:fldCharType="separate"/>
      </w:r>
      <w:r>
        <w:t>1</w:t>
      </w:r>
      <w:r>
        <w:fldChar w:fldCharType="end"/>
      </w:r>
      <w:r>
        <w:rPr>
          <w:bCs/>
          <w:color w:val="auto"/>
          <w:highlight w:val="none"/>
          <w:lang w:val="zh-CN"/>
        </w:rPr>
        <w:fldChar w:fldCharType="end"/>
      </w:r>
    </w:p>
    <w:p w14:paraId="58DBDC22">
      <w:pPr>
        <w:pStyle w:val="8"/>
        <w:tabs>
          <w:tab w:val="right" w:leader="dot" w:pos="8290"/>
        </w:tabs>
      </w:pPr>
      <w:r>
        <w:rPr>
          <w:bCs/>
          <w:color w:val="auto"/>
          <w:highlight w:val="none"/>
          <w:lang w:val="zh-CN"/>
        </w:rPr>
        <w:fldChar w:fldCharType="begin"/>
      </w:r>
      <w:r>
        <w:rPr>
          <w:bCs/>
          <w:highlight w:val="none"/>
          <w:lang w:val="zh-CN"/>
        </w:rPr>
        <w:instrText xml:space="preserve"> HYPERLINK \l _Toc12129 </w:instrText>
      </w:r>
      <w:r>
        <w:rPr>
          <w:bCs/>
          <w:highlight w:val="none"/>
          <w:lang w:val="zh-CN"/>
        </w:rPr>
        <w:fldChar w:fldCharType="separate"/>
      </w:r>
      <w:r>
        <w:rPr>
          <w:highlight w:val="none"/>
        </w:rPr>
        <w:t>D0.</w:t>
      </w:r>
      <w:r>
        <w:rPr>
          <w:rFonts w:hint="eastAsia"/>
          <w:highlight w:val="none"/>
        </w:rPr>
        <w:t>总</w:t>
      </w:r>
      <w:r>
        <w:rPr>
          <w:highlight w:val="none"/>
        </w:rPr>
        <w:t xml:space="preserve">  </w:t>
      </w:r>
      <w:r>
        <w:rPr>
          <w:rFonts w:hint="eastAsia"/>
          <w:highlight w:val="none"/>
        </w:rPr>
        <w:t>则</w:t>
      </w:r>
      <w:r>
        <w:tab/>
      </w:r>
      <w:r>
        <w:fldChar w:fldCharType="begin"/>
      </w:r>
      <w:r>
        <w:instrText xml:space="preserve"> PAGEREF _Toc12129 \h </w:instrText>
      </w:r>
      <w:r>
        <w:fldChar w:fldCharType="separate"/>
      </w:r>
      <w:r>
        <w:t>1</w:t>
      </w:r>
      <w:r>
        <w:fldChar w:fldCharType="end"/>
      </w:r>
      <w:r>
        <w:rPr>
          <w:bCs/>
          <w:color w:val="auto"/>
          <w:highlight w:val="none"/>
          <w:lang w:val="zh-CN"/>
        </w:rPr>
        <w:fldChar w:fldCharType="end"/>
      </w:r>
    </w:p>
    <w:p w14:paraId="3F77DC57">
      <w:pPr>
        <w:pStyle w:val="8"/>
        <w:tabs>
          <w:tab w:val="right" w:leader="dot" w:pos="8290"/>
        </w:tabs>
      </w:pPr>
      <w:r>
        <w:rPr>
          <w:bCs/>
          <w:color w:val="auto"/>
          <w:highlight w:val="none"/>
          <w:lang w:val="zh-CN"/>
        </w:rPr>
        <w:fldChar w:fldCharType="begin"/>
      </w:r>
      <w:r>
        <w:rPr>
          <w:bCs/>
          <w:highlight w:val="none"/>
          <w:lang w:val="zh-CN"/>
        </w:rPr>
        <w:instrText xml:space="preserve"> HYPERLINK \l _Toc22584 </w:instrText>
      </w:r>
      <w:r>
        <w:rPr>
          <w:bCs/>
          <w:highlight w:val="none"/>
          <w:lang w:val="zh-CN"/>
        </w:rPr>
        <w:fldChar w:fldCharType="separate"/>
      </w:r>
      <w:r>
        <w:rPr>
          <w:highlight w:val="none"/>
        </w:rPr>
        <w:t>D1.</w:t>
      </w:r>
      <w:r>
        <w:rPr>
          <w:rFonts w:hint="eastAsia"/>
          <w:highlight w:val="none"/>
        </w:rPr>
        <w:t>启动成本评审工作的前提条件</w:t>
      </w:r>
      <w:r>
        <w:tab/>
      </w:r>
      <w:r>
        <w:fldChar w:fldCharType="begin"/>
      </w:r>
      <w:r>
        <w:instrText xml:space="preserve"> PAGEREF _Toc22584 \h </w:instrText>
      </w:r>
      <w:r>
        <w:fldChar w:fldCharType="separate"/>
      </w:r>
      <w:r>
        <w:t>1</w:t>
      </w:r>
      <w:r>
        <w:fldChar w:fldCharType="end"/>
      </w:r>
      <w:r>
        <w:rPr>
          <w:bCs/>
          <w:color w:val="auto"/>
          <w:highlight w:val="none"/>
          <w:lang w:val="zh-CN"/>
        </w:rPr>
        <w:fldChar w:fldCharType="end"/>
      </w:r>
    </w:p>
    <w:p w14:paraId="293E7A4A">
      <w:pPr>
        <w:pStyle w:val="8"/>
        <w:tabs>
          <w:tab w:val="right" w:leader="dot" w:pos="8290"/>
        </w:tabs>
      </w:pPr>
      <w:r>
        <w:rPr>
          <w:bCs/>
          <w:color w:val="auto"/>
          <w:highlight w:val="none"/>
          <w:lang w:val="zh-CN"/>
        </w:rPr>
        <w:fldChar w:fldCharType="begin"/>
      </w:r>
      <w:r>
        <w:rPr>
          <w:bCs/>
          <w:highlight w:val="none"/>
          <w:lang w:val="zh-CN"/>
        </w:rPr>
        <w:instrText xml:space="preserve"> HYPERLINK \l _Toc13840 </w:instrText>
      </w:r>
      <w:r>
        <w:rPr>
          <w:bCs/>
          <w:highlight w:val="none"/>
          <w:lang w:val="zh-CN"/>
        </w:rPr>
        <w:fldChar w:fldCharType="separate"/>
      </w:r>
      <w:r>
        <w:rPr>
          <w:highlight w:val="none"/>
        </w:rPr>
        <w:t>D2.</w:t>
      </w:r>
      <w:r>
        <w:rPr>
          <w:rFonts w:hint="eastAsia"/>
          <w:highlight w:val="none"/>
        </w:rPr>
        <w:t>评审的依据</w:t>
      </w:r>
      <w:r>
        <w:tab/>
      </w:r>
      <w:r>
        <w:fldChar w:fldCharType="begin"/>
      </w:r>
      <w:r>
        <w:instrText xml:space="preserve"> PAGEREF _Toc13840 \h </w:instrText>
      </w:r>
      <w:r>
        <w:fldChar w:fldCharType="separate"/>
      </w:r>
      <w:r>
        <w:t>1</w:t>
      </w:r>
      <w:r>
        <w:fldChar w:fldCharType="end"/>
      </w:r>
      <w:r>
        <w:rPr>
          <w:bCs/>
          <w:color w:val="auto"/>
          <w:highlight w:val="none"/>
          <w:lang w:val="zh-CN"/>
        </w:rPr>
        <w:fldChar w:fldCharType="end"/>
      </w:r>
    </w:p>
    <w:p w14:paraId="201557F0">
      <w:pPr>
        <w:pStyle w:val="8"/>
        <w:tabs>
          <w:tab w:val="right" w:leader="dot" w:pos="8290"/>
        </w:tabs>
      </w:pPr>
      <w:r>
        <w:rPr>
          <w:bCs/>
          <w:color w:val="auto"/>
          <w:highlight w:val="none"/>
          <w:lang w:val="zh-CN"/>
        </w:rPr>
        <w:fldChar w:fldCharType="begin"/>
      </w:r>
      <w:r>
        <w:rPr>
          <w:bCs/>
          <w:highlight w:val="none"/>
          <w:lang w:val="zh-CN"/>
        </w:rPr>
        <w:instrText xml:space="preserve"> HYPERLINK \l _Toc12959 </w:instrText>
      </w:r>
      <w:r>
        <w:rPr>
          <w:bCs/>
          <w:highlight w:val="none"/>
          <w:lang w:val="zh-CN"/>
        </w:rPr>
        <w:fldChar w:fldCharType="separate"/>
      </w:r>
      <w:r>
        <w:rPr>
          <w:highlight w:val="none"/>
        </w:rPr>
        <w:t>D3.</w:t>
      </w:r>
      <w:r>
        <w:rPr>
          <w:rFonts w:hint="eastAsia"/>
          <w:highlight w:val="none"/>
        </w:rPr>
        <w:t>对投标价格的合理性进行评审</w:t>
      </w:r>
      <w:r>
        <w:tab/>
      </w:r>
      <w:r>
        <w:fldChar w:fldCharType="begin"/>
      </w:r>
      <w:r>
        <w:instrText xml:space="preserve"> PAGEREF _Toc12959 \h </w:instrText>
      </w:r>
      <w:r>
        <w:fldChar w:fldCharType="separate"/>
      </w:r>
      <w:r>
        <w:t>1</w:t>
      </w:r>
      <w:r>
        <w:fldChar w:fldCharType="end"/>
      </w:r>
      <w:r>
        <w:rPr>
          <w:bCs/>
          <w:color w:val="auto"/>
          <w:highlight w:val="none"/>
          <w:lang w:val="zh-CN"/>
        </w:rPr>
        <w:fldChar w:fldCharType="end"/>
      </w:r>
    </w:p>
    <w:p w14:paraId="4D724094">
      <w:pPr>
        <w:pStyle w:val="8"/>
        <w:tabs>
          <w:tab w:val="right" w:leader="dot" w:pos="8290"/>
        </w:tabs>
      </w:pPr>
      <w:r>
        <w:rPr>
          <w:bCs/>
          <w:color w:val="auto"/>
          <w:highlight w:val="none"/>
          <w:lang w:val="zh-CN"/>
        </w:rPr>
        <w:fldChar w:fldCharType="begin"/>
      </w:r>
      <w:r>
        <w:rPr>
          <w:bCs/>
          <w:highlight w:val="none"/>
          <w:lang w:val="zh-CN"/>
        </w:rPr>
        <w:instrText xml:space="preserve"> HYPERLINK \l _Toc23839 </w:instrText>
      </w:r>
      <w:r>
        <w:rPr>
          <w:bCs/>
          <w:highlight w:val="none"/>
          <w:lang w:val="zh-CN"/>
        </w:rPr>
        <w:fldChar w:fldCharType="separate"/>
      </w:r>
      <w:r>
        <w:rPr>
          <w:highlight w:val="none"/>
        </w:rPr>
        <w:t>D4.</w:t>
      </w:r>
      <w:r>
        <w:rPr>
          <w:rFonts w:hint="eastAsia"/>
          <w:highlight w:val="none"/>
        </w:rPr>
        <w:t>澄清、说明或补正</w:t>
      </w:r>
      <w:r>
        <w:tab/>
      </w:r>
      <w:r>
        <w:fldChar w:fldCharType="begin"/>
      </w:r>
      <w:r>
        <w:instrText xml:space="preserve"> PAGEREF _Toc23839 \h </w:instrText>
      </w:r>
      <w:r>
        <w:fldChar w:fldCharType="separate"/>
      </w:r>
      <w:r>
        <w:t>1</w:t>
      </w:r>
      <w:r>
        <w:fldChar w:fldCharType="end"/>
      </w:r>
      <w:r>
        <w:rPr>
          <w:bCs/>
          <w:color w:val="auto"/>
          <w:highlight w:val="none"/>
          <w:lang w:val="zh-CN"/>
        </w:rPr>
        <w:fldChar w:fldCharType="end"/>
      </w:r>
    </w:p>
    <w:p w14:paraId="645BE9BE">
      <w:pPr>
        <w:pStyle w:val="8"/>
        <w:tabs>
          <w:tab w:val="right" w:leader="dot" w:pos="8290"/>
        </w:tabs>
      </w:pPr>
      <w:r>
        <w:rPr>
          <w:bCs/>
          <w:color w:val="auto"/>
          <w:highlight w:val="none"/>
          <w:lang w:val="zh-CN"/>
        </w:rPr>
        <w:fldChar w:fldCharType="begin"/>
      </w:r>
      <w:r>
        <w:rPr>
          <w:bCs/>
          <w:highlight w:val="none"/>
          <w:lang w:val="zh-CN"/>
        </w:rPr>
        <w:instrText xml:space="preserve"> HYPERLINK \l _Toc5572 </w:instrText>
      </w:r>
      <w:r>
        <w:rPr>
          <w:bCs/>
          <w:highlight w:val="none"/>
          <w:lang w:val="zh-CN"/>
        </w:rPr>
        <w:fldChar w:fldCharType="separate"/>
      </w:r>
      <w:r>
        <w:rPr>
          <w:highlight w:val="none"/>
        </w:rPr>
        <w:t>D5.</w:t>
      </w:r>
      <w:r>
        <w:rPr>
          <w:rFonts w:hint="eastAsia"/>
          <w:highlight w:val="none"/>
        </w:rPr>
        <w:t>判断投标报价是否低于其成本</w:t>
      </w:r>
      <w:r>
        <w:tab/>
      </w:r>
      <w:r>
        <w:fldChar w:fldCharType="begin"/>
      </w:r>
      <w:r>
        <w:instrText xml:space="preserve"> PAGEREF _Toc5572 \h </w:instrText>
      </w:r>
      <w:r>
        <w:fldChar w:fldCharType="separate"/>
      </w:r>
      <w:r>
        <w:t>1</w:t>
      </w:r>
      <w:r>
        <w:fldChar w:fldCharType="end"/>
      </w:r>
      <w:r>
        <w:rPr>
          <w:bCs/>
          <w:color w:val="auto"/>
          <w:highlight w:val="none"/>
          <w:lang w:val="zh-CN"/>
        </w:rPr>
        <w:fldChar w:fldCharType="end"/>
      </w:r>
    </w:p>
    <w:p w14:paraId="456D03B0">
      <w:pPr>
        <w:pStyle w:val="8"/>
        <w:tabs>
          <w:tab w:val="right" w:leader="dot" w:pos="8290"/>
        </w:tabs>
      </w:pPr>
      <w:r>
        <w:rPr>
          <w:bCs/>
          <w:color w:val="auto"/>
          <w:highlight w:val="none"/>
          <w:lang w:val="zh-CN"/>
        </w:rPr>
        <w:fldChar w:fldCharType="begin"/>
      </w:r>
      <w:r>
        <w:rPr>
          <w:bCs/>
          <w:highlight w:val="none"/>
          <w:lang w:val="zh-CN"/>
        </w:rPr>
        <w:instrText xml:space="preserve"> HYPERLINK \l _Toc14679 </w:instrText>
      </w:r>
      <w:r>
        <w:rPr>
          <w:bCs/>
          <w:highlight w:val="none"/>
          <w:lang w:val="zh-CN"/>
        </w:rPr>
        <w:fldChar w:fldCharType="separate"/>
      </w:r>
      <w:r>
        <w:rPr>
          <w:rFonts w:hint="eastAsia"/>
          <w:highlight w:val="none"/>
        </w:rPr>
        <w:t>附表</w:t>
      </w:r>
      <w:r>
        <w:rPr>
          <w:highlight w:val="none"/>
        </w:rPr>
        <w:t>A-1</w:t>
      </w:r>
      <w:r>
        <w:rPr>
          <w:rFonts w:hint="eastAsia"/>
          <w:highlight w:val="none"/>
        </w:rPr>
        <w:t>：评标委员会签到表</w:t>
      </w:r>
      <w:r>
        <w:tab/>
      </w:r>
      <w:r>
        <w:fldChar w:fldCharType="begin"/>
      </w:r>
      <w:r>
        <w:instrText xml:space="preserve"> PAGEREF _Toc14679 \h </w:instrText>
      </w:r>
      <w:r>
        <w:fldChar w:fldCharType="separate"/>
      </w:r>
      <w:r>
        <w:t>1</w:t>
      </w:r>
      <w:r>
        <w:fldChar w:fldCharType="end"/>
      </w:r>
      <w:r>
        <w:rPr>
          <w:bCs/>
          <w:color w:val="auto"/>
          <w:highlight w:val="none"/>
          <w:lang w:val="zh-CN"/>
        </w:rPr>
        <w:fldChar w:fldCharType="end"/>
      </w:r>
    </w:p>
    <w:p w14:paraId="48B49BB5">
      <w:pPr>
        <w:pStyle w:val="8"/>
        <w:tabs>
          <w:tab w:val="right" w:leader="dot" w:pos="8290"/>
        </w:tabs>
      </w:pPr>
      <w:r>
        <w:rPr>
          <w:bCs/>
          <w:color w:val="auto"/>
          <w:highlight w:val="none"/>
          <w:lang w:val="zh-CN"/>
        </w:rPr>
        <w:fldChar w:fldCharType="begin"/>
      </w:r>
      <w:r>
        <w:rPr>
          <w:bCs/>
          <w:highlight w:val="none"/>
          <w:lang w:val="zh-CN"/>
        </w:rPr>
        <w:instrText xml:space="preserve"> HYPERLINK \l _Toc17481 </w:instrText>
      </w:r>
      <w:r>
        <w:rPr>
          <w:bCs/>
          <w:highlight w:val="none"/>
          <w:lang w:val="zh-CN"/>
        </w:rPr>
        <w:fldChar w:fldCharType="separate"/>
      </w:r>
      <w:r>
        <w:rPr>
          <w:rFonts w:hint="eastAsia"/>
          <w:highlight w:val="none"/>
        </w:rPr>
        <w:t>附表</w:t>
      </w:r>
      <w:r>
        <w:rPr>
          <w:highlight w:val="none"/>
        </w:rPr>
        <w:t xml:space="preserve"> A-2</w:t>
      </w:r>
      <w:r>
        <w:rPr>
          <w:rFonts w:hint="eastAsia"/>
          <w:highlight w:val="none"/>
        </w:rPr>
        <w:t>：评标专家声明书</w:t>
      </w:r>
      <w:r>
        <w:tab/>
      </w:r>
      <w:r>
        <w:fldChar w:fldCharType="begin"/>
      </w:r>
      <w:r>
        <w:instrText xml:space="preserve"> PAGEREF _Toc17481 \h </w:instrText>
      </w:r>
      <w:r>
        <w:fldChar w:fldCharType="separate"/>
      </w:r>
      <w:r>
        <w:t>1</w:t>
      </w:r>
      <w:r>
        <w:fldChar w:fldCharType="end"/>
      </w:r>
      <w:r>
        <w:rPr>
          <w:bCs/>
          <w:color w:val="auto"/>
          <w:highlight w:val="none"/>
          <w:lang w:val="zh-CN"/>
        </w:rPr>
        <w:fldChar w:fldCharType="end"/>
      </w:r>
    </w:p>
    <w:p w14:paraId="02EE7D42">
      <w:pPr>
        <w:pStyle w:val="8"/>
        <w:tabs>
          <w:tab w:val="right" w:leader="dot" w:pos="8290"/>
        </w:tabs>
      </w:pPr>
      <w:r>
        <w:rPr>
          <w:bCs/>
          <w:color w:val="auto"/>
          <w:highlight w:val="none"/>
          <w:lang w:val="zh-CN"/>
        </w:rPr>
        <w:fldChar w:fldCharType="begin"/>
      </w:r>
      <w:r>
        <w:rPr>
          <w:bCs/>
          <w:highlight w:val="none"/>
          <w:lang w:val="zh-CN"/>
        </w:rPr>
        <w:instrText xml:space="preserve"> HYPERLINK \l _Toc26595 </w:instrText>
      </w:r>
      <w:r>
        <w:rPr>
          <w:bCs/>
          <w:highlight w:val="none"/>
          <w:lang w:val="zh-CN"/>
        </w:rPr>
        <w:fldChar w:fldCharType="separate"/>
      </w:r>
      <w:r>
        <w:rPr>
          <w:rFonts w:hint="eastAsia"/>
          <w:highlight w:val="none"/>
        </w:rPr>
        <w:t>附表</w:t>
      </w:r>
      <w:r>
        <w:rPr>
          <w:highlight w:val="none"/>
        </w:rPr>
        <w:t xml:space="preserve"> A-3</w:t>
      </w:r>
      <w:r>
        <w:rPr>
          <w:rFonts w:hint="eastAsia"/>
          <w:highlight w:val="none"/>
        </w:rPr>
        <w:t>：技术暗标编号确认表（适用于非计算机辅助评标）</w:t>
      </w:r>
      <w:r>
        <w:tab/>
      </w:r>
      <w:r>
        <w:fldChar w:fldCharType="begin"/>
      </w:r>
      <w:r>
        <w:instrText xml:space="preserve"> PAGEREF _Toc26595 \h </w:instrText>
      </w:r>
      <w:r>
        <w:fldChar w:fldCharType="separate"/>
      </w:r>
      <w:r>
        <w:t>1</w:t>
      </w:r>
      <w:r>
        <w:fldChar w:fldCharType="end"/>
      </w:r>
      <w:r>
        <w:rPr>
          <w:bCs/>
          <w:color w:val="auto"/>
          <w:highlight w:val="none"/>
          <w:lang w:val="zh-CN"/>
        </w:rPr>
        <w:fldChar w:fldCharType="end"/>
      </w:r>
    </w:p>
    <w:p w14:paraId="50BC4BDF">
      <w:pPr>
        <w:pStyle w:val="8"/>
        <w:tabs>
          <w:tab w:val="right" w:leader="dot" w:pos="8290"/>
        </w:tabs>
      </w:pPr>
      <w:r>
        <w:rPr>
          <w:bCs/>
          <w:color w:val="auto"/>
          <w:highlight w:val="none"/>
          <w:lang w:val="zh-CN"/>
        </w:rPr>
        <w:fldChar w:fldCharType="begin"/>
      </w:r>
      <w:r>
        <w:rPr>
          <w:bCs/>
          <w:highlight w:val="none"/>
          <w:lang w:val="zh-CN"/>
        </w:rPr>
        <w:instrText xml:space="preserve"> HYPERLINK \l _Toc32629 </w:instrText>
      </w:r>
      <w:r>
        <w:rPr>
          <w:bCs/>
          <w:highlight w:val="none"/>
          <w:lang w:val="zh-CN"/>
        </w:rPr>
        <w:fldChar w:fldCharType="separate"/>
      </w:r>
      <w:r>
        <w:rPr>
          <w:rFonts w:hint="eastAsia"/>
          <w:highlight w:val="none"/>
        </w:rPr>
        <w:t>附表</w:t>
      </w:r>
      <w:r>
        <w:rPr>
          <w:highlight w:val="none"/>
        </w:rPr>
        <w:t xml:space="preserve"> A-3</w:t>
      </w:r>
      <w:r>
        <w:rPr>
          <w:rFonts w:hint="eastAsia"/>
          <w:highlight w:val="none"/>
        </w:rPr>
        <w:t>：技术暗标编号确认表（适用于计算机辅助评标）</w:t>
      </w:r>
      <w:r>
        <w:tab/>
      </w:r>
      <w:r>
        <w:fldChar w:fldCharType="begin"/>
      </w:r>
      <w:r>
        <w:instrText xml:space="preserve"> PAGEREF _Toc32629 \h </w:instrText>
      </w:r>
      <w:r>
        <w:fldChar w:fldCharType="separate"/>
      </w:r>
      <w:r>
        <w:t>1</w:t>
      </w:r>
      <w:r>
        <w:fldChar w:fldCharType="end"/>
      </w:r>
      <w:r>
        <w:rPr>
          <w:bCs/>
          <w:color w:val="auto"/>
          <w:highlight w:val="none"/>
          <w:lang w:val="zh-CN"/>
        </w:rPr>
        <w:fldChar w:fldCharType="end"/>
      </w:r>
    </w:p>
    <w:p w14:paraId="58BE8831">
      <w:pPr>
        <w:pStyle w:val="8"/>
        <w:tabs>
          <w:tab w:val="right" w:leader="dot" w:pos="8290"/>
        </w:tabs>
      </w:pPr>
      <w:r>
        <w:rPr>
          <w:bCs/>
          <w:color w:val="auto"/>
          <w:highlight w:val="none"/>
          <w:lang w:val="zh-CN"/>
        </w:rPr>
        <w:fldChar w:fldCharType="begin"/>
      </w:r>
      <w:r>
        <w:rPr>
          <w:bCs/>
          <w:highlight w:val="none"/>
          <w:lang w:val="zh-CN"/>
        </w:rPr>
        <w:instrText xml:space="preserve"> HYPERLINK \l _Toc656 </w:instrText>
      </w:r>
      <w:r>
        <w:rPr>
          <w:bCs/>
          <w:highlight w:val="none"/>
          <w:lang w:val="zh-CN"/>
        </w:rPr>
        <w:fldChar w:fldCharType="separate"/>
      </w:r>
      <w:r>
        <w:rPr>
          <w:rFonts w:hint="eastAsia"/>
          <w:highlight w:val="none"/>
        </w:rPr>
        <w:t>附表</w:t>
      </w:r>
      <w:r>
        <w:rPr>
          <w:highlight w:val="none"/>
        </w:rPr>
        <w:t>A-4</w:t>
      </w:r>
      <w:r>
        <w:rPr>
          <w:rFonts w:hint="eastAsia"/>
          <w:highlight w:val="none"/>
        </w:rPr>
        <w:t>：形式评审记录表</w:t>
      </w:r>
      <w:r>
        <w:tab/>
      </w:r>
      <w:r>
        <w:fldChar w:fldCharType="begin"/>
      </w:r>
      <w:r>
        <w:instrText xml:space="preserve"> PAGEREF _Toc656 \h </w:instrText>
      </w:r>
      <w:r>
        <w:fldChar w:fldCharType="separate"/>
      </w:r>
      <w:r>
        <w:t>1</w:t>
      </w:r>
      <w:r>
        <w:fldChar w:fldCharType="end"/>
      </w:r>
      <w:r>
        <w:rPr>
          <w:bCs/>
          <w:color w:val="auto"/>
          <w:highlight w:val="none"/>
          <w:lang w:val="zh-CN"/>
        </w:rPr>
        <w:fldChar w:fldCharType="end"/>
      </w:r>
    </w:p>
    <w:p w14:paraId="34F72E6A">
      <w:pPr>
        <w:pStyle w:val="8"/>
        <w:tabs>
          <w:tab w:val="right" w:leader="dot" w:pos="8290"/>
        </w:tabs>
      </w:pPr>
      <w:r>
        <w:rPr>
          <w:bCs/>
          <w:color w:val="auto"/>
          <w:highlight w:val="none"/>
          <w:lang w:val="zh-CN"/>
        </w:rPr>
        <w:fldChar w:fldCharType="begin"/>
      </w:r>
      <w:r>
        <w:rPr>
          <w:bCs/>
          <w:highlight w:val="none"/>
          <w:lang w:val="zh-CN"/>
        </w:rPr>
        <w:instrText xml:space="preserve"> HYPERLINK \l _Toc26875 </w:instrText>
      </w:r>
      <w:r>
        <w:rPr>
          <w:bCs/>
          <w:highlight w:val="none"/>
          <w:lang w:val="zh-CN"/>
        </w:rPr>
        <w:fldChar w:fldCharType="separate"/>
      </w:r>
      <w:r>
        <w:rPr>
          <w:rFonts w:hint="eastAsia"/>
          <w:highlight w:val="none"/>
        </w:rPr>
        <w:t>附表</w:t>
      </w:r>
      <w:r>
        <w:rPr>
          <w:highlight w:val="none"/>
        </w:rPr>
        <w:t>A-5</w:t>
      </w:r>
      <w:r>
        <w:rPr>
          <w:rFonts w:hint="eastAsia"/>
          <w:highlight w:val="none"/>
        </w:rPr>
        <w:t>：资格评审记录表</w:t>
      </w:r>
      <w:r>
        <w:tab/>
      </w:r>
      <w:r>
        <w:fldChar w:fldCharType="begin"/>
      </w:r>
      <w:r>
        <w:instrText xml:space="preserve"> PAGEREF _Toc26875 \h </w:instrText>
      </w:r>
      <w:r>
        <w:fldChar w:fldCharType="separate"/>
      </w:r>
      <w:r>
        <w:t>1</w:t>
      </w:r>
      <w:r>
        <w:fldChar w:fldCharType="end"/>
      </w:r>
      <w:r>
        <w:rPr>
          <w:bCs/>
          <w:color w:val="auto"/>
          <w:highlight w:val="none"/>
          <w:lang w:val="zh-CN"/>
        </w:rPr>
        <w:fldChar w:fldCharType="end"/>
      </w:r>
    </w:p>
    <w:p w14:paraId="0A2E9FC4">
      <w:pPr>
        <w:pStyle w:val="8"/>
        <w:tabs>
          <w:tab w:val="right" w:leader="dot" w:pos="8290"/>
        </w:tabs>
      </w:pPr>
      <w:r>
        <w:rPr>
          <w:bCs/>
          <w:color w:val="auto"/>
          <w:highlight w:val="none"/>
          <w:lang w:val="zh-CN"/>
        </w:rPr>
        <w:fldChar w:fldCharType="begin"/>
      </w:r>
      <w:r>
        <w:rPr>
          <w:bCs/>
          <w:highlight w:val="none"/>
          <w:lang w:val="zh-CN"/>
        </w:rPr>
        <w:instrText xml:space="preserve"> HYPERLINK \l _Toc16119 </w:instrText>
      </w:r>
      <w:r>
        <w:rPr>
          <w:bCs/>
          <w:highlight w:val="none"/>
          <w:lang w:val="zh-CN"/>
        </w:rPr>
        <w:fldChar w:fldCharType="separate"/>
      </w:r>
      <w:r>
        <w:rPr>
          <w:rFonts w:hint="eastAsia"/>
          <w:highlight w:val="none"/>
        </w:rPr>
        <w:t>附表</w:t>
      </w:r>
      <w:r>
        <w:rPr>
          <w:highlight w:val="none"/>
        </w:rPr>
        <w:t>A-6</w:t>
      </w:r>
      <w:r>
        <w:rPr>
          <w:rFonts w:hint="eastAsia"/>
          <w:highlight w:val="none"/>
        </w:rPr>
        <w:t>：响应性评审记录表</w:t>
      </w:r>
      <w:r>
        <w:tab/>
      </w:r>
      <w:r>
        <w:fldChar w:fldCharType="begin"/>
      </w:r>
      <w:r>
        <w:instrText xml:space="preserve"> PAGEREF _Toc16119 \h </w:instrText>
      </w:r>
      <w:r>
        <w:fldChar w:fldCharType="separate"/>
      </w:r>
      <w:r>
        <w:t>1</w:t>
      </w:r>
      <w:r>
        <w:fldChar w:fldCharType="end"/>
      </w:r>
      <w:r>
        <w:rPr>
          <w:bCs/>
          <w:color w:val="auto"/>
          <w:highlight w:val="none"/>
          <w:lang w:val="zh-CN"/>
        </w:rPr>
        <w:fldChar w:fldCharType="end"/>
      </w:r>
    </w:p>
    <w:p w14:paraId="09DBEBA5">
      <w:pPr>
        <w:pStyle w:val="8"/>
        <w:tabs>
          <w:tab w:val="right" w:leader="dot" w:pos="8290"/>
        </w:tabs>
      </w:pPr>
      <w:r>
        <w:rPr>
          <w:bCs/>
          <w:color w:val="auto"/>
          <w:highlight w:val="none"/>
          <w:lang w:val="zh-CN"/>
        </w:rPr>
        <w:fldChar w:fldCharType="begin"/>
      </w:r>
      <w:r>
        <w:rPr>
          <w:bCs/>
          <w:highlight w:val="none"/>
          <w:lang w:val="zh-CN"/>
        </w:rPr>
        <w:instrText xml:space="preserve"> HYPERLINK \l _Toc22523 </w:instrText>
      </w:r>
      <w:r>
        <w:rPr>
          <w:bCs/>
          <w:highlight w:val="none"/>
          <w:lang w:val="zh-CN"/>
        </w:rPr>
        <w:fldChar w:fldCharType="separate"/>
      </w:r>
      <w:r>
        <w:rPr>
          <w:rFonts w:hint="eastAsia"/>
          <w:highlight w:val="none"/>
        </w:rPr>
        <w:t>附表</w:t>
      </w:r>
      <w:r>
        <w:rPr>
          <w:highlight w:val="none"/>
        </w:rPr>
        <w:t>A-7</w:t>
      </w:r>
      <w:r>
        <w:rPr>
          <w:rFonts w:hint="eastAsia"/>
          <w:highlight w:val="none"/>
        </w:rPr>
        <w:t>：施工组织设计评审记录表（合格性）</w:t>
      </w:r>
      <w:r>
        <w:tab/>
      </w:r>
      <w:r>
        <w:fldChar w:fldCharType="begin"/>
      </w:r>
      <w:r>
        <w:instrText xml:space="preserve"> PAGEREF _Toc22523 \h </w:instrText>
      </w:r>
      <w:r>
        <w:fldChar w:fldCharType="separate"/>
      </w:r>
      <w:r>
        <w:t>1</w:t>
      </w:r>
      <w:r>
        <w:fldChar w:fldCharType="end"/>
      </w:r>
      <w:r>
        <w:rPr>
          <w:bCs/>
          <w:color w:val="auto"/>
          <w:highlight w:val="none"/>
          <w:lang w:val="zh-CN"/>
        </w:rPr>
        <w:fldChar w:fldCharType="end"/>
      </w:r>
    </w:p>
    <w:p w14:paraId="7C1D0EFA">
      <w:pPr>
        <w:pStyle w:val="8"/>
        <w:tabs>
          <w:tab w:val="right" w:leader="dot" w:pos="8290"/>
        </w:tabs>
      </w:pPr>
      <w:r>
        <w:rPr>
          <w:bCs/>
          <w:color w:val="auto"/>
          <w:highlight w:val="none"/>
          <w:lang w:val="zh-CN"/>
        </w:rPr>
        <w:fldChar w:fldCharType="begin"/>
      </w:r>
      <w:r>
        <w:rPr>
          <w:bCs/>
          <w:highlight w:val="none"/>
          <w:lang w:val="zh-CN"/>
        </w:rPr>
        <w:instrText xml:space="preserve"> HYPERLINK \l _Toc22524 </w:instrText>
      </w:r>
      <w:r>
        <w:rPr>
          <w:bCs/>
          <w:highlight w:val="none"/>
          <w:lang w:val="zh-CN"/>
        </w:rPr>
        <w:fldChar w:fldCharType="separate"/>
      </w:r>
      <w:r>
        <w:rPr>
          <w:rFonts w:hint="eastAsia"/>
          <w:highlight w:val="none"/>
        </w:rPr>
        <w:t>附表</w:t>
      </w:r>
      <w:r>
        <w:rPr>
          <w:highlight w:val="none"/>
        </w:rPr>
        <w:t>A-8</w:t>
      </w:r>
      <w:r>
        <w:rPr>
          <w:rFonts w:hint="eastAsia"/>
          <w:highlight w:val="none"/>
        </w:rPr>
        <w:t>：投标报价评分记录表</w:t>
      </w:r>
      <w:r>
        <w:tab/>
      </w:r>
      <w:r>
        <w:fldChar w:fldCharType="begin"/>
      </w:r>
      <w:r>
        <w:instrText xml:space="preserve"> PAGEREF _Toc22524 \h </w:instrText>
      </w:r>
      <w:r>
        <w:fldChar w:fldCharType="separate"/>
      </w:r>
      <w:r>
        <w:t>1</w:t>
      </w:r>
      <w:r>
        <w:fldChar w:fldCharType="end"/>
      </w:r>
      <w:r>
        <w:rPr>
          <w:bCs/>
          <w:color w:val="auto"/>
          <w:highlight w:val="none"/>
          <w:lang w:val="zh-CN"/>
        </w:rPr>
        <w:fldChar w:fldCharType="end"/>
      </w:r>
    </w:p>
    <w:p w14:paraId="5F9ED94A">
      <w:pPr>
        <w:pStyle w:val="8"/>
        <w:tabs>
          <w:tab w:val="right" w:leader="dot" w:pos="8290"/>
        </w:tabs>
      </w:pPr>
      <w:r>
        <w:rPr>
          <w:bCs/>
          <w:color w:val="auto"/>
          <w:highlight w:val="none"/>
          <w:lang w:val="zh-CN"/>
        </w:rPr>
        <w:fldChar w:fldCharType="begin"/>
      </w:r>
      <w:r>
        <w:rPr>
          <w:bCs/>
          <w:highlight w:val="none"/>
          <w:lang w:val="zh-CN"/>
        </w:rPr>
        <w:instrText xml:space="preserve"> HYPERLINK \l _Toc25344 </w:instrText>
      </w:r>
      <w:r>
        <w:rPr>
          <w:bCs/>
          <w:highlight w:val="none"/>
          <w:lang w:val="zh-CN"/>
        </w:rPr>
        <w:fldChar w:fldCharType="separate"/>
      </w:r>
      <w:r>
        <w:rPr>
          <w:rFonts w:hint="eastAsia"/>
          <w:highlight w:val="none"/>
        </w:rPr>
        <w:t>附表</w:t>
      </w:r>
      <w:r>
        <w:rPr>
          <w:highlight w:val="none"/>
        </w:rPr>
        <w:t>A-9</w:t>
      </w:r>
      <w:r>
        <w:rPr>
          <w:rFonts w:hint="eastAsia"/>
          <w:highlight w:val="none"/>
        </w:rPr>
        <w:t>：施工组织设计评审记录表（评分）</w:t>
      </w:r>
      <w:r>
        <w:tab/>
      </w:r>
      <w:r>
        <w:fldChar w:fldCharType="begin"/>
      </w:r>
      <w:r>
        <w:instrText xml:space="preserve"> PAGEREF _Toc25344 \h </w:instrText>
      </w:r>
      <w:r>
        <w:fldChar w:fldCharType="separate"/>
      </w:r>
      <w:r>
        <w:t>1</w:t>
      </w:r>
      <w:r>
        <w:fldChar w:fldCharType="end"/>
      </w:r>
      <w:r>
        <w:rPr>
          <w:bCs/>
          <w:color w:val="auto"/>
          <w:highlight w:val="none"/>
          <w:lang w:val="zh-CN"/>
        </w:rPr>
        <w:fldChar w:fldCharType="end"/>
      </w:r>
    </w:p>
    <w:p w14:paraId="32D7B328">
      <w:pPr>
        <w:pStyle w:val="8"/>
        <w:tabs>
          <w:tab w:val="right" w:leader="dot" w:pos="8290"/>
        </w:tabs>
      </w:pPr>
      <w:r>
        <w:rPr>
          <w:bCs/>
          <w:color w:val="auto"/>
          <w:highlight w:val="none"/>
          <w:lang w:val="zh-CN"/>
        </w:rPr>
        <w:fldChar w:fldCharType="begin"/>
      </w:r>
      <w:r>
        <w:rPr>
          <w:bCs/>
          <w:highlight w:val="none"/>
          <w:lang w:val="zh-CN"/>
        </w:rPr>
        <w:instrText xml:space="preserve"> HYPERLINK \l _Toc7245 </w:instrText>
      </w:r>
      <w:r>
        <w:rPr>
          <w:bCs/>
          <w:highlight w:val="none"/>
          <w:lang w:val="zh-CN"/>
        </w:rPr>
        <w:fldChar w:fldCharType="separate"/>
      </w:r>
      <w:r>
        <w:rPr>
          <w:rFonts w:hint="eastAsia"/>
          <w:highlight w:val="none"/>
        </w:rPr>
        <w:t>附表</w:t>
      </w:r>
      <w:r>
        <w:rPr>
          <w:highlight w:val="none"/>
        </w:rPr>
        <w:t>A-10</w:t>
      </w:r>
      <w:r>
        <w:rPr>
          <w:rFonts w:hint="eastAsia"/>
          <w:highlight w:val="none"/>
        </w:rPr>
        <w:t>：项目管理机构评审记录表</w:t>
      </w:r>
      <w:r>
        <w:tab/>
      </w:r>
      <w:r>
        <w:fldChar w:fldCharType="begin"/>
      </w:r>
      <w:r>
        <w:instrText xml:space="preserve"> PAGEREF _Toc7245 \h </w:instrText>
      </w:r>
      <w:r>
        <w:fldChar w:fldCharType="separate"/>
      </w:r>
      <w:r>
        <w:t>1</w:t>
      </w:r>
      <w:r>
        <w:fldChar w:fldCharType="end"/>
      </w:r>
      <w:r>
        <w:rPr>
          <w:bCs/>
          <w:color w:val="auto"/>
          <w:highlight w:val="none"/>
          <w:lang w:val="zh-CN"/>
        </w:rPr>
        <w:fldChar w:fldCharType="end"/>
      </w:r>
    </w:p>
    <w:p w14:paraId="02B70EA7">
      <w:pPr>
        <w:pStyle w:val="8"/>
        <w:tabs>
          <w:tab w:val="right" w:leader="dot" w:pos="8290"/>
        </w:tabs>
      </w:pPr>
      <w:r>
        <w:rPr>
          <w:bCs/>
          <w:color w:val="auto"/>
          <w:highlight w:val="none"/>
          <w:lang w:val="zh-CN"/>
        </w:rPr>
        <w:fldChar w:fldCharType="begin"/>
      </w:r>
      <w:r>
        <w:rPr>
          <w:bCs/>
          <w:highlight w:val="none"/>
          <w:lang w:val="zh-CN"/>
        </w:rPr>
        <w:instrText xml:space="preserve"> HYPERLINK \l _Toc12046 </w:instrText>
      </w:r>
      <w:r>
        <w:rPr>
          <w:bCs/>
          <w:highlight w:val="none"/>
          <w:lang w:val="zh-CN"/>
        </w:rPr>
        <w:fldChar w:fldCharType="separate"/>
      </w:r>
      <w:r>
        <w:rPr>
          <w:rFonts w:hint="eastAsia"/>
          <w:highlight w:val="none"/>
        </w:rPr>
        <w:t>附表</w:t>
      </w:r>
      <w:r>
        <w:rPr>
          <w:highlight w:val="none"/>
        </w:rPr>
        <w:t>A-11</w:t>
      </w:r>
      <w:r>
        <w:rPr>
          <w:rFonts w:hint="eastAsia"/>
          <w:highlight w:val="none"/>
        </w:rPr>
        <w:t>：其他因素评审记录表</w:t>
      </w:r>
      <w:r>
        <w:tab/>
      </w:r>
      <w:r>
        <w:fldChar w:fldCharType="begin"/>
      </w:r>
      <w:r>
        <w:instrText xml:space="preserve"> PAGEREF _Toc12046 \h </w:instrText>
      </w:r>
      <w:r>
        <w:fldChar w:fldCharType="separate"/>
      </w:r>
      <w:r>
        <w:t>1</w:t>
      </w:r>
      <w:r>
        <w:fldChar w:fldCharType="end"/>
      </w:r>
      <w:r>
        <w:rPr>
          <w:bCs/>
          <w:color w:val="auto"/>
          <w:highlight w:val="none"/>
          <w:lang w:val="zh-CN"/>
        </w:rPr>
        <w:fldChar w:fldCharType="end"/>
      </w:r>
    </w:p>
    <w:p w14:paraId="7EE53421">
      <w:pPr>
        <w:pStyle w:val="8"/>
        <w:tabs>
          <w:tab w:val="right" w:leader="dot" w:pos="8290"/>
        </w:tabs>
      </w:pPr>
      <w:r>
        <w:rPr>
          <w:bCs/>
          <w:color w:val="auto"/>
          <w:highlight w:val="none"/>
          <w:lang w:val="zh-CN"/>
        </w:rPr>
        <w:fldChar w:fldCharType="begin"/>
      </w:r>
      <w:r>
        <w:rPr>
          <w:bCs/>
          <w:highlight w:val="none"/>
          <w:lang w:val="zh-CN"/>
        </w:rPr>
        <w:instrText xml:space="preserve"> HYPERLINK \l _Toc4543 </w:instrText>
      </w:r>
      <w:r>
        <w:rPr>
          <w:bCs/>
          <w:highlight w:val="none"/>
          <w:lang w:val="zh-CN"/>
        </w:rPr>
        <w:fldChar w:fldCharType="separate"/>
      </w:r>
      <w:r>
        <w:rPr>
          <w:rFonts w:hint="eastAsia"/>
          <w:highlight w:val="none"/>
        </w:rPr>
        <w:t>附表</w:t>
      </w:r>
      <w:r>
        <w:rPr>
          <w:highlight w:val="none"/>
        </w:rPr>
        <w:t>A-12</w:t>
      </w:r>
      <w:r>
        <w:rPr>
          <w:rFonts w:hint="eastAsia"/>
          <w:highlight w:val="none"/>
        </w:rPr>
        <w:t>：详细评审评分汇总表</w:t>
      </w:r>
      <w:r>
        <w:tab/>
      </w:r>
      <w:r>
        <w:fldChar w:fldCharType="begin"/>
      </w:r>
      <w:r>
        <w:instrText xml:space="preserve"> PAGEREF _Toc4543 \h </w:instrText>
      </w:r>
      <w:r>
        <w:fldChar w:fldCharType="separate"/>
      </w:r>
      <w:r>
        <w:t>1</w:t>
      </w:r>
      <w:r>
        <w:fldChar w:fldCharType="end"/>
      </w:r>
      <w:r>
        <w:rPr>
          <w:bCs/>
          <w:color w:val="auto"/>
          <w:highlight w:val="none"/>
          <w:lang w:val="zh-CN"/>
        </w:rPr>
        <w:fldChar w:fldCharType="end"/>
      </w:r>
    </w:p>
    <w:p w14:paraId="19E7C038">
      <w:pPr>
        <w:pStyle w:val="8"/>
        <w:tabs>
          <w:tab w:val="right" w:leader="dot" w:pos="8290"/>
        </w:tabs>
      </w:pPr>
      <w:r>
        <w:rPr>
          <w:bCs/>
          <w:color w:val="auto"/>
          <w:highlight w:val="none"/>
          <w:lang w:val="zh-CN"/>
        </w:rPr>
        <w:fldChar w:fldCharType="begin"/>
      </w:r>
      <w:r>
        <w:rPr>
          <w:bCs/>
          <w:highlight w:val="none"/>
          <w:lang w:val="zh-CN"/>
        </w:rPr>
        <w:instrText xml:space="preserve"> HYPERLINK \l _Toc21500 </w:instrText>
      </w:r>
      <w:r>
        <w:rPr>
          <w:bCs/>
          <w:highlight w:val="none"/>
          <w:lang w:val="zh-CN"/>
        </w:rPr>
        <w:fldChar w:fldCharType="separate"/>
      </w:r>
      <w:r>
        <w:rPr>
          <w:rFonts w:hint="eastAsia"/>
          <w:highlight w:val="none"/>
        </w:rPr>
        <w:t>附表</w:t>
      </w:r>
      <w:r>
        <w:rPr>
          <w:highlight w:val="none"/>
        </w:rPr>
        <w:t>A-13</w:t>
      </w:r>
      <w:r>
        <w:rPr>
          <w:rFonts w:hint="eastAsia"/>
          <w:highlight w:val="none"/>
        </w:rPr>
        <w:t>：评标结果汇总表</w:t>
      </w:r>
      <w:r>
        <w:tab/>
      </w:r>
      <w:r>
        <w:fldChar w:fldCharType="begin"/>
      </w:r>
      <w:r>
        <w:instrText xml:space="preserve"> PAGEREF _Toc21500 \h </w:instrText>
      </w:r>
      <w:r>
        <w:fldChar w:fldCharType="separate"/>
      </w:r>
      <w:r>
        <w:t>1</w:t>
      </w:r>
      <w:r>
        <w:fldChar w:fldCharType="end"/>
      </w:r>
      <w:r>
        <w:rPr>
          <w:bCs/>
          <w:color w:val="auto"/>
          <w:highlight w:val="none"/>
          <w:lang w:val="zh-CN"/>
        </w:rPr>
        <w:fldChar w:fldCharType="end"/>
      </w:r>
    </w:p>
    <w:p w14:paraId="55F3337A">
      <w:pPr>
        <w:pStyle w:val="8"/>
        <w:tabs>
          <w:tab w:val="right" w:leader="dot" w:pos="8290"/>
        </w:tabs>
      </w:pPr>
      <w:r>
        <w:rPr>
          <w:bCs/>
          <w:color w:val="auto"/>
          <w:highlight w:val="none"/>
          <w:lang w:val="zh-CN"/>
        </w:rPr>
        <w:fldChar w:fldCharType="begin"/>
      </w:r>
      <w:r>
        <w:rPr>
          <w:bCs/>
          <w:highlight w:val="none"/>
          <w:lang w:val="zh-CN"/>
        </w:rPr>
        <w:instrText xml:space="preserve"> HYPERLINK \l _Toc23747 </w:instrText>
      </w:r>
      <w:r>
        <w:rPr>
          <w:bCs/>
          <w:highlight w:val="none"/>
          <w:lang w:val="zh-CN"/>
        </w:rPr>
        <w:fldChar w:fldCharType="separate"/>
      </w:r>
      <w:r>
        <w:rPr>
          <w:rFonts w:hint="eastAsia"/>
          <w:highlight w:val="none"/>
        </w:rPr>
        <w:t>附表</w:t>
      </w:r>
      <w:r>
        <w:rPr>
          <w:highlight w:val="none"/>
        </w:rPr>
        <w:t>A-13</w:t>
      </w:r>
      <w:r>
        <w:rPr>
          <w:rFonts w:hint="eastAsia"/>
          <w:highlight w:val="none"/>
        </w:rPr>
        <w:t>：评标结果汇总表</w:t>
      </w:r>
      <w:r>
        <w:tab/>
      </w:r>
      <w:r>
        <w:fldChar w:fldCharType="begin"/>
      </w:r>
      <w:r>
        <w:instrText xml:space="preserve"> PAGEREF _Toc23747 \h </w:instrText>
      </w:r>
      <w:r>
        <w:fldChar w:fldCharType="separate"/>
      </w:r>
      <w:r>
        <w:t>1</w:t>
      </w:r>
      <w:r>
        <w:fldChar w:fldCharType="end"/>
      </w:r>
      <w:r>
        <w:rPr>
          <w:bCs/>
          <w:color w:val="auto"/>
          <w:highlight w:val="none"/>
          <w:lang w:val="zh-CN"/>
        </w:rPr>
        <w:fldChar w:fldCharType="end"/>
      </w:r>
    </w:p>
    <w:p w14:paraId="41DBE131">
      <w:pPr>
        <w:pStyle w:val="8"/>
        <w:tabs>
          <w:tab w:val="right" w:leader="dot" w:pos="8290"/>
        </w:tabs>
      </w:pPr>
      <w:r>
        <w:rPr>
          <w:bCs/>
          <w:color w:val="auto"/>
          <w:highlight w:val="none"/>
          <w:lang w:val="zh-CN"/>
        </w:rPr>
        <w:fldChar w:fldCharType="begin"/>
      </w:r>
      <w:r>
        <w:rPr>
          <w:bCs/>
          <w:highlight w:val="none"/>
          <w:lang w:val="zh-CN"/>
        </w:rPr>
        <w:instrText xml:space="preserve"> HYPERLINK \l _Toc26791 </w:instrText>
      </w:r>
      <w:r>
        <w:rPr>
          <w:bCs/>
          <w:highlight w:val="none"/>
          <w:lang w:val="zh-CN"/>
        </w:rPr>
        <w:fldChar w:fldCharType="separate"/>
      </w:r>
      <w:r>
        <w:rPr>
          <w:rFonts w:hint="eastAsia"/>
          <w:highlight w:val="none"/>
        </w:rPr>
        <w:t>附表</w:t>
      </w:r>
      <w:r>
        <w:rPr>
          <w:highlight w:val="none"/>
        </w:rPr>
        <w:t>A-14</w:t>
      </w:r>
      <w:r>
        <w:rPr>
          <w:rFonts w:hint="eastAsia"/>
          <w:highlight w:val="none"/>
        </w:rPr>
        <w:t>：否决投标的情况说明表</w:t>
      </w:r>
      <w:r>
        <w:tab/>
      </w:r>
      <w:r>
        <w:fldChar w:fldCharType="begin"/>
      </w:r>
      <w:r>
        <w:instrText xml:space="preserve"> PAGEREF _Toc26791 \h </w:instrText>
      </w:r>
      <w:r>
        <w:fldChar w:fldCharType="separate"/>
      </w:r>
      <w:r>
        <w:t>1</w:t>
      </w:r>
      <w:r>
        <w:fldChar w:fldCharType="end"/>
      </w:r>
      <w:r>
        <w:rPr>
          <w:bCs/>
          <w:color w:val="auto"/>
          <w:highlight w:val="none"/>
          <w:lang w:val="zh-CN"/>
        </w:rPr>
        <w:fldChar w:fldCharType="end"/>
      </w:r>
    </w:p>
    <w:p w14:paraId="550EEB5B">
      <w:pPr>
        <w:pStyle w:val="8"/>
        <w:tabs>
          <w:tab w:val="right" w:leader="dot" w:pos="8290"/>
        </w:tabs>
      </w:pPr>
      <w:r>
        <w:rPr>
          <w:bCs/>
          <w:color w:val="auto"/>
          <w:highlight w:val="none"/>
          <w:lang w:val="zh-CN"/>
        </w:rPr>
        <w:fldChar w:fldCharType="begin"/>
      </w:r>
      <w:r>
        <w:rPr>
          <w:bCs/>
          <w:highlight w:val="none"/>
          <w:lang w:val="zh-CN"/>
        </w:rPr>
        <w:instrText xml:space="preserve"> HYPERLINK \l _Toc21570 </w:instrText>
      </w:r>
      <w:r>
        <w:rPr>
          <w:bCs/>
          <w:highlight w:val="none"/>
          <w:lang w:val="zh-CN"/>
        </w:rPr>
        <w:fldChar w:fldCharType="separate"/>
      </w:r>
      <w:r>
        <w:rPr>
          <w:rFonts w:hint="eastAsia"/>
          <w:highlight w:val="none"/>
        </w:rPr>
        <w:t>附表</w:t>
      </w:r>
      <w:r>
        <w:rPr>
          <w:highlight w:val="none"/>
        </w:rPr>
        <w:t>D-1</w:t>
      </w:r>
      <w:r>
        <w:rPr>
          <w:rFonts w:hint="eastAsia"/>
          <w:highlight w:val="none"/>
        </w:rPr>
        <w:t>：成本评审结论记录表</w:t>
      </w:r>
      <w:r>
        <w:tab/>
      </w:r>
      <w:r>
        <w:fldChar w:fldCharType="begin"/>
      </w:r>
      <w:r>
        <w:instrText xml:space="preserve"> PAGEREF _Toc21570 \h </w:instrText>
      </w:r>
      <w:r>
        <w:fldChar w:fldCharType="separate"/>
      </w:r>
      <w:r>
        <w:t>1</w:t>
      </w:r>
      <w:r>
        <w:fldChar w:fldCharType="end"/>
      </w:r>
      <w:r>
        <w:rPr>
          <w:bCs/>
          <w:color w:val="auto"/>
          <w:highlight w:val="none"/>
          <w:lang w:val="zh-CN"/>
        </w:rPr>
        <w:fldChar w:fldCharType="end"/>
      </w:r>
    </w:p>
    <w:p w14:paraId="3FC81885">
      <w:pPr>
        <w:pStyle w:val="8"/>
        <w:tabs>
          <w:tab w:val="right" w:leader="dot" w:pos="8290"/>
        </w:tabs>
      </w:pPr>
      <w:r>
        <w:rPr>
          <w:bCs/>
          <w:color w:val="auto"/>
          <w:highlight w:val="none"/>
          <w:lang w:val="zh-CN"/>
        </w:rPr>
        <w:fldChar w:fldCharType="begin"/>
      </w:r>
      <w:r>
        <w:rPr>
          <w:bCs/>
          <w:highlight w:val="none"/>
          <w:lang w:val="zh-CN"/>
        </w:rPr>
        <w:instrText xml:space="preserve"> HYPERLINK \l _Toc7624 </w:instrText>
      </w:r>
      <w:r>
        <w:rPr>
          <w:bCs/>
          <w:highlight w:val="none"/>
          <w:lang w:val="zh-CN"/>
        </w:rPr>
        <w:fldChar w:fldCharType="separate"/>
      </w:r>
      <w:r>
        <w:rPr>
          <w:rFonts w:hint="eastAsia"/>
          <w:highlight w:val="none"/>
        </w:rPr>
        <w:t>附表</w:t>
      </w:r>
      <w:r>
        <w:rPr>
          <w:highlight w:val="none"/>
        </w:rPr>
        <w:t>C-1</w:t>
      </w:r>
      <w:r>
        <w:rPr>
          <w:rFonts w:hint="eastAsia"/>
          <w:highlight w:val="none"/>
        </w:rPr>
        <w:t>：清标报告</w:t>
      </w:r>
      <w:r>
        <w:rPr>
          <w:highlight w:val="none"/>
        </w:rPr>
        <w:t>-</w:t>
      </w:r>
      <w:r>
        <w:rPr>
          <w:rFonts w:hint="eastAsia"/>
          <w:highlight w:val="none"/>
        </w:rPr>
        <w:t>分部分项工程和单价措施项目符合性检查</w:t>
      </w:r>
      <w:r>
        <w:tab/>
      </w:r>
      <w:r>
        <w:fldChar w:fldCharType="begin"/>
      </w:r>
      <w:r>
        <w:instrText xml:space="preserve"> PAGEREF _Toc7624 \h </w:instrText>
      </w:r>
      <w:r>
        <w:fldChar w:fldCharType="separate"/>
      </w:r>
      <w:r>
        <w:t>1</w:t>
      </w:r>
      <w:r>
        <w:fldChar w:fldCharType="end"/>
      </w:r>
      <w:r>
        <w:rPr>
          <w:bCs/>
          <w:color w:val="auto"/>
          <w:highlight w:val="none"/>
          <w:lang w:val="zh-CN"/>
        </w:rPr>
        <w:fldChar w:fldCharType="end"/>
      </w:r>
    </w:p>
    <w:p w14:paraId="20EEEB88">
      <w:pPr>
        <w:pStyle w:val="8"/>
        <w:tabs>
          <w:tab w:val="right" w:leader="dot" w:pos="8290"/>
        </w:tabs>
      </w:pPr>
      <w:r>
        <w:rPr>
          <w:bCs/>
          <w:color w:val="auto"/>
          <w:highlight w:val="none"/>
          <w:lang w:val="zh-CN"/>
        </w:rPr>
        <w:fldChar w:fldCharType="begin"/>
      </w:r>
      <w:r>
        <w:rPr>
          <w:bCs/>
          <w:highlight w:val="none"/>
          <w:lang w:val="zh-CN"/>
        </w:rPr>
        <w:instrText xml:space="preserve"> HYPERLINK \l _Toc11685 </w:instrText>
      </w:r>
      <w:r>
        <w:rPr>
          <w:bCs/>
          <w:highlight w:val="none"/>
          <w:lang w:val="zh-CN"/>
        </w:rPr>
        <w:fldChar w:fldCharType="separate"/>
      </w:r>
      <w:r>
        <w:rPr>
          <w:rFonts w:hint="eastAsia"/>
          <w:highlight w:val="none"/>
        </w:rPr>
        <w:t>附表</w:t>
      </w:r>
      <w:r>
        <w:rPr>
          <w:highlight w:val="none"/>
        </w:rPr>
        <w:t>C-2</w:t>
      </w:r>
      <w:r>
        <w:rPr>
          <w:rFonts w:hint="eastAsia"/>
          <w:highlight w:val="none"/>
        </w:rPr>
        <w:t>：清标报告</w:t>
      </w:r>
      <w:r>
        <w:rPr>
          <w:highlight w:val="none"/>
        </w:rPr>
        <w:t>-</w:t>
      </w:r>
      <w:r>
        <w:rPr>
          <w:rFonts w:hint="eastAsia"/>
          <w:highlight w:val="none"/>
        </w:rPr>
        <w:t>总价措施项目符合性检查</w:t>
      </w:r>
      <w:r>
        <w:tab/>
      </w:r>
      <w:r>
        <w:fldChar w:fldCharType="begin"/>
      </w:r>
      <w:r>
        <w:instrText xml:space="preserve"> PAGEREF _Toc11685 \h </w:instrText>
      </w:r>
      <w:r>
        <w:fldChar w:fldCharType="separate"/>
      </w:r>
      <w:r>
        <w:t>1</w:t>
      </w:r>
      <w:r>
        <w:fldChar w:fldCharType="end"/>
      </w:r>
      <w:r>
        <w:rPr>
          <w:bCs/>
          <w:color w:val="auto"/>
          <w:highlight w:val="none"/>
          <w:lang w:val="zh-CN"/>
        </w:rPr>
        <w:fldChar w:fldCharType="end"/>
      </w:r>
    </w:p>
    <w:p w14:paraId="1DA03CDC">
      <w:pPr>
        <w:pStyle w:val="8"/>
        <w:tabs>
          <w:tab w:val="right" w:leader="dot" w:pos="8290"/>
        </w:tabs>
      </w:pPr>
      <w:r>
        <w:rPr>
          <w:bCs/>
          <w:color w:val="auto"/>
          <w:highlight w:val="none"/>
          <w:lang w:val="zh-CN"/>
        </w:rPr>
        <w:fldChar w:fldCharType="begin"/>
      </w:r>
      <w:r>
        <w:rPr>
          <w:bCs/>
          <w:highlight w:val="none"/>
          <w:lang w:val="zh-CN"/>
        </w:rPr>
        <w:instrText xml:space="preserve"> HYPERLINK \l _Toc17521 </w:instrText>
      </w:r>
      <w:r>
        <w:rPr>
          <w:bCs/>
          <w:highlight w:val="none"/>
          <w:lang w:val="zh-CN"/>
        </w:rPr>
        <w:fldChar w:fldCharType="separate"/>
      </w:r>
      <w:r>
        <w:rPr>
          <w:rFonts w:hint="eastAsia"/>
          <w:highlight w:val="none"/>
        </w:rPr>
        <w:t>附表</w:t>
      </w:r>
      <w:r>
        <w:rPr>
          <w:highlight w:val="none"/>
        </w:rPr>
        <w:t>C-3</w:t>
      </w:r>
      <w:r>
        <w:rPr>
          <w:rFonts w:hint="eastAsia"/>
          <w:highlight w:val="none"/>
        </w:rPr>
        <w:t>：清标报告</w:t>
      </w:r>
      <w:r>
        <w:rPr>
          <w:highlight w:val="none"/>
        </w:rPr>
        <w:t>-</w:t>
      </w:r>
      <w:r>
        <w:rPr>
          <w:rFonts w:hint="eastAsia"/>
          <w:highlight w:val="none"/>
        </w:rPr>
        <w:t>其他项目符合性检查</w:t>
      </w:r>
      <w:r>
        <w:tab/>
      </w:r>
      <w:r>
        <w:fldChar w:fldCharType="begin"/>
      </w:r>
      <w:r>
        <w:instrText xml:space="preserve"> PAGEREF _Toc17521 \h </w:instrText>
      </w:r>
      <w:r>
        <w:fldChar w:fldCharType="separate"/>
      </w:r>
      <w:r>
        <w:t>1</w:t>
      </w:r>
      <w:r>
        <w:fldChar w:fldCharType="end"/>
      </w:r>
      <w:r>
        <w:rPr>
          <w:bCs/>
          <w:color w:val="auto"/>
          <w:highlight w:val="none"/>
          <w:lang w:val="zh-CN"/>
        </w:rPr>
        <w:fldChar w:fldCharType="end"/>
      </w:r>
    </w:p>
    <w:p w14:paraId="165A1241">
      <w:pPr>
        <w:pStyle w:val="8"/>
        <w:tabs>
          <w:tab w:val="right" w:leader="dot" w:pos="8290"/>
        </w:tabs>
      </w:pPr>
      <w:r>
        <w:rPr>
          <w:bCs/>
          <w:color w:val="auto"/>
          <w:highlight w:val="none"/>
          <w:lang w:val="zh-CN"/>
        </w:rPr>
        <w:fldChar w:fldCharType="begin"/>
      </w:r>
      <w:r>
        <w:rPr>
          <w:bCs/>
          <w:highlight w:val="none"/>
          <w:lang w:val="zh-CN"/>
        </w:rPr>
        <w:instrText xml:space="preserve"> HYPERLINK \l _Toc18902 </w:instrText>
      </w:r>
      <w:r>
        <w:rPr>
          <w:bCs/>
          <w:highlight w:val="none"/>
          <w:lang w:val="zh-CN"/>
        </w:rPr>
        <w:fldChar w:fldCharType="separate"/>
      </w:r>
      <w:r>
        <w:rPr>
          <w:rFonts w:hint="eastAsia"/>
          <w:highlight w:val="none"/>
        </w:rPr>
        <w:t>附表</w:t>
      </w:r>
      <w:r>
        <w:rPr>
          <w:highlight w:val="none"/>
        </w:rPr>
        <w:t>C-4</w:t>
      </w:r>
      <w:r>
        <w:rPr>
          <w:rFonts w:hint="eastAsia"/>
          <w:highlight w:val="none"/>
        </w:rPr>
        <w:t>：清标报告</w:t>
      </w:r>
      <w:r>
        <w:rPr>
          <w:highlight w:val="none"/>
        </w:rPr>
        <w:t>-</w:t>
      </w:r>
      <w:r>
        <w:rPr>
          <w:rFonts w:hint="eastAsia"/>
          <w:highlight w:val="none"/>
        </w:rPr>
        <w:t>规费、税金项目符合性检查</w:t>
      </w:r>
      <w:r>
        <w:tab/>
      </w:r>
      <w:r>
        <w:fldChar w:fldCharType="begin"/>
      </w:r>
      <w:r>
        <w:instrText xml:space="preserve"> PAGEREF _Toc18902 \h </w:instrText>
      </w:r>
      <w:r>
        <w:fldChar w:fldCharType="separate"/>
      </w:r>
      <w:r>
        <w:t>1</w:t>
      </w:r>
      <w:r>
        <w:fldChar w:fldCharType="end"/>
      </w:r>
      <w:r>
        <w:rPr>
          <w:bCs/>
          <w:color w:val="auto"/>
          <w:highlight w:val="none"/>
          <w:lang w:val="zh-CN"/>
        </w:rPr>
        <w:fldChar w:fldCharType="end"/>
      </w:r>
    </w:p>
    <w:p w14:paraId="4100C431">
      <w:pPr>
        <w:pStyle w:val="8"/>
        <w:tabs>
          <w:tab w:val="right" w:leader="dot" w:pos="8290"/>
        </w:tabs>
      </w:pPr>
      <w:r>
        <w:rPr>
          <w:bCs/>
          <w:color w:val="auto"/>
          <w:highlight w:val="none"/>
          <w:lang w:val="zh-CN"/>
        </w:rPr>
        <w:fldChar w:fldCharType="begin"/>
      </w:r>
      <w:r>
        <w:rPr>
          <w:bCs/>
          <w:highlight w:val="none"/>
          <w:lang w:val="zh-CN"/>
        </w:rPr>
        <w:instrText xml:space="preserve"> HYPERLINK \l _Toc17789 </w:instrText>
      </w:r>
      <w:r>
        <w:rPr>
          <w:bCs/>
          <w:highlight w:val="none"/>
          <w:lang w:val="zh-CN"/>
        </w:rPr>
        <w:fldChar w:fldCharType="separate"/>
      </w:r>
      <w:r>
        <w:rPr>
          <w:rFonts w:hint="eastAsia"/>
          <w:highlight w:val="none"/>
        </w:rPr>
        <w:t>附表</w:t>
      </w:r>
      <w:r>
        <w:rPr>
          <w:highlight w:val="none"/>
        </w:rPr>
        <w:t>C-5</w:t>
      </w:r>
      <w:r>
        <w:rPr>
          <w:rFonts w:hint="eastAsia"/>
          <w:highlight w:val="none"/>
        </w:rPr>
        <w:t>：清标报告</w:t>
      </w:r>
      <w:r>
        <w:rPr>
          <w:highlight w:val="none"/>
        </w:rPr>
        <w:t>-</w:t>
      </w:r>
      <w:r>
        <w:rPr>
          <w:rFonts w:hint="eastAsia"/>
          <w:highlight w:val="none"/>
        </w:rPr>
        <w:t>发包人提供材料和工程设备符合性检查</w:t>
      </w:r>
      <w:r>
        <w:tab/>
      </w:r>
      <w:r>
        <w:fldChar w:fldCharType="begin"/>
      </w:r>
      <w:r>
        <w:instrText xml:space="preserve"> PAGEREF _Toc17789 \h </w:instrText>
      </w:r>
      <w:r>
        <w:fldChar w:fldCharType="separate"/>
      </w:r>
      <w:r>
        <w:t>1</w:t>
      </w:r>
      <w:r>
        <w:fldChar w:fldCharType="end"/>
      </w:r>
      <w:r>
        <w:rPr>
          <w:bCs/>
          <w:color w:val="auto"/>
          <w:highlight w:val="none"/>
          <w:lang w:val="zh-CN"/>
        </w:rPr>
        <w:fldChar w:fldCharType="end"/>
      </w:r>
    </w:p>
    <w:p w14:paraId="77CF57BE">
      <w:pPr>
        <w:pStyle w:val="8"/>
        <w:tabs>
          <w:tab w:val="right" w:leader="dot" w:pos="8290"/>
        </w:tabs>
      </w:pPr>
      <w:r>
        <w:rPr>
          <w:bCs/>
          <w:color w:val="auto"/>
          <w:highlight w:val="none"/>
          <w:lang w:val="zh-CN"/>
        </w:rPr>
        <w:fldChar w:fldCharType="begin"/>
      </w:r>
      <w:r>
        <w:rPr>
          <w:bCs/>
          <w:highlight w:val="none"/>
          <w:lang w:val="zh-CN"/>
        </w:rPr>
        <w:instrText xml:space="preserve"> HYPERLINK \l _Toc13171 </w:instrText>
      </w:r>
      <w:r>
        <w:rPr>
          <w:bCs/>
          <w:highlight w:val="none"/>
          <w:lang w:val="zh-CN"/>
        </w:rPr>
        <w:fldChar w:fldCharType="separate"/>
      </w:r>
      <w:r>
        <w:rPr>
          <w:rFonts w:hint="eastAsia"/>
          <w:highlight w:val="none"/>
        </w:rPr>
        <w:t>附表</w:t>
      </w:r>
      <w:r>
        <w:rPr>
          <w:highlight w:val="none"/>
        </w:rPr>
        <w:t>C-6</w:t>
      </w:r>
      <w:r>
        <w:rPr>
          <w:rFonts w:hint="eastAsia"/>
          <w:highlight w:val="none"/>
        </w:rPr>
        <w:t>：清标报告</w:t>
      </w:r>
      <w:r>
        <w:rPr>
          <w:highlight w:val="none"/>
        </w:rPr>
        <w:t>-</w:t>
      </w:r>
      <w:r>
        <w:rPr>
          <w:rFonts w:hint="eastAsia"/>
          <w:highlight w:val="none"/>
        </w:rPr>
        <w:t>算术错误检查</w:t>
      </w:r>
      <w:r>
        <w:tab/>
      </w:r>
      <w:r>
        <w:fldChar w:fldCharType="begin"/>
      </w:r>
      <w:r>
        <w:instrText xml:space="preserve"> PAGEREF _Toc13171 \h </w:instrText>
      </w:r>
      <w:r>
        <w:fldChar w:fldCharType="separate"/>
      </w:r>
      <w:r>
        <w:t>1</w:t>
      </w:r>
      <w:r>
        <w:fldChar w:fldCharType="end"/>
      </w:r>
      <w:r>
        <w:rPr>
          <w:bCs/>
          <w:color w:val="auto"/>
          <w:highlight w:val="none"/>
          <w:lang w:val="zh-CN"/>
        </w:rPr>
        <w:fldChar w:fldCharType="end"/>
      </w:r>
    </w:p>
    <w:p w14:paraId="3FAFBB09">
      <w:pPr>
        <w:pStyle w:val="8"/>
        <w:tabs>
          <w:tab w:val="right" w:leader="dot" w:pos="8290"/>
        </w:tabs>
      </w:pPr>
      <w:r>
        <w:rPr>
          <w:bCs/>
          <w:color w:val="auto"/>
          <w:highlight w:val="none"/>
          <w:lang w:val="zh-CN"/>
        </w:rPr>
        <w:fldChar w:fldCharType="begin"/>
      </w:r>
      <w:r>
        <w:rPr>
          <w:bCs/>
          <w:highlight w:val="none"/>
          <w:lang w:val="zh-CN"/>
        </w:rPr>
        <w:instrText xml:space="preserve"> HYPERLINK \l _Toc31098 </w:instrText>
      </w:r>
      <w:r>
        <w:rPr>
          <w:bCs/>
          <w:highlight w:val="none"/>
          <w:lang w:val="zh-CN"/>
        </w:rPr>
        <w:fldChar w:fldCharType="separate"/>
      </w:r>
      <w:r>
        <w:rPr>
          <w:rFonts w:hint="eastAsia"/>
          <w:highlight w:val="none"/>
        </w:rPr>
        <w:t>附表</w:t>
      </w:r>
      <w:r>
        <w:rPr>
          <w:highlight w:val="none"/>
        </w:rPr>
        <w:t>C-7</w:t>
      </w:r>
      <w:r>
        <w:rPr>
          <w:rFonts w:hint="eastAsia"/>
          <w:highlight w:val="none"/>
        </w:rPr>
        <w:t>：清标报告</w:t>
      </w:r>
      <w:r>
        <w:rPr>
          <w:highlight w:val="none"/>
        </w:rPr>
        <w:t>-</w:t>
      </w:r>
      <w:r>
        <w:rPr>
          <w:rFonts w:hint="eastAsia"/>
          <w:highlight w:val="none"/>
        </w:rPr>
        <w:t>算术错误分析及修正记录表</w:t>
      </w:r>
      <w:r>
        <w:tab/>
      </w:r>
      <w:r>
        <w:fldChar w:fldCharType="begin"/>
      </w:r>
      <w:r>
        <w:instrText xml:space="preserve"> PAGEREF _Toc31098 \h </w:instrText>
      </w:r>
      <w:r>
        <w:fldChar w:fldCharType="separate"/>
      </w:r>
      <w:r>
        <w:t>1</w:t>
      </w:r>
      <w:r>
        <w:fldChar w:fldCharType="end"/>
      </w:r>
      <w:r>
        <w:rPr>
          <w:bCs/>
          <w:color w:val="auto"/>
          <w:highlight w:val="none"/>
          <w:lang w:val="zh-CN"/>
        </w:rPr>
        <w:fldChar w:fldCharType="end"/>
      </w:r>
    </w:p>
    <w:p w14:paraId="22C766A6">
      <w:pPr>
        <w:pStyle w:val="8"/>
        <w:tabs>
          <w:tab w:val="right" w:leader="dot" w:pos="8290"/>
        </w:tabs>
      </w:pPr>
      <w:r>
        <w:rPr>
          <w:bCs/>
          <w:color w:val="auto"/>
          <w:highlight w:val="none"/>
          <w:lang w:val="zh-CN"/>
        </w:rPr>
        <w:fldChar w:fldCharType="begin"/>
      </w:r>
      <w:r>
        <w:rPr>
          <w:bCs/>
          <w:highlight w:val="none"/>
          <w:lang w:val="zh-CN"/>
        </w:rPr>
        <w:instrText xml:space="preserve"> HYPERLINK \l _Toc8090 </w:instrText>
      </w:r>
      <w:r>
        <w:rPr>
          <w:bCs/>
          <w:highlight w:val="none"/>
          <w:lang w:val="zh-CN"/>
        </w:rPr>
        <w:fldChar w:fldCharType="separate"/>
      </w:r>
      <w:r>
        <w:rPr>
          <w:rFonts w:hint="eastAsia"/>
          <w:highlight w:val="none"/>
        </w:rPr>
        <w:t>附表</w:t>
      </w:r>
      <w:r>
        <w:rPr>
          <w:highlight w:val="none"/>
        </w:rPr>
        <w:t>C-8</w:t>
      </w:r>
      <w:r>
        <w:rPr>
          <w:rFonts w:hint="eastAsia"/>
          <w:highlight w:val="none"/>
        </w:rPr>
        <w:t>：清标报告</w:t>
      </w:r>
      <w:r>
        <w:rPr>
          <w:highlight w:val="none"/>
        </w:rPr>
        <w:t>-</w:t>
      </w:r>
      <w:r>
        <w:rPr>
          <w:rFonts w:hint="eastAsia"/>
          <w:highlight w:val="none"/>
        </w:rPr>
        <w:t>算术错误修正后的已标价工程量清单</w:t>
      </w:r>
      <w:r>
        <w:tab/>
      </w:r>
      <w:r>
        <w:fldChar w:fldCharType="begin"/>
      </w:r>
      <w:r>
        <w:instrText xml:space="preserve"> PAGEREF _Toc8090 \h </w:instrText>
      </w:r>
      <w:r>
        <w:fldChar w:fldCharType="separate"/>
      </w:r>
      <w:r>
        <w:t>1</w:t>
      </w:r>
      <w:r>
        <w:fldChar w:fldCharType="end"/>
      </w:r>
      <w:r>
        <w:rPr>
          <w:bCs/>
          <w:color w:val="auto"/>
          <w:highlight w:val="none"/>
          <w:lang w:val="zh-CN"/>
        </w:rPr>
        <w:fldChar w:fldCharType="end"/>
      </w:r>
    </w:p>
    <w:p w14:paraId="1F508B4C">
      <w:pPr>
        <w:pStyle w:val="8"/>
        <w:tabs>
          <w:tab w:val="right" w:leader="dot" w:pos="8290"/>
        </w:tabs>
      </w:pPr>
      <w:r>
        <w:rPr>
          <w:bCs/>
          <w:color w:val="auto"/>
          <w:highlight w:val="none"/>
          <w:lang w:val="zh-CN"/>
        </w:rPr>
        <w:fldChar w:fldCharType="begin"/>
      </w:r>
      <w:r>
        <w:rPr>
          <w:bCs/>
          <w:highlight w:val="none"/>
          <w:lang w:val="zh-CN"/>
        </w:rPr>
        <w:instrText xml:space="preserve"> HYPERLINK \l _Toc3279 </w:instrText>
      </w:r>
      <w:r>
        <w:rPr>
          <w:bCs/>
          <w:highlight w:val="none"/>
          <w:lang w:val="zh-CN"/>
        </w:rPr>
        <w:fldChar w:fldCharType="separate"/>
      </w:r>
      <w:r>
        <w:rPr>
          <w:rFonts w:hint="eastAsia"/>
          <w:highlight w:val="none"/>
        </w:rPr>
        <w:t>附表</w:t>
      </w:r>
      <w:r>
        <w:rPr>
          <w:highlight w:val="none"/>
        </w:rPr>
        <w:t>C-9</w:t>
      </w:r>
      <w:r>
        <w:rPr>
          <w:rFonts w:hint="eastAsia"/>
          <w:highlight w:val="none"/>
        </w:rPr>
        <w:t>：清标报告</w:t>
      </w:r>
      <w:r>
        <w:rPr>
          <w:highlight w:val="none"/>
        </w:rPr>
        <w:t>-</w:t>
      </w:r>
      <w:r>
        <w:rPr>
          <w:rFonts w:hint="eastAsia"/>
          <w:highlight w:val="none"/>
        </w:rPr>
        <w:t>分部分项工程和单价措施项目清单综合单价分析记录表</w:t>
      </w:r>
      <w:r>
        <w:tab/>
      </w:r>
      <w:r>
        <w:fldChar w:fldCharType="begin"/>
      </w:r>
      <w:r>
        <w:instrText xml:space="preserve"> PAGEREF _Toc3279 \h </w:instrText>
      </w:r>
      <w:r>
        <w:fldChar w:fldCharType="separate"/>
      </w:r>
      <w:r>
        <w:t>1</w:t>
      </w:r>
      <w:r>
        <w:fldChar w:fldCharType="end"/>
      </w:r>
      <w:r>
        <w:rPr>
          <w:bCs/>
          <w:color w:val="auto"/>
          <w:highlight w:val="none"/>
          <w:lang w:val="zh-CN"/>
        </w:rPr>
        <w:fldChar w:fldCharType="end"/>
      </w:r>
    </w:p>
    <w:p w14:paraId="63ABF08C">
      <w:pPr>
        <w:pStyle w:val="8"/>
        <w:tabs>
          <w:tab w:val="right" w:leader="dot" w:pos="8290"/>
        </w:tabs>
      </w:pPr>
      <w:r>
        <w:rPr>
          <w:bCs/>
          <w:color w:val="auto"/>
          <w:highlight w:val="none"/>
          <w:lang w:val="zh-CN"/>
        </w:rPr>
        <w:fldChar w:fldCharType="begin"/>
      </w:r>
      <w:r>
        <w:rPr>
          <w:bCs/>
          <w:highlight w:val="none"/>
          <w:lang w:val="zh-CN"/>
        </w:rPr>
        <w:instrText xml:space="preserve"> HYPERLINK \l _Toc3557 </w:instrText>
      </w:r>
      <w:r>
        <w:rPr>
          <w:bCs/>
          <w:highlight w:val="none"/>
          <w:lang w:val="zh-CN"/>
        </w:rPr>
        <w:fldChar w:fldCharType="separate"/>
      </w:r>
      <w:r>
        <w:rPr>
          <w:rFonts w:hint="eastAsia"/>
          <w:highlight w:val="none"/>
        </w:rPr>
        <w:t>附表</w:t>
      </w:r>
      <w:r>
        <w:rPr>
          <w:highlight w:val="none"/>
        </w:rPr>
        <w:t>C-10</w:t>
      </w:r>
      <w:r>
        <w:rPr>
          <w:rFonts w:hint="eastAsia"/>
          <w:highlight w:val="none"/>
        </w:rPr>
        <w:t>：清标报告</w:t>
      </w:r>
      <w:r>
        <w:rPr>
          <w:highlight w:val="none"/>
        </w:rPr>
        <w:t>-</w:t>
      </w:r>
      <w:r>
        <w:rPr>
          <w:rFonts w:hint="eastAsia"/>
          <w:highlight w:val="none"/>
        </w:rPr>
        <w:t>总价措施项目清单价格分析记录表</w:t>
      </w:r>
      <w:r>
        <w:tab/>
      </w:r>
      <w:r>
        <w:fldChar w:fldCharType="begin"/>
      </w:r>
      <w:r>
        <w:instrText xml:space="preserve"> PAGEREF _Toc3557 \h </w:instrText>
      </w:r>
      <w:r>
        <w:fldChar w:fldCharType="separate"/>
      </w:r>
      <w:r>
        <w:t>1</w:t>
      </w:r>
      <w:r>
        <w:fldChar w:fldCharType="end"/>
      </w:r>
      <w:r>
        <w:rPr>
          <w:bCs/>
          <w:color w:val="auto"/>
          <w:highlight w:val="none"/>
          <w:lang w:val="zh-CN"/>
        </w:rPr>
        <w:fldChar w:fldCharType="end"/>
      </w:r>
    </w:p>
    <w:p w14:paraId="70C43E4D">
      <w:pPr>
        <w:pStyle w:val="8"/>
        <w:tabs>
          <w:tab w:val="right" w:leader="dot" w:pos="8290"/>
        </w:tabs>
      </w:pPr>
      <w:r>
        <w:rPr>
          <w:bCs/>
          <w:color w:val="auto"/>
          <w:highlight w:val="none"/>
          <w:lang w:val="zh-CN"/>
        </w:rPr>
        <w:fldChar w:fldCharType="begin"/>
      </w:r>
      <w:r>
        <w:rPr>
          <w:bCs/>
          <w:highlight w:val="none"/>
          <w:lang w:val="zh-CN"/>
        </w:rPr>
        <w:instrText xml:space="preserve"> HYPERLINK \l _Toc14895 </w:instrText>
      </w:r>
      <w:r>
        <w:rPr>
          <w:bCs/>
          <w:highlight w:val="none"/>
          <w:lang w:val="zh-CN"/>
        </w:rPr>
        <w:fldChar w:fldCharType="separate"/>
      </w:r>
      <w:r>
        <w:rPr>
          <w:rFonts w:hint="eastAsia"/>
          <w:highlight w:val="none"/>
        </w:rPr>
        <w:t>附表</w:t>
      </w:r>
      <w:r>
        <w:rPr>
          <w:highlight w:val="none"/>
        </w:rPr>
        <w:t>C-11</w:t>
      </w:r>
      <w:r>
        <w:rPr>
          <w:rFonts w:hint="eastAsia"/>
          <w:highlight w:val="none"/>
        </w:rPr>
        <w:t>：清标报告</w:t>
      </w:r>
      <w:r>
        <w:rPr>
          <w:highlight w:val="none"/>
        </w:rPr>
        <w:t>-</w:t>
      </w:r>
      <w:r>
        <w:rPr>
          <w:rFonts w:hint="eastAsia"/>
          <w:highlight w:val="none"/>
        </w:rPr>
        <w:t>其他项目清单价格分析记录表</w:t>
      </w:r>
      <w:r>
        <w:tab/>
      </w:r>
      <w:r>
        <w:fldChar w:fldCharType="begin"/>
      </w:r>
      <w:r>
        <w:instrText xml:space="preserve"> PAGEREF _Toc14895 \h </w:instrText>
      </w:r>
      <w:r>
        <w:fldChar w:fldCharType="separate"/>
      </w:r>
      <w:r>
        <w:t>1</w:t>
      </w:r>
      <w:r>
        <w:fldChar w:fldCharType="end"/>
      </w:r>
      <w:r>
        <w:rPr>
          <w:bCs/>
          <w:color w:val="auto"/>
          <w:highlight w:val="none"/>
          <w:lang w:val="zh-CN"/>
        </w:rPr>
        <w:fldChar w:fldCharType="end"/>
      </w:r>
    </w:p>
    <w:p w14:paraId="34838EB4">
      <w:pPr>
        <w:pStyle w:val="8"/>
        <w:tabs>
          <w:tab w:val="right" w:leader="dot" w:pos="8290"/>
        </w:tabs>
      </w:pPr>
      <w:r>
        <w:rPr>
          <w:bCs/>
          <w:color w:val="auto"/>
          <w:highlight w:val="none"/>
          <w:lang w:val="zh-CN"/>
        </w:rPr>
        <w:fldChar w:fldCharType="begin"/>
      </w:r>
      <w:r>
        <w:rPr>
          <w:bCs/>
          <w:highlight w:val="none"/>
          <w:lang w:val="zh-CN"/>
        </w:rPr>
        <w:instrText xml:space="preserve"> HYPERLINK \l _Toc18846 </w:instrText>
      </w:r>
      <w:r>
        <w:rPr>
          <w:bCs/>
          <w:highlight w:val="none"/>
          <w:lang w:val="zh-CN"/>
        </w:rPr>
        <w:fldChar w:fldCharType="separate"/>
      </w:r>
      <w:r>
        <w:rPr>
          <w:rFonts w:hint="eastAsia"/>
          <w:highlight w:val="none"/>
        </w:rPr>
        <w:t>附表</w:t>
      </w:r>
      <w:r>
        <w:rPr>
          <w:highlight w:val="none"/>
        </w:rPr>
        <w:t>C-12</w:t>
      </w:r>
      <w:r>
        <w:rPr>
          <w:rFonts w:hint="eastAsia"/>
          <w:highlight w:val="none"/>
        </w:rPr>
        <w:t>：清标报告</w:t>
      </w:r>
      <w:r>
        <w:rPr>
          <w:highlight w:val="none"/>
        </w:rPr>
        <w:t>-</w:t>
      </w:r>
      <w:r>
        <w:rPr>
          <w:rFonts w:hint="eastAsia"/>
          <w:highlight w:val="none"/>
        </w:rPr>
        <w:t>建设项目总人工费分析记录表</w:t>
      </w:r>
      <w:r>
        <w:tab/>
      </w:r>
      <w:r>
        <w:fldChar w:fldCharType="begin"/>
      </w:r>
      <w:r>
        <w:instrText xml:space="preserve"> PAGEREF _Toc18846 \h </w:instrText>
      </w:r>
      <w:r>
        <w:fldChar w:fldCharType="separate"/>
      </w:r>
      <w:r>
        <w:t>1</w:t>
      </w:r>
      <w:r>
        <w:fldChar w:fldCharType="end"/>
      </w:r>
      <w:r>
        <w:rPr>
          <w:bCs/>
          <w:color w:val="auto"/>
          <w:highlight w:val="none"/>
          <w:lang w:val="zh-CN"/>
        </w:rPr>
        <w:fldChar w:fldCharType="end"/>
      </w:r>
    </w:p>
    <w:p w14:paraId="7C0A8322">
      <w:pPr>
        <w:pStyle w:val="8"/>
        <w:tabs>
          <w:tab w:val="right" w:leader="dot" w:pos="8290"/>
        </w:tabs>
      </w:pPr>
      <w:r>
        <w:rPr>
          <w:bCs/>
          <w:color w:val="auto"/>
          <w:highlight w:val="none"/>
          <w:lang w:val="zh-CN"/>
        </w:rPr>
        <w:fldChar w:fldCharType="begin"/>
      </w:r>
      <w:r>
        <w:rPr>
          <w:bCs/>
          <w:highlight w:val="none"/>
          <w:lang w:val="zh-CN"/>
        </w:rPr>
        <w:instrText xml:space="preserve"> HYPERLINK \l _Toc13725 </w:instrText>
      </w:r>
      <w:r>
        <w:rPr>
          <w:bCs/>
          <w:highlight w:val="none"/>
          <w:lang w:val="zh-CN"/>
        </w:rPr>
        <w:fldChar w:fldCharType="separate"/>
      </w:r>
      <w:r>
        <w:rPr>
          <w:rFonts w:hint="eastAsia"/>
          <w:highlight w:val="none"/>
        </w:rPr>
        <w:t>附表</w:t>
      </w:r>
      <w:r>
        <w:rPr>
          <w:highlight w:val="none"/>
        </w:rPr>
        <w:t>C-13</w:t>
      </w:r>
      <w:r>
        <w:rPr>
          <w:rFonts w:hint="eastAsia"/>
          <w:highlight w:val="none"/>
        </w:rPr>
        <w:t>：清标报告</w:t>
      </w:r>
      <w:r>
        <w:rPr>
          <w:highlight w:val="none"/>
        </w:rPr>
        <w:t>-</w:t>
      </w:r>
      <w:r>
        <w:rPr>
          <w:rFonts w:hint="eastAsia"/>
          <w:highlight w:val="none"/>
        </w:rPr>
        <w:t>单位工程投标报价分析记录表</w:t>
      </w:r>
      <w:r>
        <w:tab/>
      </w:r>
      <w:r>
        <w:fldChar w:fldCharType="begin"/>
      </w:r>
      <w:r>
        <w:instrText xml:space="preserve"> PAGEREF _Toc13725 \h </w:instrText>
      </w:r>
      <w:r>
        <w:fldChar w:fldCharType="separate"/>
      </w:r>
      <w:r>
        <w:t>1</w:t>
      </w:r>
      <w:r>
        <w:fldChar w:fldCharType="end"/>
      </w:r>
      <w:r>
        <w:rPr>
          <w:bCs/>
          <w:color w:val="auto"/>
          <w:highlight w:val="none"/>
          <w:lang w:val="zh-CN"/>
        </w:rPr>
        <w:fldChar w:fldCharType="end"/>
      </w:r>
    </w:p>
    <w:p w14:paraId="12765C9A">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_Toc23853 </w:instrText>
      </w:r>
      <w:r>
        <w:rPr>
          <w:bCs/>
          <w:highlight w:val="none"/>
          <w:lang w:val="zh-CN"/>
        </w:rPr>
        <w:fldChar w:fldCharType="separate"/>
      </w:r>
      <w:r>
        <w:rPr>
          <w:rFonts w:hint="eastAsia" w:ascii="黑体" w:hAnsi="黑体" w:eastAsia="黑体"/>
          <w:kern w:val="44"/>
          <w:szCs w:val="44"/>
          <w:highlight w:val="none"/>
        </w:rPr>
        <w:t>第四章  合同条款及格式</w:t>
      </w:r>
      <w:r>
        <w:tab/>
      </w:r>
      <w:r>
        <w:fldChar w:fldCharType="begin"/>
      </w:r>
      <w:r>
        <w:instrText xml:space="preserve"> PAGEREF _Toc23853 \h </w:instrText>
      </w:r>
      <w:r>
        <w:fldChar w:fldCharType="separate"/>
      </w:r>
      <w:r>
        <w:t>1</w:t>
      </w:r>
      <w:r>
        <w:fldChar w:fldCharType="end"/>
      </w:r>
      <w:r>
        <w:rPr>
          <w:bCs/>
          <w:color w:val="auto"/>
          <w:highlight w:val="none"/>
          <w:lang w:val="zh-CN"/>
        </w:rPr>
        <w:fldChar w:fldCharType="end"/>
      </w:r>
    </w:p>
    <w:p w14:paraId="3CADB385">
      <w:pPr>
        <w:pStyle w:val="13"/>
        <w:tabs>
          <w:tab w:val="right" w:leader="dot" w:pos="8290"/>
        </w:tabs>
      </w:pPr>
      <w:r>
        <w:rPr>
          <w:bCs/>
          <w:color w:val="auto"/>
          <w:highlight w:val="none"/>
          <w:lang w:val="zh-CN"/>
        </w:rPr>
        <w:fldChar w:fldCharType="begin"/>
      </w:r>
      <w:r>
        <w:rPr>
          <w:bCs/>
          <w:highlight w:val="none"/>
          <w:lang w:val="zh-CN"/>
        </w:rPr>
        <w:instrText xml:space="preserve"> HYPERLINK \l _Toc13447 </w:instrText>
      </w:r>
      <w:r>
        <w:rPr>
          <w:bCs/>
          <w:highlight w:val="none"/>
          <w:lang w:val="zh-CN"/>
        </w:rPr>
        <w:fldChar w:fldCharType="separate"/>
      </w:r>
      <w:r>
        <w:rPr>
          <w:rFonts w:ascii="Times New Roman" w:hAnsi="Times New Roman" w:eastAsia="黑体" w:cs="宋体"/>
          <w:szCs w:val="20"/>
          <w:highlight w:val="none"/>
        </w:rPr>
        <w:t>第一部分 合同协议书</w:t>
      </w:r>
      <w:r>
        <w:tab/>
      </w:r>
      <w:r>
        <w:fldChar w:fldCharType="begin"/>
      </w:r>
      <w:r>
        <w:instrText xml:space="preserve"> PAGEREF _Toc13447 \h </w:instrText>
      </w:r>
      <w:r>
        <w:fldChar w:fldCharType="separate"/>
      </w:r>
      <w:r>
        <w:t>1</w:t>
      </w:r>
      <w:r>
        <w:fldChar w:fldCharType="end"/>
      </w:r>
      <w:r>
        <w:rPr>
          <w:bCs/>
          <w:color w:val="auto"/>
          <w:highlight w:val="none"/>
          <w:lang w:val="zh-CN"/>
        </w:rPr>
        <w:fldChar w:fldCharType="end"/>
      </w:r>
    </w:p>
    <w:p w14:paraId="0D7C65C0">
      <w:pPr>
        <w:pStyle w:val="13"/>
        <w:tabs>
          <w:tab w:val="right" w:leader="dot" w:pos="8290"/>
        </w:tabs>
      </w:pPr>
      <w:r>
        <w:rPr>
          <w:bCs/>
          <w:color w:val="auto"/>
          <w:highlight w:val="none"/>
          <w:lang w:val="zh-CN"/>
        </w:rPr>
        <w:fldChar w:fldCharType="begin"/>
      </w:r>
      <w:r>
        <w:rPr>
          <w:bCs/>
          <w:highlight w:val="none"/>
          <w:lang w:val="zh-CN"/>
        </w:rPr>
        <w:instrText xml:space="preserve"> HYPERLINK \l _Toc21064 </w:instrText>
      </w:r>
      <w:r>
        <w:rPr>
          <w:bCs/>
          <w:highlight w:val="none"/>
          <w:lang w:val="zh-CN"/>
        </w:rPr>
        <w:fldChar w:fldCharType="separate"/>
      </w:r>
      <w:r>
        <w:rPr>
          <w:rFonts w:ascii="Times New Roman" w:hAnsi="Times New Roman" w:eastAsia="黑体" w:cs="宋体"/>
          <w:szCs w:val="20"/>
          <w:highlight w:val="none"/>
        </w:rPr>
        <w:t>第二部分 通用合同条款</w:t>
      </w:r>
      <w:r>
        <w:tab/>
      </w:r>
      <w:r>
        <w:fldChar w:fldCharType="begin"/>
      </w:r>
      <w:r>
        <w:instrText xml:space="preserve"> PAGEREF _Toc21064 \h </w:instrText>
      </w:r>
      <w:r>
        <w:fldChar w:fldCharType="separate"/>
      </w:r>
      <w:r>
        <w:t>1</w:t>
      </w:r>
      <w:r>
        <w:fldChar w:fldCharType="end"/>
      </w:r>
      <w:r>
        <w:rPr>
          <w:bCs/>
          <w:color w:val="auto"/>
          <w:highlight w:val="none"/>
          <w:lang w:val="zh-CN"/>
        </w:rPr>
        <w:fldChar w:fldCharType="end"/>
      </w:r>
    </w:p>
    <w:p w14:paraId="35F5A10E">
      <w:pPr>
        <w:pStyle w:val="13"/>
        <w:tabs>
          <w:tab w:val="right" w:leader="dot" w:pos="8290"/>
        </w:tabs>
      </w:pPr>
      <w:r>
        <w:rPr>
          <w:bCs/>
          <w:color w:val="auto"/>
          <w:highlight w:val="none"/>
          <w:lang w:val="zh-CN"/>
        </w:rPr>
        <w:fldChar w:fldCharType="begin"/>
      </w:r>
      <w:r>
        <w:rPr>
          <w:bCs/>
          <w:highlight w:val="none"/>
          <w:lang w:val="zh-CN"/>
        </w:rPr>
        <w:instrText xml:space="preserve"> HYPERLINK \l _Toc9157 </w:instrText>
      </w:r>
      <w:r>
        <w:rPr>
          <w:bCs/>
          <w:highlight w:val="none"/>
          <w:lang w:val="zh-CN"/>
        </w:rPr>
        <w:fldChar w:fldCharType="separate"/>
      </w:r>
      <w:r>
        <w:rPr>
          <w:rFonts w:ascii="黑体" w:hAnsi="Times New Roman" w:eastAsia="黑体"/>
          <w:szCs w:val="28"/>
          <w:highlight w:val="none"/>
        </w:rPr>
        <w:t>通用合同条款</w:t>
      </w:r>
      <w:r>
        <w:tab/>
      </w:r>
      <w:r>
        <w:fldChar w:fldCharType="begin"/>
      </w:r>
      <w:r>
        <w:instrText xml:space="preserve"> PAGEREF _Toc9157 \h </w:instrText>
      </w:r>
      <w:r>
        <w:fldChar w:fldCharType="separate"/>
      </w:r>
      <w:r>
        <w:t>1</w:t>
      </w:r>
      <w:r>
        <w:fldChar w:fldCharType="end"/>
      </w:r>
      <w:r>
        <w:rPr>
          <w:bCs/>
          <w:color w:val="auto"/>
          <w:highlight w:val="none"/>
          <w:lang w:val="zh-CN"/>
        </w:rPr>
        <w:fldChar w:fldCharType="end"/>
      </w:r>
    </w:p>
    <w:p w14:paraId="1EC1750A">
      <w:pPr>
        <w:pStyle w:val="13"/>
        <w:tabs>
          <w:tab w:val="right" w:leader="dot" w:pos="8290"/>
        </w:tabs>
      </w:pPr>
      <w:r>
        <w:rPr>
          <w:bCs/>
          <w:color w:val="auto"/>
          <w:highlight w:val="none"/>
          <w:lang w:val="zh-CN"/>
        </w:rPr>
        <w:fldChar w:fldCharType="begin"/>
      </w:r>
      <w:r>
        <w:rPr>
          <w:bCs/>
          <w:highlight w:val="none"/>
          <w:lang w:val="zh-CN"/>
        </w:rPr>
        <w:instrText xml:space="preserve"> HYPERLINK \l _Toc11388 </w:instrText>
      </w:r>
      <w:r>
        <w:rPr>
          <w:bCs/>
          <w:highlight w:val="none"/>
          <w:lang w:val="zh-CN"/>
        </w:rPr>
        <w:fldChar w:fldCharType="separate"/>
      </w:r>
      <w:r>
        <w:rPr>
          <w:rFonts w:ascii="Times New Roman" w:hAnsi="Times New Roman" w:eastAsia="黑体" w:cs="宋体"/>
          <w:szCs w:val="20"/>
          <w:highlight w:val="none"/>
        </w:rPr>
        <w:t>1. 一般约定</w:t>
      </w:r>
      <w:r>
        <w:tab/>
      </w:r>
      <w:r>
        <w:fldChar w:fldCharType="begin"/>
      </w:r>
      <w:r>
        <w:instrText xml:space="preserve"> PAGEREF _Toc11388 \h </w:instrText>
      </w:r>
      <w:r>
        <w:fldChar w:fldCharType="separate"/>
      </w:r>
      <w:r>
        <w:t>1</w:t>
      </w:r>
      <w:r>
        <w:fldChar w:fldCharType="end"/>
      </w:r>
      <w:r>
        <w:rPr>
          <w:bCs/>
          <w:color w:val="auto"/>
          <w:highlight w:val="none"/>
          <w:lang w:val="zh-CN"/>
        </w:rPr>
        <w:fldChar w:fldCharType="end"/>
      </w:r>
    </w:p>
    <w:p w14:paraId="1D4F35B7">
      <w:pPr>
        <w:pStyle w:val="8"/>
        <w:tabs>
          <w:tab w:val="right" w:leader="dot" w:pos="8290"/>
        </w:tabs>
      </w:pPr>
      <w:r>
        <w:rPr>
          <w:bCs/>
          <w:color w:val="auto"/>
          <w:highlight w:val="none"/>
          <w:lang w:val="zh-CN"/>
        </w:rPr>
        <w:fldChar w:fldCharType="begin"/>
      </w:r>
      <w:r>
        <w:rPr>
          <w:bCs/>
          <w:highlight w:val="none"/>
          <w:lang w:val="zh-CN"/>
        </w:rPr>
        <w:instrText xml:space="preserve"> HYPERLINK \l _Toc25214 </w:instrText>
      </w:r>
      <w:r>
        <w:rPr>
          <w:bCs/>
          <w:highlight w:val="none"/>
          <w:lang w:val="zh-CN"/>
        </w:rPr>
        <w:fldChar w:fldCharType="separate"/>
      </w:r>
      <w:r>
        <w:rPr>
          <w:rFonts w:ascii="Times New Roman" w:hAnsi="Times New Roman" w:eastAsia="黑体" w:cs="宋体"/>
          <w:szCs w:val="20"/>
          <w:highlight w:val="none"/>
        </w:rPr>
        <w:t>1.1词语定义与解释</w:t>
      </w:r>
      <w:r>
        <w:tab/>
      </w:r>
      <w:r>
        <w:fldChar w:fldCharType="begin"/>
      </w:r>
      <w:r>
        <w:instrText xml:space="preserve"> PAGEREF _Toc25214 \h </w:instrText>
      </w:r>
      <w:r>
        <w:fldChar w:fldCharType="separate"/>
      </w:r>
      <w:r>
        <w:t>1</w:t>
      </w:r>
      <w:r>
        <w:fldChar w:fldCharType="end"/>
      </w:r>
      <w:r>
        <w:rPr>
          <w:bCs/>
          <w:color w:val="auto"/>
          <w:highlight w:val="none"/>
          <w:lang w:val="zh-CN"/>
        </w:rPr>
        <w:fldChar w:fldCharType="end"/>
      </w:r>
    </w:p>
    <w:p w14:paraId="3C8DC22B">
      <w:pPr>
        <w:pStyle w:val="8"/>
        <w:tabs>
          <w:tab w:val="right" w:leader="dot" w:pos="8290"/>
        </w:tabs>
      </w:pPr>
      <w:r>
        <w:rPr>
          <w:bCs/>
          <w:color w:val="auto"/>
          <w:highlight w:val="none"/>
          <w:lang w:val="zh-CN"/>
        </w:rPr>
        <w:fldChar w:fldCharType="begin"/>
      </w:r>
      <w:r>
        <w:rPr>
          <w:bCs/>
          <w:highlight w:val="none"/>
          <w:lang w:val="zh-CN"/>
        </w:rPr>
        <w:instrText xml:space="preserve"> HYPERLINK \l _Toc14583 </w:instrText>
      </w:r>
      <w:r>
        <w:rPr>
          <w:bCs/>
          <w:highlight w:val="none"/>
          <w:lang w:val="zh-CN"/>
        </w:rPr>
        <w:fldChar w:fldCharType="separate"/>
      </w:r>
      <w:r>
        <w:rPr>
          <w:rFonts w:ascii="Times New Roman" w:hAnsi="Times New Roman" w:eastAsia="黑体" w:cs="宋体"/>
          <w:szCs w:val="20"/>
          <w:highlight w:val="none"/>
        </w:rPr>
        <w:t>1.2语言文字</w:t>
      </w:r>
      <w:r>
        <w:tab/>
      </w:r>
      <w:r>
        <w:fldChar w:fldCharType="begin"/>
      </w:r>
      <w:r>
        <w:instrText xml:space="preserve"> PAGEREF _Toc14583 \h </w:instrText>
      </w:r>
      <w:r>
        <w:fldChar w:fldCharType="separate"/>
      </w:r>
      <w:r>
        <w:t>1</w:t>
      </w:r>
      <w:r>
        <w:fldChar w:fldCharType="end"/>
      </w:r>
      <w:r>
        <w:rPr>
          <w:bCs/>
          <w:color w:val="auto"/>
          <w:highlight w:val="none"/>
          <w:lang w:val="zh-CN"/>
        </w:rPr>
        <w:fldChar w:fldCharType="end"/>
      </w:r>
    </w:p>
    <w:p w14:paraId="308A3354">
      <w:pPr>
        <w:pStyle w:val="8"/>
        <w:tabs>
          <w:tab w:val="right" w:leader="dot" w:pos="8290"/>
        </w:tabs>
      </w:pPr>
      <w:r>
        <w:rPr>
          <w:bCs/>
          <w:color w:val="auto"/>
          <w:highlight w:val="none"/>
          <w:lang w:val="zh-CN"/>
        </w:rPr>
        <w:fldChar w:fldCharType="begin"/>
      </w:r>
      <w:r>
        <w:rPr>
          <w:bCs/>
          <w:highlight w:val="none"/>
          <w:lang w:val="zh-CN"/>
        </w:rPr>
        <w:instrText xml:space="preserve"> HYPERLINK \l _Toc20797 </w:instrText>
      </w:r>
      <w:r>
        <w:rPr>
          <w:bCs/>
          <w:highlight w:val="none"/>
          <w:lang w:val="zh-CN"/>
        </w:rPr>
        <w:fldChar w:fldCharType="separate"/>
      </w:r>
      <w:r>
        <w:rPr>
          <w:rFonts w:ascii="Times New Roman" w:hAnsi="Times New Roman" w:eastAsia="黑体" w:cs="宋体"/>
          <w:szCs w:val="20"/>
          <w:highlight w:val="none"/>
        </w:rPr>
        <w:t>1.3法律</w:t>
      </w:r>
      <w:r>
        <w:tab/>
      </w:r>
      <w:r>
        <w:fldChar w:fldCharType="begin"/>
      </w:r>
      <w:r>
        <w:instrText xml:space="preserve"> PAGEREF _Toc20797 \h </w:instrText>
      </w:r>
      <w:r>
        <w:fldChar w:fldCharType="separate"/>
      </w:r>
      <w:r>
        <w:t>1</w:t>
      </w:r>
      <w:r>
        <w:fldChar w:fldCharType="end"/>
      </w:r>
      <w:r>
        <w:rPr>
          <w:bCs/>
          <w:color w:val="auto"/>
          <w:highlight w:val="none"/>
          <w:lang w:val="zh-CN"/>
        </w:rPr>
        <w:fldChar w:fldCharType="end"/>
      </w:r>
    </w:p>
    <w:p w14:paraId="08F3B50E">
      <w:pPr>
        <w:pStyle w:val="8"/>
        <w:tabs>
          <w:tab w:val="right" w:leader="dot" w:pos="8290"/>
        </w:tabs>
      </w:pPr>
      <w:r>
        <w:rPr>
          <w:bCs/>
          <w:color w:val="auto"/>
          <w:highlight w:val="none"/>
          <w:lang w:val="zh-CN"/>
        </w:rPr>
        <w:fldChar w:fldCharType="begin"/>
      </w:r>
      <w:r>
        <w:rPr>
          <w:bCs/>
          <w:highlight w:val="none"/>
          <w:lang w:val="zh-CN"/>
        </w:rPr>
        <w:instrText xml:space="preserve"> HYPERLINK \l _Toc26055 </w:instrText>
      </w:r>
      <w:r>
        <w:rPr>
          <w:bCs/>
          <w:highlight w:val="none"/>
          <w:lang w:val="zh-CN"/>
        </w:rPr>
        <w:fldChar w:fldCharType="separate"/>
      </w:r>
      <w:r>
        <w:rPr>
          <w:rFonts w:ascii="Times New Roman" w:hAnsi="Times New Roman" w:eastAsia="黑体" w:cs="宋体"/>
          <w:szCs w:val="20"/>
          <w:highlight w:val="none"/>
        </w:rPr>
        <w:t>1.4 标准和规范</w:t>
      </w:r>
      <w:r>
        <w:tab/>
      </w:r>
      <w:r>
        <w:fldChar w:fldCharType="begin"/>
      </w:r>
      <w:r>
        <w:instrText xml:space="preserve"> PAGEREF _Toc26055 \h </w:instrText>
      </w:r>
      <w:r>
        <w:fldChar w:fldCharType="separate"/>
      </w:r>
      <w:r>
        <w:t>1</w:t>
      </w:r>
      <w:r>
        <w:fldChar w:fldCharType="end"/>
      </w:r>
      <w:r>
        <w:rPr>
          <w:bCs/>
          <w:color w:val="auto"/>
          <w:highlight w:val="none"/>
          <w:lang w:val="zh-CN"/>
        </w:rPr>
        <w:fldChar w:fldCharType="end"/>
      </w:r>
    </w:p>
    <w:p w14:paraId="7D90539A">
      <w:pPr>
        <w:pStyle w:val="8"/>
        <w:tabs>
          <w:tab w:val="right" w:leader="dot" w:pos="8290"/>
        </w:tabs>
      </w:pPr>
      <w:r>
        <w:rPr>
          <w:bCs/>
          <w:color w:val="auto"/>
          <w:highlight w:val="none"/>
          <w:lang w:val="zh-CN"/>
        </w:rPr>
        <w:fldChar w:fldCharType="begin"/>
      </w:r>
      <w:r>
        <w:rPr>
          <w:bCs/>
          <w:highlight w:val="none"/>
          <w:lang w:val="zh-CN"/>
        </w:rPr>
        <w:instrText xml:space="preserve"> HYPERLINK \l _Toc16069 </w:instrText>
      </w:r>
      <w:r>
        <w:rPr>
          <w:bCs/>
          <w:highlight w:val="none"/>
          <w:lang w:val="zh-CN"/>
        </w:rPr>
        <w:fldChar w:fldCharType="separate"/>
      </w:r>
      <w:r>
        <w:rPr>
          <w:rFonts w:ascii="Times New Roman" w:hAnsi="Times New Roman" w:eastAsia="黑体" w:cs="宋体"/>
          <w:szCs w:val="20"/>
          <w:highlight w:val="none"/>
        </w:rPr>
        <w:t>1.5 合同文件的优先顺序</w:t>
      </w:r>
      <w:r>
        <w:tab/>
      </w:r>
      <w:r>
        <w:fldChar w:fldCharType="begin"/>
      </w:r>
      <w:r>
        <w:instrText xml:space="preserve"> PAGEREF _Toc16069 \h </w:instrText>
      </w:r>
      <w:r>
        <w:fldChar w:fldCharType="separate"/>
      </w:r>
      <w:r>
        <w:t>1</w:t>
      </w:r>
      <w:r>
        <w:fldChar w:fldCharType="end"/>
      </w:r>
      <w:r>
        <w:rPr>
          <w:bCs/>
          <w:color w:val="auto"/>
          <w:highlight w:val="none"/>
          <w:lang w:val="zh-CN"/>
        </w:rPr>
        <w:fldChar w:fldCharType="end"/>
      </w:r>
    </w:p>
    <w:p w14:paraId="56082E8A">
      <w:pPr>
        <w:pStyle w:val="8"/>
        <w:tabs>
          <w:tab w:val="right" w:leader="dot" w:pos="8290"/>
        </w:tabs>
      </w:pPr>
      <w:r>
        <w:rPr>
          <w:bCs/>
          <w:color w:val="auto"/>
          <w:highlight w:val="none"/>
          <w:lang w:val="zh-CN"/>
        </w:rPr>
        <w:fldChar w:fldCharType="begin"/>
      </w:r>
      <w:r>
        <w:rPr>
          <w:bCs/>
          <w:highlight w:val="none"/>
          <w:lang w:val="zh-CN"/>
        </w:rPr>
        <w:instrText xml:space="preserve"> HYPERLINK \l _Toc9191 </w:instrText>
      </w:r>
      <w:r>
        <w:rPr>
          <w:bCs/>
          <w:highlight w:val="none"/>
          <w:lang w:val="zh-CN"/>
        </w:rPr>
        <w:fldChar w:fldCharType="separate"/>
      </w:r>
      <w:r>
        <w:rPr>
          <w:rFonts w:ascii="Times New Roman" w:hAnsi="Times New Roman" w:eastAsia="黑体" w:cs="宋体"/>
          <w:szCs w:val="20"/>
          <w:highlight w:val="none"/>
        </w:rPr>
        <w:t>1.6图纸和承包人文件</w:t>
      </w:r>
      <w:r>
        <w:tab/>
      </w:r>
      <w:r>
        <w:fldChar w:fldCharType="begin"/>
      </w:r>
      <w:r>
        <w:instrText xml:space="preserve"> PAGEREF _Toc9191 \h </w:instrText>
      </w:r>
      <w:r>
        <w:fldChar w:fldCharType="separate"/>
      </w:r>
      <w:r>
        <w:t>1</w:t>
      </w:r>
      <w:r>
        <w:fldChar w:fldCharType="end"/>
      </w:r>
      <w:r>
        <w:rPr>
          <w:bCs/>
          <w:color w:val="auto"/>
          <w:highlight w:val="none"/>
          <w:lang w:val="zh-CN"/>
        </w:rPr>
        <w:fldChar w:fldCharType="end"/>
      </w:r>
    </w:p>
    <w:p w14:paraId="00600D65">
      <w:pPr>
        <w:pStyle w:val="8"/>
        <w:tabs>
          <w:tab w:val="right" w:leader="dot" w:pos="8290"/>
        </w:tabs>
      </w:pPr>
      <w:r>
        <w:rPr>
          <w:bCs/>
          <w:color w:val="auto"/>
          <w:highlight w:val="none"/>
          <w:lang w:val="zh-CN"/>
        </w:rPr>
        <w:fldChar w:fldCharType="begin"/>
      </w:r>
      <w:r>
        <w:rPr>
          <w:bCs/>
          <w:highlight w:val="none"/>
          <w:lang w:val="zh-CN"/>
        </w:rPr>
        <w:instrText xml:space="preserve"> HYPERLINK \l _Toc18528 </w:instrText>
      </w:r>
      <w:r>
        <w:rPr>
          <w:bCs/>
          <w:highlight w:val="none"/>
          <w:lang w:val="zh-CN"/>
        </w:rPr>
        <w:fldChar w:fldCharType="separate"/>
      </w:r>
      <w:r>
        <w:rPr>
          <w:rFonts w:ascii="Times New Roman" w:hAnsi="Times New Roman" w:eastAsia="黑体" w:cs="宋体"/>
          <w:szCs w:val="20"/>
          <w:highlight w:val="none"/>
        </w:rPr>
        <w:t>1.7联络</w:t>
      </w:r>
      <w:r>
        <w:tab/>
      </w:r>
      <w:r>
        <w:fldChar w:fldCharType="begin"/>
      </w:r>
      <w:r>
        <w:instrText xml:space="preserve"> PAGEREF _Toc18528 \h </w:instrText>
      </w:r>
      <w:r>
        <w:fldChar w:fldCharType="separate"/>
      </w:r>
      <w:r>
        <w:t>1</w:t>
      </w:r>
      <w:r>
        <w:fldChar w:fldCharType="end"/>
      </w:r>
      <w:r>
        <w:rPr>
          <w:bCs/>
          <w:color w:val="auto"/>
          <w:highlight w:val="none"/>
          <w:lang w:val="zh-CN"/>
        </w:rPr>
        <w:fldChar w:fldCharType="end"/>
      </w:r>
    </w:p>
    <w:p w14:paraId="33A8F92D">
      <w:pPr>
        <w:pStyle w:val="8"/>
        <w:tabs>
          <w:tab w:val="right" w:leader="dot" w:pos="8290"/>
        </w:tabs>
      </w:pPr>
      <w:r>
        <w:rPr>
          <w:bCs/>
          <w:color w:val="auto"/>
          <w:highlight w:val="none"/>
          <w:lang w:val="zh-CN"/>
        </w:rPr>
        <w:fldChar w:fldCharType="begin"/>
      </w:r>
      <w:r>
        <w:rPr>
          <w:bCs/>
          <w:highlight w:val="none"/>
          <w:lang w:val="zh-CN"/>
        </w:rPr>
        <w:instrText xml:space="preserve"> HYPERLINK \l _Toc13003 </w:instrText>
      </w:r>
      <w:r>
        <w:rPr>
          <w:bCs/>
          <w:highlight w:val="none"/>
          <w:lang w:val="zh-CN"/>
        </w:rPr>
        <w:fldChar w:fldCharType="separate"/>
      </w:r>
      <w:r>
        <w:rPr>
          <w:rFonts w:ascii="Times New Roman" w:hAnsi="Times New Roman" w:eastAsia="黑体" w:cs="宋体"/>
          <w:szCs w:val="20"/>
          <w:highlight w:val="none"/>
        </w:rPr>
        <w:t>1.8严禁贿赂</w:t>
      </w:r>
      <w:r>
        <w:tab/>
      </w:r>
      <w:r>
        <w:fldChar w:fldCharType="begin"/>
      </w:r>
      <w:r>
        <w:instrText xml:space="preserve"> PAGEREF _Toc13003 \h </w:instrText>
      </w:r>
      <w:r>
        <w:fldChar w:fldCharType="separate"/>
      </w:r>
      <w:r>
        <w:t>1</w:t>
      </w:r>
      <w:r>
        <w:fldChar w:fldCharType="end"/>
      </w:r>
      <w:r>
        <w:rPr>
          <w:bCs/>
          <w:color w:val="auto"/>
          <w:highlight w:val="none"/>
          <w:lang w:val="zh-CN"/>
        </w:rPr>
        <w:fldChar w:fldCharType="end"/>
      </w:r>
    </w:p>
    <w:p w14:paraId="09B85B96">
      <w:pPr>
        <w:pStyle w:val="8"/>
        <w:tabs>
          <w:tab w:val="right" w:leader="dot" w:pos="8290"/>
        </w:tabs>
      </w:pPr>
      <w:r>
        <w:rPr>
          <w:bCs/>
          <w:color w:val="auto"/>
          <w:highlight w:val="none"/>
          <w:lang w:val="zh-CN"/>
        </w:rPr>
        <w:fldChar w:fldCharType="begin"/>
      </w:r>
      <w:r>
        <w:rPr>
          <w:bCs/>
          <w:highlight w:val="none"/>
          <w:lang w:val="zh-CN"/>
        </w:rPr>
        <w:instrText xml:space="preserve"> HYPERLINK \l _Toc12728 </w:instrText>
      </w:r>
      <w:r>
        <w:rPr>
          <w:bCs/>
          <w:highlight w:val="none"/>
          <w:lang w:val="zh-CN"/>
        </w:rPr>
        <w:fldChar w:fldCharType="separate"/>
      </w:r>
      <w:r>
        <w:rPr>
          <w:rFonts w:ascii="Times New Roman" w:hAnsi="Times New Roman" w:eastAsia="黑体" w:cs="宋体"/>
          <w:szCs w:val="20"/>
          <w:highlight w:val="none"/>
        </w:rPr>
        <w:t>1.9化石、文物</w:t>
      </w:r>
      <w:r>
        <w:tab/>
      </w:r>
      <w:r>
        <w:fldChar w:fldCharType="begin"/>
      </w:r>
      <w:r>
        <w:instrText xml:space="preserve"> PAGEREF _Toc12728 \h </w:instrText>
      </w:r>
      <w:r>
        <w:fldChar w:fldCharType="separate"/>
      </w:r>
      <w:r>
        <w:t>1</w:t>
      </w:r>
      <w:r>
        <w:fldChar w:fldCharType="end"/>
      </w:r>
      <w:r>
        <w:rPr>
          <w:bCs/>
          <w:color w:val="auto"/>
          <w:highlight w:val="none"/>
          <w:lang w:val="zh-CN"/>
        </w:rPr>
        <w:fldChar w:fldCharType="end"/>
      </w:r>
    </w:p>
    <w:p w14:paraId="5612ADD5">
      <w:pPr>
        <w:pStyle w:val="8"/>
        <w:tabs>
          <w:tab w:val="right" w:leader="dot" w:pos="8290"/>
        </w:tabs>
      </w:pPr>
      <w:r>
        <w:rPr>
          <w:bCs/>
          <w:color w:val="auto"/>
          <w:highlight w:val="none"/>
          <w:lang w:val="zh-CN"/>
        </w:rPr>
        <w:fldChar w:fldCharType="begin"/>
      </w:r>
      <w:r>
        <w:rPr>
          <w:bCs/>
          <w:highlight w:val="none"/>
          <w:lang w:val="zh-CN"/>
        </w:rPr>
        <w:instrText xml:space="preserve"> HYPERLINK \l _Toc26965 </w:instrText>
      </w:r>
      <w:r>
        <w:rPr>
          <w:bCs/>
          <w:highlight w:val="none"/>
          <w:lang w:val="zh-CN"/>
        </w:rPr>
        <w:fldChar w:fldCharType="separate"/>
      </w:r>
      <w:r>
        <w:rPr>
          <w:rFonts w:ascii="Times New Roman" w:hAnsi="Times New Roman" w:eastAsia="黑体" w:cs="宋体"/>
          <w:szCs w:val="20"/>
          <w:highlight w:val="none"/>
        </w:rPr>
        <w:t>1.10交通运输</w:t>
      </w:r>
      <w:r>
        <w:tab/>
      </w:r>
      <w:r>
        <w:fldChar w:fldCharType="begin"/>
      </w:r>
      <w:r>
        <w:instrText xml:space="preserve"> PAGEREF _Toc26965 \h </w:instrText>
      </w:r>
      <w:r>
        <w:fldChar w:fldCharType="separate"/>
      </w:r>
      <w:r>
        <w:t>1</w:t>
      </w:r>
      <w:r>
        <w:fldChar w:fldCharType="end"/>
      </w:r>
      <w:r>
        <w:rPr>
          <w:bCs/>
          <w:color w:val="auto"/>
          <w:highlight w:val="none"/>
          <w:lang w:val="zh-CN"/>
        </w:rPr>
        <w:fldChar w:fldCharType="end"/>
      </w:r>
    </w:p>
    <w:p w14:paraId="5498FEE0">
      <w:pPr>
        <w:pStyle w:val="8"/>
        <w:tabs>
          <w:tab w:val="right" w:leader="dot" w:pos="8290"/>
        </w:tabs>
      </w:pPr>
      <w:r>
        <w:rPr>
          <w:bCs/>
          <w:color w:val="auto"/>
          <w:highlight w:val="none"/>
          <w:lang w:val="zh-CN"/>
        </w:rPr>
        <w:fldChar w:fldCharType="begin"/>
      </w:r>
      <w:r>
        <w:rPr>
          <w:bCs/>
          <w:highlight w:val="none"/>
          <w:lang w:val="zh-CN"/>
        </w:rPr>
        <w:instrText xml:space="preserve"> HYPERLINK \l _Toc6277 </w:instrText>
      </w:r>
      <w:r>
        <w:rPr>
          <w:bCs/>
          <w:highlight w:val="none"/>
          <w:lang w:val="zh-CN"/>
        </w:rPr>
        <w:fldChar w:fldCharType="separate"/>
      </w:r>
      <w:r>
        <w:rPr>
          <w:rFonts w:ascii="Times New Roman" w:hAnsi="Times New Roman" w:eastAsia="黑体" w:cs="宋体"/>
          <w:szCs w:val="20"/>
          <w:highlight w:val="none"/>
        </w:rPr>
        <w:t>1.11知识产权</w:t>
      </w:r>
      <w:r>
        <w:tab/>
      </w:r>
      <w:r>
        <w:fldChar w:fldCharType="begin"/>
      </w:r>
      <w:r>
        <w:instrText xml:space="preserve"> PAGEREF _Toc6277 \h </w:instrText>
      </w:r>
      <w:r>
        <w:fldChar w:fldCharType="separate"/>
      </w:r>
      <w:r>
        <w:t>1</w:t>
      </w:r>
      <w:r>
        <w:fldChar w:fldCharType="end"/>
      </w:r>
      <w:r>
        <w:rPr>
          <w:bCs/>
          <w:color w:val="auto"/>
          <w:highlight w:val="none"/>
          <w:lang w:val="zh-CN"/>
        </w:rPr>
        <w:fldChar w:fldCharType="end"/>
      </w:r>
    </w:p>
    <w:p w14:paraId="5E435DD3">
      <w:pPr>
        <w:pStyle w:val="8"/>
        <w:tabs>
          <w:tab w:val="right" w:leader="dot" w:pos="8290"/>
        </w:tabs>
      </w:pPr>
      <w:r>
        <w:rPr>
          <w:bCs/>
          <w:color w:val="auto"/>
          <w:highlight w:val="none"/>
          <w:lang w:val="zh-CN"/>
        </w:rPr>
        <w:fldChar w:fldCharType="begin"/>
      </w:r>
      <w:r>
        <w:rPr>
          <w:bCs/>
          <w:highlight w:val="none"/>
          <w:lang w:val="zh-CN"/>
        </w:rPr>
        <w:instrText xml:space="preserve"> HYPERLINK \l _Toc19088 </w:instrText>
      </w:r>
      <w:r>
        <w:rPr>
          <w:bCs/>
          <w:highlight w:val="none"/>
          <w:lang w:val="zh-CN"/>
        </w:rPr>
        <w:fldChar w:fldCharType="separate"/>
      </w:r>
      <w:r>
        <w:rPr>
          <w:rFonts w:ascii="Times New Roman" w:hAnsi="Times New Roman" w:eastAsia="黑体" w:cs="宋体"/>
          <w:szCs w:val="20"/>
          <w:highlight w:val="none"/>
        </w:rPr>
        <w:t>1.12保密</w:t>
      </w:r>
      <w:r>
        <w:tab/>
      </w:r>
      <w:r>
        <w:fldChar w:fldCharType="begin"/>
      </w:r>
      <w:r>
        <w:instrText xml:space="preserve"> PAGEREF _Toc19088 \h </w:instrText>
      </w:r>
      <w:r>
        <w:fldChar w:fldCharType="separate"/>
      </w:r>
      <w:r>
        <w:t>1</w:t>
      </w:r>
      <w:r>
        <w:fldChar w:fldCharType="end"/>
      </w:r>
      <w:r>
        <w:rPr>
          <w:bCs/>
          <w:color w:val="auto"/>
          <w:highlight w:val="none"/>
          <w:lang w:val="zh-CN"/>
        </w:rPr>
        <w:fldChar w:fldCharType="end"/>
      </w:r>
    </w:p>
    <w:p w14:paraId="2C59D72E">
      <w:pPr>
        <w:pStyle w:val="8"/>
        <w:tabs>
          <w:tab w:val="right" w:leader="dot" w:pos="8290"/>
        </w:tabs>
      </w:pPr>
      <w:r>
        <w:rPr>
          <w:bCs/>
          <w:color w:val="auto"/>
          <w:highlight w:val="none"/>
          <w:lang w:val="zh-CN"/>
        </w:rPr>
        <w:fldChar w:fldCharType="begin"/>
      </w:r>
      <w:r>
        <w:rPr>
          <w:bCs/>
          <w:highlight w:val="none"/>
          <w:lang w:val="zh-CN"/>
        </w:rPr>
        <w:instrText xml:space="preserve"> HYPERLINK \l _Toc13283 </w:instrText>
      </w:r>
      <w:r>
        <w:rPr>
          <w:bCs/>
          <w:highlight w:val="none"/>
          <w:lang w:val="zh-CN"/>
        </w:rPr>
        <w:fldChar w:fldCharType="separate"/>
      </w:r>
      <w:r>
        <w:rPr>
          <w:rFonts w:ascii="Times New Roman" w:hAnsi="Times New Roman" w:eastAsia="黑体" w:cs="宋体"/>
          <w:szCs w:val="20"/>
          <w:highlight w:val="none"/>
        </w:rPr>
        <w:t>1.13工程量清单错误的修正</w:t>
      </w:r>
      <w:r>
        <w:tab/>
      </w:r>
      <w:r>
        <w:fldChar w:fldCharType="begin"/>
      </w:r>
      <w:r>
        <w:instrText xml:space="preserve"> PAGEREF _Toc13283 \h </w:instrText>
      </w:r>
      <w:r>
        <w:fldChar w:fldCharType="separate"/>
      </w:r>
      <w:r>
        <w:t>1</w:t>
      </w:r>
      <w:r>
        <w:fldChar w:fldCharType="end"/>
      </w:r>
      <w:r>
        <w:rPr>
          <w:bCs/>
          <w:color w:val="auto"/>
          <w:highlight w:val="none"/>
          <w:lang w:val="zh-CN"/>
        </w:rPr>
        <w:fldChar w:fldCharType="end"/>
      </w:r>
    </w:p>
    <w:p w14:paraId="0E362D20">
      <w:pPr>
        <w:pStyle w:val="13"/>
        <w:tabs>
          <w:tab w:val="right" w:leader="dot" w:pos="8290"/>
        </w:tabs>
      </w:pPr>
      <w:r>
        <w:rPr>
          <w:bCs/>
          <w:color w:val="auto"/>
          <w:highlight w:val="none"/>
          <w:lang w:val="zh-CN"/>
        </w:rPr>
        <w:fldChar w:fldCharType="begin"/>
      </w:r>
      <w:r>
        <w:rPr>
          <w:bCs/>
          <w:highlight w:val="none"/>
          <w:lang w:val="zh-CN"/>
        </w:rPr>
        <w:instrText xml:space="preserve"> HYPERLINK \l _Toc30934 </w:instrText>
      </w:r>
      <w:r>
        <w:rPr>
          <w:bCs/>
          <w:highlight w:val="none"/>
          <w:lang w:val="zh-CN"/>
        </w:rPr>
        <w:fldChar w:fldCharType="separate"/>
      </w:r>
      <w:r>
        <w:rPr>
          <w:rFonts w:ascii="Times New Roman" w:hAnsi="Times New Roman" w:eastAsia="黑体" w:cs="宋体"/>
          <w:szCs w:val="20"/>
          <w:highlight w:val="none"/>
        </w:rPr>
        <w:t>2. 发包人</w:t>
      </w:r>
      <w:r>
        <w:tab/>
      </w:r>
      <w:r>
        <w:fldChar w:fldCharType="begin"/>
      </w:r>
      <w:r>
        <w:instrText xml:space="preserve"> PAGEREF _Toc30934 \h </w:instrText>
      </w:r>
      <w:r>
        <w:fldChar w:fldCharType="separate"/>
      </w:r>
      <w:r>
        <w:t>1</w:t>
      </w:r>
      <w:r>
        <w:fldChar w:fldCharType="end"/>
      </w:r>
      <w:r>
        <w:rPr>
          <w:bCs/>
          <w:color w:val="auto"/>
          <w:highlight w:val="none"/>
          <w:lang w:val="zh-CN"/>
        </w:rPr>
        <w:fldChar w:fldCharType="end"/>
      </w:r>
    </w:p>
    <w:p w14:paraId="41BCBB4F">
      <w:pPr>
        <w:pStyle w:val="8"/>
        <w:tabs>
          <w:tab w:val="right" w:leader="dot" w:pos="8290"/>
        </w:tabs>
      </w:pPr>
      <w:r>
        <w:rPr>
          <w:bCs/>
          <w:color w:val="auto"/>
          <w:highlight w:val="none"/>
          <w:lang w:val="zh-CN"/>
        </w:rPr>
        <w:fldChar w:fldCharType="begin"/>
      </w:r>
      <w:r>
        <w:rPr>
          <w:bCs/>
          <w:highlight w:val="none"/>
          <w:lang w:val="zh-CN"/>
        </w:rPr>
        <w:instrText xml:space="preserve"> HYPERLINK \l _Toc4265 </w:instrText>
      </w:r>
      <w:r>
        <w:rPr>
          <w:bCs/>
          <w:highlight w:val="none"/>
          <w:lang w:val="zh-CN"/>
        </w:rPr>
        <w:fldChar w:fldCharType="separate"/>
      </w:r>
      <w:r>
        <w:rPr>
          <w:rFonts w:ascii="Times New Roman" w:hAnsi="Times New Roman" w:eastAsia="黑体" w:cs="宋体"/>
          <w:szCs w:val="20"/>
          <w:highlight w:val="none"/>
        </w:rPr>
        <w:t>2.1 许可或批准</w:t>
      </w:r>
      <w:r>
        <w:tab/>
      </w:r>
      <w:r>
        <w:fldChar w:fldCharType="begin"/>
      </w:r>
      <w:r>
        <w:instrText xml:space="preserve"> PAGEREF _Toc4265 \h </w:instrText>
      </w:r>
      <w:r>
        <w:fldChar w:fldCharType="separate"/>
      </w:r>
      <w:r>
        <w:t>1</w:t>
      </w:r>
      <w:r>
        <w:fldChar w:fldCharType="end"/>
      </w:r>
      <w:r>
        <w:rPr>
          <w:bCs/>
          <w:color w:val="auto"/>
          <w:highlight w:val="none"/>
          <w:lang w:val="zh-CN"/>
        </w:rPr>
        <w:fldChar w:fldCharType="end"/>
      </w:r>
    </w:p>
    <w:p w14:paraId="1346ADEA">
      <w:pPr>
        <w:pStyle w:val="8"/>
        <w:tabs>
          <w:tab w:val="right" w:leader="dot" w:pos="8290"/>
        </w:tabs>
      </w:pPr>
      <w:r>
        <w:rPr>
          <w:bCs/>
          <w:color w:val="auto"/>
          <w:highlight w:val="none"/>
          <w:lang w:val="zh-CN"/>
        </w:rPr>
        <w:fldChar w:fldCharType="begin"/>
      </w:r>
      <w:r>
        <w:rPr>
          <w:bCs/>
          <w:highlight w:val="none"/>
          <w:lang w:val="zh-CN"/>
        </w:rPr>
        <w:instrText xml:space="preserve"> HYPERLINK \l _Toc6362 </w:instrText>
      </w:r>
      <w:r>
        <w:rPr>
          <w:bCs/>
          <w:highlight w:val="none"/>
          <w:lang w:val="zh-CN"/>
        </w:rPr>
        <w:fldChar w:fldCharType="separate"/>
      </w:r>
      <w:r>
        <w:rPr>
          <w:rFonts w:ascii="Times New Roman" w:hAnsi="Times New Roman" w:eastAsia="黑体" w:cs="宋体"/>
          <w:szCs w:val="20"/>
          <w:highlight w:val="none"/>
        </w:rPr>
        <w:t>2.2 发包人代表</w:t>
      </w:r>
      <w:r>
        <w:tab/>
      </w:r>
      <w:r>
        <w:fldChar w:fldCharType="begin"/>
      </w:r>
      <w:r>
        <w:instrText xml:space="preserve"> PAGEREF _Toc6362 \h </w:instrText>
      </w:r>
      <w:r>
        <w:fldChar w:fldCharType="separate"/>
      </w:r>
      <w:r>
        <w:t>1</w:t>
      </w:r>
      <w:r>
        <w:fldChar w:fldCharType="end"/>
      </w:r>
      <w:r>
        <w:rPr>
          <w:bCs/>
          <w:color w:val="auto"/>
          <w:highlight w:val="none"/>
          <w:lang w:val="zh-CN"/>
        </w:rPr>
        <w:fldChar w:fldCharType="end"/>
      </w:r>
    </w:p>
    <w:p w14:paraId="37B7AA32">
      <w:pPr>
        <w:pStyle w:val="8"/>
        <w:tabs>
          <w:tab w:val="right" w:leader="dot" w:pos="8290"/>
        </w:tabs>
      </w:pPr>
      <w:r>
        <w:rPr>
          <w:bCs/>
          <w:color w:val="auto"/>
          <w:highlight w:val="none"/>
          <w:lang w:val="zh-CN"/>
        </w:rPr>
        <w:fldChar w:fldCharType="begin"/>
      </w:r>
      <w:r>
        <w:rPr>
          <w:bCs/>
          <w:highlight w:val="none"/>
          <w:lang w:val="zh-CN"/>
        </w:rPr>
        <w:instrText xml:space="preserve"> HYPERLINK \l _Toc17981 </w:instrText>
      </w:r>
      <w:r>
        <w:rPr>
          <w:bCs/>
          <w:highlight w:val="none"/>
          <w:lang w:val="zh-CN"/>
        </w:rPr>
        <w:fldChar w:fldCharType="separate"/>
      </w:r>
      <w:r>
        <w:rPr>
          <w:rFonts w:ascii="Times New Roman" w:hAnsi="Times New Roman" w:eastAsia="黑体" w:cs="宋体"/>
          <w:szCs w:val="20"/>
          <w:highlight w:val="none"/>
        </w:rPr>
        <w:t>2.3 发包人人员</w:t>
      </w:r>
      <w:r>
        <w:tab/>
      </w:r>
      <w:r>
        <w:fldChar w:fldCharType="begin"/>
      </w:r>
      <w:r>
        <w:instrText xml:space="preserve"> PAGEREF _Toc17981 \h </w:instrText>
      </w:r>
      <w:r>
        <w:fldChar w:fldCharType="separate"/>
      </w:r>
      <w:r>
        <w:t>1</w:t>
      </w:r>
      <w:r>
        <w:fldChar w:fldCharType="end"/>
      </w:r>
      <w:r>
        <w:rPr>
          <w:bCs/>
          <w:color w:val="auto"/>
          <w:highlight w:val="none"/>
          <w:lang w:val="zh-CN"/>
        </w:rPr>
        <w:fldChar w:fldCharType="end"/>
      </w:r>
    </w:p>
    <w:p w14:paraId="30FEF65A">
      <w:pPr>
        <w:pStyle w:val="8"/>
        <w:tabs>
          <w:tab w:val="right" w:leader="dot" w:pos="8290"/>
        </w:tabs>
      </w:pPr>
      <w:r>
        <w:rPr>
          <w:bCs/>
          <w:color w:val="auto"/>
          <w:highlight w:val="none"/>
          <w:lang w:val="zh-CN"/>
        </w:rPr>
        <w:fldChar w:fldCharType="begin"/>
      </w:r>
      <w:r>
        <w:rPr>
          <w:bCs/>
          <w:highlight w:val="none"/>
          <w:lang w:val="zh-CN"/>
        </w:rPr>
        <w:instrText xml:space="preserve"> HYPERLINK \l _Toc3424 </w:instrText>
      </w:r>
      <w:r>
        <w:rPr>
          <w:bCs/>
          <w:highlight w:val="none"/>
          <w:lang w:val="zh-CN"/>
        </w:rPr>
        <w:fldChar w:fldCharType="separate"/>
      </w:r>
      <w:r>
        <w:rPr>
          <w:rFonts w:ascii="Times New Roman" w:hAnsi="Times New Roman" w:eastAsia="黑体" w:cs="宋体"/>
          <w:szCs w:val="20"/>
          <w:highlight w:val="none"/>
        </w:rPr>
        <w:t>2.4 施工现场、施工条件和基础资料的提供</w:t>
      </w:r>
      <w:r>
        <w:tab/>
      </w:r>
      <w:r>
        <w:fldChar w:fldCharType="begin"/>
      </w:r>
      <w:r>
        <w:instrText xml:space="preserve"> PAGEREF _Toc3424 \h </w:instrText>
      </w:r>
      <w:r>
        <w:fldChar w:fldCharType="separate"/>
      </w:r>
      <w:r>
        <w:t>1</w:t>
      </w:r>
      <w:r>
        <w:fldChar w:fldCharType="end"/>
      </w:r>
      <w:r>
        <w:rPr>
          <w:bCs/>
          <w:color w:val="auto"/>
          <w:highlight w:val="none"/>
          <w:lang w:val="zh-CN"/>
        </w:rPr>
        <w:fldChar w:fldCharType="end"/>
      </w:r>
    </w:p>
    <w:p w14:paraId="713FE4CC">
      <w:pPr>
        <w:pStyle w:val="8"/>
        <w:tabs>
          <w:tab w:val="right" w:leader="dot" w:pos="8290"/>
        </w:tabs>
      </w:pPr>
      <w:r>
        <w:rPr>
          <w:bCs/>
          <w:color w:val="auto"/>
          <w:highlight w:val="none"/>
          <w:lang w:val="zh-CN"/>
        </w:rPr>
        <w:fldChar w:fldCharType="begin"/>
      </w:r>
      <w:r>
        <w:rPr>
          <w:bCs/>
          <w:highlight w:val="none"/>
          <w:lang w:val="zh-CN"/>
        </w:rPr>
        <w:instrText xml:space="preserve"> HYPERLINK \l _Toc9859 </w:instrText>
      </w:r>
      <w:r>
        <w:rPr>
          <w:bCs/>
          <w:highlight w:val="none"/>
          <w:lang w:val="zh-CN"/>
        </w:rPr>
        <w:fldChar w:fldCharType="separate"/>
      </w:r>
      <w:r>
        <w:rPr>
          <w:rFonts w:ascii="Times New Roman" w:hAnsi="Times New Roman" w:eastAsia="黑体" w:cs="宋体"/>
          <w:szCs w:val="20"/>
          <w:highlight w:val="none"/>
        </w:rPr>
        <w:t>2.5 资金来源证明及支付担保</w:t>
      </w:r>
      <w:r>
        <w:tab/>
      </w:r>
      <w:r>
        <w:fldChar w:fldCharType="begin"/>
      </w:r>
      <w:r>
        <w:instrText xml:space="preserve"> PAGEREF _Toc9859 \h </w:instrText>
      </w:r>
      <w:r>
        <w:fldChar w:fldCharType="separate"/>
      </w:r>
      <w:r>
        <w:t>1</w:t>
      </w:r>
      <w:r>
        <w:fldChar w:fldCharType="end"/>
      </w:r>
      <w:r>
        <w:rPr>
          <w:bCs/>
          <w:color w:val="auto"/>
          <w:highlight w:val="none"/>
          <w:lang w:val="zh-CN"/>
        </w:rPr>
        <w:fldChar w:fldCharType="end"/>
      </w:r>
    </w:p>
    <w:p w14:paraId="5F3DEEAE">
      <w:pPr>
        <w:pStyle w:val="8"/>
        <w:tabs>
          <w:tab w:val="right" w:leader="dot" w:pos="8290"/>
        </w:tabs>
      </w:pPr>
      <w:r>
        <w:rPr>
          <w:bCs/>
          <w:color w:val="auto"/>
          <w:highlight w:val="none"/>
          <w:lang w:val="zh-CN"/>
        </w:rPr>
        <w:fldChar w:fldCharType="begin"/>
      </w:r>
      <w:r>
        <w:rPr>
          <w:bCs/>
          <w:highlight w:val="none"/>
          <w:lang w:val="zh-CN"/>
        </w:rPr>
        <w:instrText xml:space="preserve"> HYPERLINK \l _Toc14888 </w:instrText>
      </w:r>
      <w:r>
        <w:rPr>
          <w:bCs/>
          <w:highlight w:val="none"/>
          <w:lang w:val="zh-CN"/>
        </w:rPr>
        <w:fldChar w:fldCharType="separate"/>
      </w:r>
      <w:r>
        <w:rPr>
          <w:rFonts w:ascii="Times New Roman" w:hAnsi="Times New Roman" w:eastAsia="黑体" w:cs="宋体"/>
          <w:szCs w:val="20"/>
          <w:highlight w:val="none"/>
        </w:rPr>
        <w:t>2.6 支付合同价款</w:t>
      </w:r>
      <w:r>
        <w:tab/>
      </w:r>
      <w:r>
        <w:fldChar w:fldCharType="begin"/>
      </w:r>
      <w:r>
        <w:instrText xml:space="preserve"> PAGEREF _Toc14888 \h </w:instrText>
      </w:r>
      <w:r>
        <w:fldChar w:fldCharType="separate"/>
      </w:r>
      <w:r>
        <w:t>1</w:t>
      </w:r>
      <w:r>
        <w:fldChar w:fldCharType="end"/>
      </w:r>
      <w:r>
        <w:rPr>
          <w:bCs/>
          <w:color w:val="auto"/>
          <w:highlight w:val="none"/>
          <w:lang w:val="zh-CN"/>
        </w:rPr>
        <w:fldChar w:fldCharType="end"/>
      </w:r>
    </w:p>
    <w:p w14:paraId="6269E6B9">
      <w:pPr>
        <w:pStyle w:val="8"/>
        <w:tabs>
          <w:tab w:val="right" w:leader="dot" w:pos="8290"/>
        </w:tabs>
      </w:pPr>
      <w:r>
        <w:rPr>
          <w:bCs/>
          <w:color w:val="auto"/>
          <w:highlight w:val="none"/>
          <w:lang w:val="zh-CN"/>
        </w:rPr>
        <w:fldChar w:fldCharType="begin"/>
      </w:r>
      <w:r>
        <w:rPr>
          <w:bCs/>
          <w:highlight w:val="none"/>
          <w:lang w:val="zh-CN"/>
        </w:rPr>
        <w:instrText xml:space="preserve"> HYPERLINK \l _Toc8701 </w:instrText>
      </w:r>
      <w:r>
        <w:rPr>
          <w:bCs/>
          <w:highlight w:val="none"/>
          <w:lang w:val="zh-CN"/>
        </w:rPr>
        <w:fldChar w:fldCharType="separate"/>
      </w:r>
      <w:r>
        <w:rPr>
          <w:rFonts w:ascii="Times New Roman" w:hAnsi="Times New Roman" w:eastAsia="黑体" w:cs="宋体"/>
          <w:szCs w:val="20"/>
          <w:highlight w:val="none"/>
        </w:rPr>
        <w:t>2.7 组织竣工验收</w:t>
      </w:r>
      <w:r>
        <w:tab/>
      </w:r>
      <w:r>
        <w:fldChar w:fldCharType="begin"/>
      </w:r>
      <w:r>
        <w:instrText xml:space="preserve"> PAGEREF _Toc8701 \h </w:instrText>
      </w:r>
      <w:r>
        <w:fldChar w:fldCharType="separate"/>
      </w:r>
      <w:r>
        <w:t>1</w:t>
      </w:r>
      <w:r>
        <w:fldChar w:fldCharType="end"/>
      </w:r>
      <w:r>
        <w:rPr>
          <w:bCs/>
          <w:color w:val="auto"/>
          <w:highlight w:val="none"/>
          <w:lang w:val="zh-CN"/>
        </w:rPr>
        <w:fldChar w:fldCharType="end"/>
      </w:r>
    </w:p>
    <w:p w14:paraId="27853335">
      <w:pPr>
        <w:pStyle w:val="8"/>
        <w:tabs>
          <w:tab w:val="right" w:leader="dot" w:pos="8290"/>
        </w:tabs>
      </w:pPr>
      <w:r>
        <w:rPr>
          <w:bCs/>
          <w:color w:val="auto"/>
          <w:highlight w:val="none"/>
          <w:lang w:val="zh-CN"/>
        </w:rPr>
        <w:fldChar w:fldCharType="begin"/>
      </w:r>
      <w:r>
        <w:rPr>
          <w:bCs/>
          <w:highlight w:val="none"/>
          <w:lang w:val="zh-CN"/>
        </w:rPr>
        <w:instrText xml:space="preserve"> HYPERLINK \l _Toc614 </w:instrText>
      </w:r>
      <w:r>
        <w:rPr>
          <w:bCs/>
          <w:highlight w:val="none"/>
          <w:lang w:val="zh-CN"/>
        </w:rPr>
        <w:fldChar w:fldCharType="separate"/>
      </w:r>
      <w:r>
        <w:rPr>
          <w:rFonts w:ascii="Times New Roman" w:hAnsi="Times New Roman" w:eastAsia="黑体" w:cs="宋体"/>
          <w:szCs w:val="20"/>
          <w:highlight w:val="none"/>
        </w:rPr>
        <w:t>2.8 现场统一管理协议</w:t>
      </w:r>
      <w:r>
        <w:tab/>
      </w:r>
      <w:r>
        <w:fldChar w:fldCharType="begin"/>
      </w:r>
      <w:r>
        <w:instrText xml:space="preserve"> PAGEREF _Toc614 \h </w:instrText>
      </w:r>
      <w:r>
        <w:fldChar w:fldCharType="separate"/>
      </w:r>
      <w:r>
        <w:t>1</w:t>
      </w:r>
      <w:r>
        <w:fldChar w:fldCharType="end"/>
      </w:r>
      <w:r>
        <w:rPr>
          <w:bCs/>
          <w:color w:val="auto"/>
          <w:highlight w:val="none"/>
          <w:lang w:val="zh-CN"/>
        </w:rPr>
        <w:fldChar w:fldCharType="end"/>
      </w:r>
    </w:p>
    <w:p w14:paraId="6DC49453">
      <w:pPr>
        <w:pStyle w:val="13"/>
        <w:tabs>
          <w:tab w:val="right" w:leader="dot" w:pos="8290"/>
        </w:tabs>
      </w:pPr>
      <w:r>
        <w:rPr>
          <w:bCs/>
          <w:color w:val="auto"/>
          <w:highlight w:val="none"/>
          <w:lang w:val="zh-CN"/>
        </w:rPr>
        <w:fldChar w:fldCharType="begin"/>
      </w:r>
      <w:r>
        <w:rPr>
          <w:bCs/>
          <w:highlight w:val="none"/>
          <w:lang w:val="zh-CN"/>
        </w:rPr>
        <w:instrText xml:space="preserve"> HYPERLINK \l _Toc22751 </w:instrText>
      </w:r>
      <w:r>
        <w:rPr>
          <w:bCs/>
          <w:highlight w:val="none"/>
          <w:lang w:val="zh-CN"/>
        </w:rPr>
        <w:fldChar w:fldCharType="separate"/>
      </w:r>
      <w:r>
        <w:rPr>
          <w:rFonts w:ascii="Times New Roman" w:hAnsi="Times New Roman" w:eastAsia="黑体" w:cs="宋体"/>
          <w:szCs w:val="20"/>
          <w:highlight w:val="none"/>
        </w:rPr>
        <w:t>3. 承包人</w:t>
      </w:r>
      <w:r>
        <w:tab/>
      </w:r>
      <w:r>
        <w:fldChar w:fldCharType="begin"/>
      </w:r>
      <w:r>
        <w:instrText xml:space="preserve"> PAGEREF _Toc22751 \h </w:instrText>
      </w:r>
      <w:r>
        <w:fldChar w:fldCharType="separate"/>
      </w:r>
      <w:r>
        <w:t>1</w:t>
      </w:r>
      <w:r>
        <w:fldChar w:fldCharType="end"/>
      </w:r>
      <w:r>
        <w:rPr>
          <w:bCs/>
          <w:color w:val="auto"/>
          <w:highlight w:val="none"/>
          <w:lang w:val="zh-CN"/>
        </w:rPr>
        <w:fldChar w:fldCharType="end"/>
      </w:r>
    </w:p>
    <w:p w14:paraId="53BCF4E2">
      <w:pPr>
        <w:pStyle w:val="8"/>
        <w:tabs>
          <w:tab w:val="right" w:leader="dot" w:pos="8290"/>
        </w:tabs>
      </w:pPr>
      <w:r>
        <w:rPr>
          <w:bCs/>
          <w:color w:val="auto"/>
          <w:highlight w:val="none"/>
          <w:lang w:val="zh-CN"/>
        </w:rPr>
        <w:fldChar w:fldCharType="begin"/>
      </w:r>
      <w:r>
        <w:rPr>
          <w:bCs/>
          <w:highlight w:val="none"/>
          <w:lang w:val="zh-CN"/>
        </w:rPr>
        <w:instrText xml:space="preserve"> HYPERLINK \l _Toc28678 </w:instrText>
      </w:r>
      <w:r>
        <w:rPr>
          <w:bCs/>
          <w:highlight w:val="none"/>
          <w:lang w:val="zh-CN"/>
        </w:rPr>
        <w:fldChar w:fldCharType="separate"/>
      </w:r>
      <w:r>
        <w:rPr>
          <w:rFonts w:ascii="Times New Roman" w:hAnsi="Times New Roman" w:eastAsia="黑体" w:cs="宋体"/>
          <w:szCs w:val="20"/>
          <w:highlight w:val="none"/>
        </w:rPr>
        <w:t>3.1 承包人的一般义务</w:t>
      </w:r>
      <w:r>
        <w:tab/>
      </w:r>
      <w:r>
        <w:fldChar w:fldCharType="begin"/>
      </w:r>
      <w:r>
        <w:instrText xml:space="preserve"> PAGEREF _Toc28678 \h </w:instrText>
      </w:r>
      <w:r>
        <w:fldChar w:fldCharType="separate"/>
      </w:r>
      <w:r>
        <w:t>1</w:t>
      </w:r>
      <w:r>
        <w:fldChar w:fldCharType="end"/>
      </w:r>
      <w:r>
        <w:rPr>
          <w:bCs/>
          <w:color w:val="auto"/>
          <w:highlight w:val="none"/>
          <w:lang w:val="zh-CN"/>
        </w:rPr>
        <w:fldChar w:fldCharType="end"/>
      </w:r>
    </w:p>
    <w:p w14:paraId="2D989A45">
      <w:pPr>
        <w:pStyle w:val="8"/>
        <w:tabs>
          <w:tab w:val="right" w:leader="dot" w:pos="8290"/>
        </w:tabs>
      </w:pPr>
      <w:r>
        <w:rPr>
          <w:bCs/>
          <w:color w:val="auto"/>
          <w:highlight w:val="none"/>
          <w:lang w:val="zh-CN"/>
        </w:rPr>
        <w:fldChar w:fldCharType="begin"/>
      </w:r>
      <w:r>
        <w:rPr>
          <w:bCs/>
          <w:highlight w:val="none"/>
          <w:lang w:val="zh-CN"/>
        </w:rPr>
        <w:instrText xml:space="preserve"> HYPERLINK \l _Toc5580 </w:instrText>
      </w:r>
      <w:r>
        <w:rPr>
          <w:bCs/>
          <w:highlight w:val="none"/>
          <w:lang w:val="zh-CN"/>
        </w:rPr>
        <w:fldChar w:fldCharType="separate"/>
      </w:r>
      <w:r>
        <w:rPr>
          <w:rFonts w:ascii="Times New Roman" w:hAnsi="Times New Roman" w:eastAsia="黑体" w:cs="宋体"/>
          <w:szCs w:val="20"/>
          <w:highlight w:val="none"/>
        </w:rPr>
        <w:t>3.2 项目经理</w:t>
      </w:r>
      <w:r>
        <w:tab/>
      </w:r>
      <w:r>
        <w:fldChar w:fldCharType="begin"/>
      </w:r>
      <w:r>
        <w:instrText xml:space="preserve"> PAGEREF _Toc5580 \h </w:instrText>
      </w:r>
      <w:r>
        <w:fldChar w:fldCharType="separate"/>
      </w:r>
      <w:r>
        <w:t>1</w:t>
      </w:r>
      <w:r>
        <w:fldChar w:fldCharType="end"/>
      </w:r>
      <w:r>
        <w:rPr>
          <w:bCs/>
          <w:color w:val="auto"/>
          <w:highlight w:val="none"/>
          <w:lang w:val="zh-CN"/>
        </w:rPr>
        <w:fldChar w:fldCharType="end"/>
      </w:r>
    </w:p>
    <w:p w14:paraId="43F030B6">
      <w:pPr>
        <w:pStyle w:val="8"/>
        <w:tabs>
          <w:tab w:val="right" w:leader="dot" w:pos="8290"/>
        </w:tabs>
      </w:pPr>
      <w:r>
        <w:rPr>
          <w:bCs/>
          <w:color w:val="auto"/>
          <w:highlight w:val="none"/>
          <w:lang w:val="zh-CN"/>
        </w:rPr>
        <w:fldChar w:fldCharType="begin"/>
      </w:r>
      <w:r>
        <w:rPr>
          <w:bCs/>
          <w:highlight w:val="none"/>
          <w:lang w:val="zh-CN"/>
        </w:rPr>
        <w:instrText xml:space="preserve"> HYPERLINK \l _Toc29179 </w:instrText>
      </w:r>
      <w:r>
        <w:rPr>
          <w:bCs/>
          <w:highlight w:val="none"/>
          <w:lang w:val="zh-CN"/>
        </w:rPr>
        <w:fldChar w:fldCharType="separate"/>
      </w:r>
      <w:r>
        <w:rPr>
          <w:rFonts w:ascii="Times New Roman" w:hAnsi="Times New Roman" w:eastAsia="黑体" w:cs="宋体"/>
          <w:szCs w:val="20"/>
          <w:highlight w:val="none"/>
        </w:rPr>
        <w:t>3.3 承包人人员</w:t>
      </w:r>
      <w:r>
        <w:tab/>
      </w:r>
      <w:r>
        <w:fldChar w:fldCharType="begin"/>
      </w:r>
      <w:r>
        <w:instrText xml:space="preserve"> PAGEREF _Toc29179 \h </w:instrText>
      </w:r>
      <w:r>
        <w:fldChar w:fldCharType="separate"/>
      </w:r>
      <w:r>
        <w:t>1</w:t>
      </w:r>
      <w:r>
        <w:fldChar w:fldCharType="end"/>
      </w:r>
      <w:r>
        <w:rPr>
          <w:bCs/>
          <w:color w:val="auto"/>
          <w:highlight w:val="none"/>
          <w:lang w:val="zh-CN"/>
        </w:rPr>
        <w:fldChar w:fldCharType="end"/>
      </w:r>
    </w:p>
    <w:p w14:paraId="379A9545">
      <w:pPr>
        <w:pStyle w:val="8"/>
        <w:tabs>
          <w:tab w:val="right" w:leader="dot" w:pos="8290"/>
        </w:tabs>
      </w:pPr>
      <w:r>
        <w:rPr>
          <w:bCs/>
          <w:color w:val="auto"/>
          <w:highlight w:val="none"/>
          <w:lang w:val="zh-CN"/>
        </w:rPr>
        <w:fldChar w:fldCharType="begin"/>
      </w:r>
      <w:r>
        <w:rPr>
          <w:bCs/>
          <w:highlight w:val="none"/>
          <w:lang w:val="zh-CN"/>
        </w:rPr>
        <w:instrText xml:space="preserve"> HYPERLINK \l _Toc1881 </w:instrText>
      </w:r>
      <w:r>
        <w:rPr>
          <w:bCs/>
          <w:highlight w:val="none"/>
          <w:lang w:val="zh-CN"/>
        </w:rPr>
        <w:fldChar w:fldCharType="separate"/>
      </w:r>
      <w:r>
        <w:rPr>
          <w:rFonts w:ascii="Times New Roman" w:hAnsi="Times New Roman" w:eastAsia="黑体" w:cs="宋体"/>
          <w:szCs w:val="20"/>
          <w:highlight w:val="none"/>
        </w:rPr>
        <w:t>3.4 承包人现场查勘</w:t>
      </w:r>
      <w:r>
        <w:tab/>
      </w:r>
      <w:r>
        <w:fldChar w:fldCharType="begin"/>
      </w:r>
      <w:r>
        <w:instrText xml:space="preserve"> PAGEREF _Toc1881 \h </w:instrText>
      </w:r>
      <w:r>
        <w:fldChar w:fldCharType="separate"/>
      </w:r>
      <w:r>
        <w:t>1</w:t>
      </w:r>
      <w:r>
        <w:fldChar w:fldCharType="end"/>
      </w:r>
      <w:r>
        <w:rPr>
          <w:bCs/>
          <w:color w:val="auto"/>
          <w:highlight w:val="none"/>
          <w:lang w:val="zh-CN"/>
        </w:rPr>
        <w:fldChar w:fldCharType="end"/>
      </w:r>
    </w:p>
    <w:p w14:paraId="11F448CE">
      <w:pPr>
        <w:pStyle w:val="8"/>
        <w:tabs>
          <w:tab w:val="right" w:leader="dot" w:pos="8290"/>
        </w:tabs>
      </w:pPr>
      <w:r>
        <w:rPr>
          <w:bCs/>
          <w:color w:val="auto"/>
          <w:highlight w:val="none"/>
          <w:lang w:val="zh-CN"/>
        </w:rPr>
        <w:fldChar w:fldCharType="begin"/>
      </w:r>
      <w:r>
        <w:rPr>
          <w:bCs/>
          <w:highlight w:val="none"/>
          <w:lang w:val="zh-CN"/>
        </w:rPr>
        <w:instrText xml:space="preserve"> HYPERLINK \l _Toc21039 </w:instrText>
      </w:r>
      <w:r>
        <w:rPr>
          <w:bCs/>
          <w:highlight w:val="none"/>
          <w:lang w:val="zh-CN"/>
        </w:rPr>
        <w:fldChar w:fldCharType="separate"/>
      </w:r>
      <w:r>
        <w:rPr>
          <w:rFonts w:ascii="Times New Roman" w:hAnsi="Times New Roman" w:eastAsia="黑体" w:cs="宋体"/>
          <w:szCs w:val="20"/>
          <w:highlight w:val="none"/>
        </w:rPr>
        <w:t>3.5 分包</w:t>
      </w:r>
      <w:r>
        <w:tab/>
      </w:r>
      <w:r>
        <w:fldChar w:fldCharType="begin"/>
      </w:r>
      <w:r>
        <w:instrText xml:space="preserve"> PAGEREF _Toc21039 \h </w:instrText>
      </w:r>
      <w:r>
        <w:fldChar w:fldCharType="separate"/>
      </w:r>
      <w:r>
        <w:t>1</w:t>
      </w:r>
      <w:r>
        <w:fldChar w:fldCharType="end"/>
      </w:r>
      <w:r>
        <w:rPr>
          <w:bCs/>
          <w:color w:val="auto"/>
          <w:highlight w:val="none"/>
          <w:lang w:val="zh-CN"/>
        </w:rPr>
        <w:fldChar w:fldCharType="end"/>
      </w:r>
    </w:p>
    <w:p w14:paraId="40C6D728">
      <w:pPr>
        <w:pStyle w:val="8"/>
        <w:tabs>
          <w:tab w:val="right" w:leader="dot" w:pos="8290"/>
        </w:tabs>
      </w:pPr>
      <w:r>
        <w:rPr>
          <w:bCs/>
          <w:color w:val="auto"/>
          <w:highlight w:val="none"/>
          <w:lang w:val="zh-CN"/>
        </w:rPr>
        <w:fldChar w:fldCharType="begin"/>
      </w:r>
      <w:r>
        <w:rPr>
          <w:bCs/>
          <w:highlight w:val="none"/>
          <w:lang w:val="zh-CN"/>
        </w:rPr>
        <w:instrText xml:space="preserve"> HYPERLINK \l _Toc30410 </w:instrText>
      </w:r>
      <w:r>
        <w:rPr>
          <w:bCs/>
          <w:highlight w:val="none"/>
          <w:lang w:val="zh-CN"/>
        </w:rPr>
        <w:fldChar w:fldCharType="separate"/>
      </w:r>
      <w:r>
        <w:rPr>
          <w:rFonts w:ascii="Times New Roman" w:hAnsi="Times New Roman" w:eastAsia="黑体" w:cs="宋体"/>
          <w:szCs w:val="20"/>
          <w:highlight w:val="none"/>
        </w:rPr>
        <w:t>3.6 工程照管与成品、半成品保护</w:t>
      </w:r>
      <w:r>
        <w:tab/>
      </w:r>
      <w:r>
        <w:fldChar w:fldCharType="begin"/>
      </w:r>
      <w:r>
        <w:instrText xml:space="preserve"> PAGEREF _Toc30410 \h </w:instrText>
      </w:r>
      <w:r>
        <w:fldChar w:fldCharType="separate"/>
      </w:r>
      <w:r>
        <w:t>1</w:t>
      </w:r>
      <w:r>
        <w:fldChar w:fldCharType="end"/>
      </w:r>
      <w:r>
        <w:rPr>
          <w:bCs/>
          <w:color w:val="auto"/>
          <w:highlight w:val="none"/>
          <w:lang w:val="zh-CN"/>
        </w:rPr>
        <w:fldChar w:fldCharType="end"/>
      </w:r>
    </w:p>
    <w:p w14:paraId="23D32068">
      <w:pPr>
        <w:pStyle w:val="8"/>
        <w:tabs>
          <w:tab w:val="right" w:leader="dot" w:pos="8290"/>
        </w:tabs>
      </w:pPr>
      <w:r>
        <w:rPr>
          <w:bCs/>
          <w:color w:val="auto"/>
          <w:highlight w:val="none"/>
          <w:lang w:val="zh-CN"/>
        </w:rPr>
        <w:fldChar w:fldCharType="begin"/>
      </w:r>
      <w:r>
        <w:rPr>
          <w:bCs/>
          <w:highlight w:val="none"/>
          <w:lang w:val="zh-CN"/>
        </w:rPr>
        <w:instrText xml:space="preserve"> HYPERLINK \l _Toc18384 </w:instrText>
      </w:r>
      <w:r>
        <w:rPr>
          <w:bCs/>
          <w:highlight w:val="none"/>
          <w:lang w:val="zh-CN"/>
        </w:rPr>
        <w:fldChar w:fldCharType="separate"/>
      </w:r>
      <w:r>
        <w:rPr>
          <w:rFonts w:ascii="Times New Roman" w:hAnsi="Times New Roman" w:eastAsia="黑体" w:cs="宋体"/>
          <w:szCs w:val="20"/>
          <w:highlight w:val="none"/>
        </w:rPr>
        <w:t>3.7 履约担保</w:t>
      </w:r>
      <w:r>
        <w:tab/>
      </w:r>
      <w:r>
        <w:fldChar w:fldCharType="begin"/>
      </w:r>
      <w:r>
        <w:instrText xml:space="preserve"> PAGEREF _Toc18384 \h </w:instrText>
      </w:r>
      <w:r>
        <w:fldChar w:fldCharType="separate"/>
      </w:r>
      <w:r>
        <w:t>1</w:t>
      </w:r>
      <w:r>
        <w:fldChar w:fldCharType="end"/>
      </w:r>
      <w:r>
        <w:rPr>
          <w:bCs/>
          <w:color w:val="auto"/>
          <w:highlight w:val="none"/>
          <w:lang w:val="zh-CN"/>
        </w:rPr>
        <w:fldChar w:fldCharType="end"/>
      </w:r>
    </w:p>
    <w:p w14:paraId="4F41CBB6">
      <w:pPr>
        <w:pStyle w:val="8"/>
        <w:tabs>
          <w:tab w:val="right" w:leader="dot" w:pos="8290"/>
        </w:tabs>
      </w:pPr>
      <w:r>
        <w:rPr>
          <w:bCs/>
          <w:color w:val="auto"/>
          <w:highlight w:val="none"/>
          <w:lang w:val="zh-CN"/>
        </w:rPr>
        <w:fldChar w:fldCharType="begin"/>
      </w:r>
      <w:r>
        <w:rPr>
          <w:bCs/>
          <w:highlight w:val="none"/>
          <w:lang w:val="zh-CN"/>
        </w:rPr>
        <w:instrText xml:space="preserve"> HYPERLINK \l _Toc28076 </w:instrText>
      </w:r>
      <w:r>
        <w:rPr>
          <w:bCs/>
          <w:highlight w:val="none"/>
          <w:lang w:val="zh-CN"/>
        </w:rPr>
        <w:fldChar w:fldCharType="separate"/>
      </w:r>
      <w:r>
        <w:rPr>
          <w:rFonts w:ascii="Times New Roman" w:hAnsi="Times New Roman" w:eastAsia="黑体" w:cs="宋体"/>
          <w:szCs w:val="20"/>
          <w:highlight w:val="none"/>
        </w:rPr>
        <w:t>3.8 联合体</w:t>
      </w:r>
      <w:r>
        <w:tab/>
      </w:r>
      <w:r>
        <w:fldChar w:fldCharType="begin"/>
      </w:r>
      <w:r>
        <w:instrText xml:space="preserve"> PAGEREF _Toc28076 \h </w:instrText>
      </w:r>
      <w:r>
        <w:fldChar w:fldCharType="separate"/>
      </w:r>
      <w:r>
        <w:t>1</w:t>
      </w:r>
      <w:r>
        <w:fldChar w:fldCharType="end"/>
      </w:r>
      <w:r>
        <w:rPr>
          <w:bCs/>
          <w:color w:val="auto"/>
          <w:highlight w:val="none"/>
          <w:lang w:val="zh-CN"/>
        </w:rPr>
        <w:fldChar w:fldCharType="end"/>
      </w:r>
    </w:p>
    <w:p w14:paraId="5CE76D47">
      <w:pPr>
        <w:pStyle w:val="13"/>
        <w:tabs>
          <w:tab w:val="right" w:leader="dot" w:pos="8290"/>
        </w:tabs>
      </w:pPr>
      <w:r>
        <w:rPr>
          <w:bCs/>
          <w:color w:val="auto"/>
          <w:highlight w:val="none"/>
          <w:lang w:val="zh-CN"/>
        </w:rPr>
        <w:fldChar w:fldCharType="begin"/>
      </w:r>
      <w:r>
        <w:rPr>
          <w:bCs/>
          <w:highlight w:val="none"/>
          <w:lang w:val="zh-CN"/>
        </w:rPr>
        <w:instrText xml:space="preserve"> HYPERLINK \l _Toc28929 </w:instrText>
      </w:r>
      <w:r>
        <w:rPr>
          <w:bCs/>
          <w:highlight w:val="none"/>
          <w:lang w:val="zh-CN"/>
        </w:rPr>
        <w:fldChar w:fldCharType="separate"/>
      </w:r>
      <w:r>
        <w:rPr>
          <w:rFonts w:ascii="Times New Roman" w:hAnsi="Times New Roman" w:eastAsia="黑体" w:cs="宋体"/>
          <w:szCs w:val="20"/>
          <w:highlight w:val="none"/>
        </w:rPr>
        <w:t>4. 监理人</w:t>
      </w:r>
      <w:r>
        <w:tab/>
      </w:r>
      <w:r>
        <w:fldChar w:fldCharType="begin"/>
      </w:r>
      <w:r>
        <w:instrText xml:space="preserve"> PAGEREF _Toc28929 \h </w:instrText>
      </w:r>
      <w:r>
        <w:fldChar w:fldCharType="separate"/>
      </w:r>
      <w:r>
        <w:t>1</w:t>
      </w:r>
      <w:r>
        <w:fldChar w:fldCharType="end"/>
      </w:r>
      <w:r>
        <w:rPr>
          <w:bCs/>
          <w:color w:val="auto"/>
          <w:highlight w:val="none"/>
          <w:lang w:val="zh-CN"/>
        </w:rPr>
        <w:fldChar w:fldCharType="end"/>
      </w:r>
    </w:p>
    <w:p w14:paraId="37393C40">
      <w:pPr>
        <w:pStyle w:val="8"/>
        <w:tabs>
          <w:tab w:val="right" w:leader="dot" w:pos="8290"/>
        </w:tabs>
      </w:pPr>
      <w:r>
        <w:rPr>
          <w:bCs/>
          <w:color w:val="auto"/>
          <w:highlight w:val="none"/>
          <w:lang w:val="zh-CN"/>
        </w:rPr>
        <w:fldChar w:fldCharType="begin"/>
      </w:r>
      <w:r>
        <w:rPr>
          <w:bCs/>
          <w:highlight w:val="none"/>
          <w:lang w:val="zh-CN"/>
        </w:rPr>
        <w:instrText xml:space="preserve"> HYPERLINK \l _Toc2353 </w:instrText>
      </w:r>
      <w:r>
        <w:rPr>
          <w:bCs/>
          <w:highlight w:val="none"/>
          <w:lang w:val="zh-CN"/>
        </w:rPr>
        <w:fldChar w:fldCharType="separate"/>
      </w:r>
      <w:r>
        <w:rPr>
          <w:rFonts w:ascii="Times New Roman" w:hAnsi="Times New Roman" w:eastAsia="黑体" w:cs="宋体"/>
          <w:szCs w:val="20"/>
          <w:highlight w:val="none"/>
        </w:rPr>
        <w:t>4.1监理人的一般规定</w:t>
      </w:r>
      <w:r>
        <w:tab/>
      </w:r>
      <w:r>
        <w:fldChar w:fldCharType="begin"/>
      </w:r>
      <w:r>
        <w:instrText xml:space="preserve"> PAGEREF _Toc2353 \h </w:instrText>
      </w:r>
      <w:r>
        <w:fldChar w:fldCharType="separate"/>
      </w:r>
      <w:r>
        <w:t>1</w:t>
      </w:r>
      <w:r>
        <w:fldChar w:fldCharType="end"/>
      </w:r>
      <w:r>
        <w:rPr>
          <w:bCs/>
          <w:color w:val="auto"/>
          <w:highlight w:val="none"/>
          <w:lang w:val="zh-CN"/>
        </w:rPr>
        <w:fldChar w:fldCharType="end"/>
      </w:r>
    </w:p>
    <w:p w14:paraId="602699A4">
      <w:pPr>
        <w:pStyle w:val="8"/>
        <w:tabs>
          <w:tab w:val="right" w:leader="dot" w:pos="8290"/>
        </w:tabs>
      </w:pPr>
      <w:r>
        <w:rPr>
          <w:bCs/>
          <w:color w:val="auto"/>
          <w:highlight w:val="none"/>
          <w:lang w:val="zh-CN"/>
        </w:rPr>
        <w:fldChar w:fldCharType="begin"/>
      </w:r>
      <w:r>
        <w:rPr>
          <w:bCs/>
          <w:highlight w:val="none"/>
          <w:lang w:val="zh-CN"/>
        </w:rPr>
        <w:instrText xml:space="preserve"> HYPERLINK \l _Toc5962 </w:instrText>
      </w:r>
      <w:r>
        <w:rPr>
          <w:bCs/>
          <w:highlight w:val="none"/>
          <w:lang w:val="zh-CN"/>
        </w:rPr>
        <w:fldChar w:fldCharType="separate"/>
      </w:r>
      <w:r>
        <w:rPr>
          <w:rFonts w:ascii="Times New Roman" w:hAnsi="Times New Roman" w:eastAsia="黑体" w:cs="宋体"/>
          <w:szCs w:val="20"/>
          <w:highlight w:val="none"/>
        </w:rPr>
        <w:t>4.2监理人员</w:t>
      </w:r>
      <w:r>
        <w:tab/>
      </w:r>
      <w:r>
        <w:fldChar w:fldCharType="begin"/>
      </w:r>
      <w:r>
        <w:instrText xml:space="preserve"> PAGEREF _Toc5962 \h </w:instrText>
      </w:r>
      <w:r>
        <w:fldChar w:fldCharType="separate"/>
      </w:r>
      <w:r>
        <w:t>1</w:t>
      </w:r>
      <w:r>
        <w:fldChar w:fldCharType="end"/>
      </w:r>
      <w:r>
        <w:rPr>
          <w:bCs/>
          <w:color w:val="auto"/>
          <w:highlight w:val="none"/>
          <w:lang w:val="zh-CN"/>
        </w:rPr>
        <w:fldChar w:fldCharType="end"/>
      </w:r>
    </w:p>
    <w:p w14:paraId="2B025D04">
      <w:pPr>
        <w:pStyle w:val="8"/>
        <w:tabs>
          <w:tab w:val="right" w:leader="dot" w:pos="8290"/>
        </w:tabs>
      </w:pPr>
      <w:r>
        <w:rPr>
          <w:bCs/>
          <w:color w:val="auto"/>
          <w:highlight w:val="none"/>
          <w:lang w:val="zh-CN"/>
        </w:rPr>
        <w:fldChar w:fldCharType="begin"/>
      </w:r>
      <w:r>
        <w:rPr>
          <w:bCs/>
          <w:highlight w:val="none"/>
          <w:lang w:val="zh-CN"/>
        </w:rPr>
        <w:instrText xml:space="preserve"> HYPERLINK \l _Toc29048 </w:instrText>
      </w:r>
      <w:r>
        <w:rPr>
          <w:bCs/>
          <w:highlight w:val="none"/>
          <w:lang w:val="zh-CN"/>
        </w:rPr>
        <w:fldChar w:fldCharType="separate"/>
      </w:r>
      <w:r>
        <w:rPr>
          <w:rFonts w:ascii="Times New Roman" w:hAnsi="Times New Roman" w:eastAsia="黑体" w:cs="宋体"/>
          <w:szCs w:val="20"/>
          <w:highlight w:val="none"/>
        </w:rPr>
        <w:t>4.3监理人的指示</w:t>
      </w:r>
      <w:r>
        <w:tab/>
      </w:r>
      <w:r>
        <w:fldChar w:fldCharType="begin"/>
      </w:r>
      <w:r>
        <w:instrText xml:space="preserve"> PAGEREF _Toc29048 \h </w:instrText>
      </w:r>
      <w:r>
        <w:fldChar w:fldCharType="separate"/>
      </w:r>
      <w:r>
        <w:t>1</w:t>
      </w:r>
      <w:r>
        <w:fldChar w:fldCharType="end"/>
      </w:r>
      <w:r>
        <w:rPr>
          <w:bCs/>
          <w:color w:val="auto"/>
          <w:highlight w:val="none"/>
          <w:lang w:val="zh-CN"/>
        </w:rPr>
        <w:fldChar w:fldCharType="end"/>
      </w:r>
    </w:p>
    <w:p w14:paraId="41B0E827">
      <w:pPr>
        <w:pStyle w:val="8"/>
        <w:tabs>
          <w:tab w:val="right" w:leader="dot" w:pos="8290"/>
        </w:tabs>
      </w:pPr>
      <w:r>
        <w:rPr>
          <w:bCs/>
          <w:color w:val="auto"/>
          <w:highlight w:val="none"/>
          <w:lang w:val="zh-CN"/>
        </w:rPr>
        <w:fldChar w:fldCharType="begin"/>
      </w:r>
      <w:r>
        <w:rPr>
          <w:bCs/>
          <w:highlight w:val="none"/>
          <w:lang w:val="zh-CN"/>
        </w:rPr>
        <w:instrText xml:space="preserve"> HYPERLINK \l _Toc31791 </w:instrText>
      </w:r>
      <w:r>
        <w:rPr>
          <w:bCs/>
          <w:highlight w:val="none"/>
          <w:lang w:val="zh-CN"/>
        </w:rPr>
        <w:fldChar w:fldCharType="separate"/>
      </w:r>
      <w:r>
        <w:rPr>
          <w:rFonts w:ascii="Times New Roman" w:hAnsi="Times New Roman" w:eastAsia="黑体" w:cs="宋体"/>
          <w:szCs w:val="20"/>
          <w:highlight w:val="none"/>
        </w:rPr>
        <w:t>4.4 商定或确定</w:t>
      </w:r>
      <w:r>
        <w:tab/>
      </w:r>
      <w:r>
        <w:fldChar w:fldCharType="begin"/>
      </w:r>
      <w:r>
        <w:instrText xml:space="preserve"> PAGEREF _Toc31791 \h </w:instrText>
      </w:r>
      <w:r>
        <w:fldChar w:fldCharType="separate"/>
      </w:r>
      <w:r>
        <w:t>1</w:t>
      </w:r>
      <w:r>
        <w:fldChar w:fldCharType="end"/>
      </w:r>
      <w:r>
        <w:rPr>
          <w:bCs/>
          <w:color w:val="auto"/>
          <w:highlight w:val="none"/>
          <w:lang w:val="zh-CN"/>
        </w:rPr>
        <w:fldChar w:fldCharType="end"/>
      </w:r>
    </w:p>
    <w:p w14:paraId="7137AE1C">
      <w:pPr>
        <w:pStyle w:val="13"/>
        <w:tabs>
          <w:tab w:val="right" w:leader="dot" w:pos="8290"/>
        </w:tabs>
      </w:pPr>
      <w:r>
        <w:rPr>
          <w:bCs/>
          <w:color w:val="auto"/>
          <w:highlight w:val="none"/>
          <w:lang w:val="zh-CN"/>
        </w:rPr>
        <w:fldChar w:fldCharType="begin"/>
      </w:r>
      <w:r>
        <w:rPr>
          <w:bCs/>
          <w:highlight w:val="none"/>
          <w:lang w:val="zh-CN"/>
        </w:rPr>
        <w:instrText xml:space="preserve"> HYPERLINK \l _Toc23605 </w:instrText>
      </w:r>
      <w:r>
        <w:rPr>
          <w:bCs/>
          <w:highlight w:val="none"/>
          <w:lang w:val="zh-CN"/>
        </w:rPr>
        <w:fldChar w:fldCharType="separate"/>
      </w:r>
      <w:r>
        <w:rPr>
          <w:rFonts w:ascii="Times New Roman" w:hAnsi="Times New Roman" w:eastAsia="黑体" w:cs="宋体"/>
          <w:szCs w:val="20"/>
          <w:highlight w:val="none"/>
        </w:rPr>
        <w:t>5. 工程质量</w:t>
      </w:r>
      <w:r>
        <w:tab/>
      </w:r>
      <w:r>
        <w:fldChar w:fldCharType="begin"/>
      </w:r>
      <w:r>
        <w:instrText xml:space="preserve"> PAGEREF _Toc23605 \h </w:instrText>
      </w:r>
      <w:r>
        <w:fldChar w:fldCharType="separate"/>
      </w:r>
      <w:r>
        <w:t>1</w:t>
      </w:r>
      <w:r>
        <w:fldChar w:fldCharType="end"/>
      </w:r>
      <w:r>
        <w:rPr>
          <w:bCs/>
          <w:color w:val="auto"/>
          <w:highlight w:val="none"/>
          <w:lang w:val="zh-CN"/>
        </w:rPr>
        <w:fldChar w:fldCharType="end"/>
      </w:r>
    </w:p>
    <w:p w14:paraId="6D2ABA19">
      <w:pPr>
        <w:pStyle w:val="8"/>
        <w:tabs>
          <w:tab w:val="right" w:leader="dot" w:pos="8290"/>
        </w:tabs>
      </w:pPr>
      <w:r>
        <w:rPr>
          <w:bCs/>
          <w:color w:val="auto"/>
          <w:highlight w:val="none"/>
          <w:lang w:val="zh-CN"/>
        </w:rPr>
        <w:fldChar w:fldCharType="begin"/>
      </w:r>
      <w:r>
        <w:rPr>
          <w:bCs/>
          <w:highlight w:val="none"/>
          <w:lang w:val="zh-CN"/>
        </w:rPr>
        <w:instrText xml:space="preserve"> HYPERLINK \l _Toc6103 </w:instrText>
      </w:r>
      <w:r>
        <w:rPr>
          <w:bCs/>
          <w:highlight w:val="none"/>
          <w:lang w:val="zh-CN"/>
        </w:rPr>
        <w:fldChar w:fldCharType="separate"/>
      </w:r>
      <w:r>
        <w:rPr>
          <w:rFonts w:ascii="Times New Roman" w:hAnsi="Times New Roman" w:eastAsia="黑体" w:cs="宋体"/>
          <w:szCs w:val="20"/>
          <w:highlight w:val="none"/>
        </w:rPr>
        <w:t>5.1质量要求</w:t>
      </w:r>
      <w:r>
        <w:tab/>
      </w:r>
      <w:r>
        <w:fldChar w:fldCharType="begin"/>
      </w:r>
      <w:r>
        <w:instrText xml:space="preserve"> PAGEREF _Toc6103 \h </w:instrText>
      </w:r>
      <w:r>
        <w:fldChar w:fldCharType="separate"/>
      </w:r>
      <w:r>
        <w:t>1</w:t>
      </w:r>
      <w:r>
        <w:fldChar w:fldCharType="end"/>
      </w:r>
      <w:r>
        <w:rPr>
          <w:bCs/>
          <w:color w:val="auto"/>
          <w:highlight w:val="none"/>
          <w:lang w:val="zh-CN"/>
        </w:rPr>
        <w:fldChar w:fldCharType="end"/>
      </w:r>
    </w:p>
    <w:p w14:paraId="6CDFFE10">
      <w:pPr>
        <w:pStyle w:val="8"/>
        <w:tabs>
          <w:tab w:val="right" w:leader="dot" w:pos="8290"/>
        </w:tabs>
      </w:pPr>
      <w:r>
        <w:rPr>
          <w:bCs/>
          <w:color w:val="auto"/>
          <w:highlight w:val="none"/>
          <w:lang w:val="zh-CN"/>
        </w:rPr>
        <w:fldChar w:fldCharType="begin"/>
      </w:r>
      <w:r>
        <w:rPr>
          <w:bCs/>
          <w:highlight w:val="none"/>
          <w:lang w:val="zh-CN"/>
        </w:rPr>
        <w:instrText xml:space="preserve"> HYPERLINK \l _Toc32067 </w:instrText>
      </w:r>
      <w:r>
        <w:rPr>
          <w:bCs/>
          <w:highlight w:val="none"/>
          <w:lang w:val="zh-CN"/>
        </w:rPr>
        <w:fldChar w:fldCharType="separate"/>
      </w:r>
      <w:r>
        <w:rPr>
          <w:rFonts w:ascii="Times New Roman" w:hAnsi="Times New Roman" w:eastAsia="黑体" w:cs="宋体"/>
          <w:szCs w:val="20"/>
          <w:highlight w:val="none"/>
        </w:rPr>
        <w:t>5.2质量保证措施</w:t>
      </w:r>
      <w:r>
        <w:tab/>
      </w:r>
      <w:r>
        <w:fldChar w:fldCharType="begin"/>
      </w:r>
      <w:r>
        <w:instrText xml:space="preserve"> PAGEREF _Toc32067 \h </w:instrText>
      </w:r>
      <w:r>
        <w:fldChar w:fldCharType="separate"/>
      </w:r>
      <w:r>
        <w:t>1</w:t>
      </w:r>
      <w:r>
        <w:fldChar w:fldCharType="end"/>
      </w:r>
      <w:r>
        <w:rPr>
          <w:bCs/>
          <w:color w:val="auto"/>
          <w:highlight w:val="none"/>
          <w:lang w:val="zh-CN"/>
        </w:rPr>
        <w:fldChar w:fldCharType="end"/>
      </w:r>
    </w:p>
    <w:p w14:paraId="60243C64">
      <w:pPr>
        <w:pStyle w:val="8"/>
        <w:tabs>
          <w:tab w:val="right" w:leader="dot" w:pos="8290"/>
        </w:tabs>
      </w:pPr>
      <w:r>
        <w:rPr>
          <w:bCs/>
          <w:color w:val="auto"/>
          <w:highlight w:val="none"/>
          <w:lang w:val="zh-CN"/>
        </w:rPr>
        <w:fldChar w:fldCharType="begin"/>
      </w:r>
      <w:r>
        <w:rPr>
          <w:bCs/>
          <w:highlight w:val="none"/>
          <w:lang w:val="zh-CN"/>
        </w:rPr>
        <w:instrText xml:space="preserve"> HYPERLINK \l _Toc16822 </w:instrText>
      </w:r>
      <w:r>
        <w:rPr>
          <w:bCs/>
          <w:highlight w:val="none"/>
          <w:lang w:val="zh-CN"/>
        </w:rPr>
        <w:fldChar w:fldCharType="separate"/>
      </w:r>
      <w:r>
        <w:rPr>
          <w:rFonts w:ascii="Times New Roman" w:hAnsi="Times New Roman" w:eastAsia="黑体" w:cs="宋体"/>
          <w:szCs w:val="20"/>
          <w:highlight w:val="none"/>
        </w:rPr>
        <w:t>5.3 隐蔽工程检查</w:t>
      </w:r>
      <w:r>
        <w:tab/>
      </w:r>
      <w:r>
        <w:fldChar w:fldCharType="begin"/>
      </w:r>
      <w:r>
        <w:instrText xml:space="preserve"> PAGEREF _Toc16822 \h </w:instrText>
      </w:r>
      <w:r>
        <w:fldChar w:fldCharType="separate"/>
      </w:r>
      <w:r>
        <w:t>1</w:t>
      </w:r>
      <w:r>
        <w:fldChar w:fldCharType="end"/>
      </w:r>
      <w:r>
        <w:rPr>
          <w:bCs/>
          <w:color w:val="auto"/>
          <w:highlight w:val="none"/>
          <w:lang w:val="zh-CN"/>
        </w:rPr>
        <w:fldChar w:fldCharType="end"/>
      </w:r>
    </w:p>
    <w:p w14:paraId="51485291">
      <w:pPr>
        <w:pStyle w:val="8"/>
        <w:tabs>
          <w:tab w:val="right" w:leader="dot" w:pos="8290"/>
        </w:tabs>
      </w:pPr>
      <w:r>
        <w:rPr>
          <w:bCs/>
          <w:color w:val="auto"/>
          <w:highlight w:val="none"/>
          <w:lang w:val="zh-CN"/>
        </w:rPr>
        <w:fldChar w:fldCharType="begin"/>
      </w:r>
      <w:r>
        <w:rPr>
          <w:bCs/>
          <w:highlight w:val="none"/>
          <w:lang w:val="zh-CN"/>
        </w:rPr>
        <w:instrText xml:space="preserve"> HYPERLINK \l _Toc7470 </w:instrText>
      </w:r>
      <w:r>
        <w:rPr>
          <w:bCs/>
          <w:highlight w:val="none"/>
          <w:lang w:val="zh-CN"/>
        </w:rPr>
        <w:fldChar w:fldCharType="separate"/>
      </w:r>
      <w:r>
        <w:rPr>
          <w:rFonts w:ascii="Times New Roman" w:hAnsi="Times New Roman" w:eastAsia="黑体" w:cs="宋体"/>
          <w:szCs w:val="20"/>
          <w:highlight w:val="none"/>
        </w:rPr>
        <w:t>5.4不合格工程的处理</w:t>
      </w:r>
      <w:r>
        <w:tab/>
      </w:r>
      <w:r>
        <w:fldChar w:fldCharType="begin"/>
      </w:r>
      <w:r>
        <w:instrText xml:space="preserve"> PAGEREF _Toc7470 \h </w:instrText>
      </w:r>
      <w:r>
        <w:fldChar w:fldCharType="separate"/>
      </w:r>
      <w:r>
        <w:t>1</w:t>
      </w:r>
      <w:r>
        <w:fldChar w:fldCharType="end"/>
      </w:r>
      <w:r>
        <w:rPr>
          <w:bCs/>
          <w:color w:val="auto"/>
          <w:highlight w:val="none"/>
          <w:lang w:val="zh-CN"/>
        </w:rPr>
        <w:fldChar w:fldCharType="end"/>
      </w:r>
    </w:p>
    <w:p w14:paraId="1B073065">
      <w:pPr>
        <w:pStyle w:val="8"/>
        <w:tabs>
          <w:tab w:val="right" w:leader="dot" w:pos="8290"/>
        </w:tabs>
      </w:pPr>
      <w:r>
        <w:rPr>
          <w:bCs/>
          <w:color w:val="auto"/>
          <w:highlight w:val="none"/>
          <w:lang w:val="zh-CN"/>
        </w:rPr>
        <w:fldChar w:fldCharType="begin"/>
      </w:r>
      <w:r>
        <w:rPr>
          <w:bCs/>
          <w:highlight w:val="none"/>
          <w:lang w:val="zh-CN"/>
        </w:rPr>
        <w:instrText xml:space="preserve"> HYPERLINK \l _Toc15235 </w:instrText>
      </w:r>
      <w:r>
        <w:rPr>
          <w:bCs/>
          <w:highlight w:val="none"/>
          <w:lang w:val="zh-CN"/>
        </w:rPr>
        <w:fldChar w:fldCharType="separate"/>
      </w:r>
      <w:r>
        <w:rPr>
          <w:rFonts w:ascii="Times New Roman" w:hAnsi="Times New Roman" w:eastAsia="黑体" w:cs="宋体"/>
          <w:szCs w:val="20"/>
          <w:highlight w:val="none"/>
        </w:rPr>
        <w:t>5.5 质量争议检测</w:t>
      </w:r>
      <w:r>
        <w:tab/>
      </w:r>
      <w:r>
        <w:fldChar w:fldCharType="begin"/>
      </w:r>
      <w:r>
        <w:instrText xml:space="preserve"> PAGEREF _Toc15235 \h </w:instrText>
      </w:r>
      <w:r>
        <w:fldChar w:fldCharType="separate"/>
      </w:r>
      <w:r>
        <w:t>1</w:t>
      </w:r>
      <w:r>
        <w:fldChar w:fldCharType="end"/>
      </w:r>
      <w:r>
        <w:rPr>
          <w:bCs/>
          <w:color w:val="auto"/>
          <w:highlight w:val="none"/>
          <w:lang w:val="zh-CN"/>
        </w:rPr>
        <w:fldChar w:fldCharType="end"/>
      </w:r>
    </w:p>
    <w:p w14:paraId="656B7EEE">
      <w:pPr>
        <w:pStyle w:val="13"/>
        <w:tabs>
          <w:tab w:val="right" w:leader="dot" w:pos="8290"/>
        </w:tabs>
      </w:pPr>
      <w:r>
        <w:rPr>
          <w:bCs/>
          <w:color w:val="auto"/>
          <w:highlight w:val="none"/>
          <w:lang w:val="zh-CN"/>
        </w:rPr>
        <w:fldChar w:fldCharType="begin"/>
      </w:r>
      <w:r>
        <w:rPr>
          <w:bCs/>
          <w:highlight w:val="none"/>
          <w:lang w:val="zh-CN"/>
        </w:rPr>
        <w:instrText xml:space="preserve"> HYPERLINK \l _Toc3261 </w:instrText>
      </w:r>
      <w:r>
        <w:rPr>
          <w:bCs/>
          <w:highlight w:val="none"/>
          <w:lang w:val="zh-CN"/>
        </w:rPr>
        <w:fldChar w:fldCharType="separate"/>
      </w:r>
      <w:r>
        <w:rPr>
          <w:rFonts w:ascii="Times New Roman" w:hAnsi="Times New Roman" w:eastAsia="黑体" w:cs="宋体"/>
          <w:szCs w:val="20"/>
          <w:highlight w:val="none"/>
        </w:rPr>
        <w:t>6. 安全文明施工与环境保护</w:t>
      </w:r>
      <w:r>
        <w:tab/>
      </w:r>
      <w:r>
        <w:fldChar w:fldCharType="begin"/>
      </w:r>
      <w:r>
        <w:instrText xml:space="preserve"> PAGEREF _Toc3261 \h </w:instrText>
      </w:r>
      <w:r>
        <w:fldChar w:fldCharType="separate"/>
      </w:r>
      <w:r>
        <w:t>1</w:t>
      </w:r>
      <w:r>
        <w:fldChar w:fldCharType="end"/>
      </w:r>
      <w:r>
        <w:rPr>
          <w:bCs/>
          <w:color w:val="auto"/>
          <w:highlight w:val="none"/>
          <w:lang w:val="zh-CN"/>
        </w:rPr>
        <w:fldChar w:fldCharType="end"/>
      </w:r>
    </w:p>
    <w:p w14:paraId="31EDC318">
      <w:pPr>
        <w:pStyle w:val="8"/>
        <w:tabs>
          <w:tab w:val="right" w:leader="dot" w:pos="8290"/>
        </w:tabs>
      </w:pPr>
      <w:r>
        <w:rPr>
          <w:bCs/>
          <w:color w:val="auto"/>
          <w:highlight w:val="none"/>
          <w:lang w:val="zh-CN"/>
        </w:rPr>
        <w:fldChar w:fldCharType="begin"/>
      </w:r>
      <w:r>
        <w:rPr>
          <w:bCs/>
          <w:highlight w:val="none"/>
          <w:lang w:val="zh-CN"/>
        </w:rPr>
        <w:instrText xml:space="preserve"> HYPERLINK \l _Toc6418 </w:instrText>
      </w:r>
      <w:r>
        <w:rPr>
          <w:bCs/>
          <w:highlight w:val="none"/>
          <w:lang w:val="zh-CN"/>
        </w:rPr>
        <w:fldChar w:fldCharType="separate"/>
      </w:r>
      <w:r>
        <w:rPr>
          <w:rFonts w:ascii="Times New Roman" w:hAnsi="Times New Roman" w:eastAsia="黑体" w:cs="宋体"/>
          <w:szCs w:val="20"/>
          <w:highlight w:val="none"/>
        </w:rPr>
        <w:t>6.1安全文明施工</w:t>
      </w:r>
      <w:r>
        <w:tab/>
      </w:r>
      <w:r>
        <w:fldChar w:fldCharType="begin"/>
      </w:r>
      <w:r>
        <w:instrText xml:space="preserve"> PAGEREF _Toc6418 \h </w:instrText>
      </w:r>
      <w:r>
        <w:fldChar w:fldCharType="separate"/>
      </w:r>
      <w:r>
        <w:t>1</w:t>
      </w:r>
      <w:r>
        <w:fldChar w:fldCharType="end"/>
      </w:r>
      <w:r>
        <w:rPr>
          <w:bCs/>
          <w:color w:val="auto"/>
          <w:highlight w:val="none"/>
          <w:lang w:val="zh-CN"/>
        </w:rPr>
        <w:fldChar w:fldCharType="end"/>
      </w:r>
    </w:p>
    <w:p w14:paraId="52A0178B">
      <w:pPr>
        <w:pStyle w:val="8"/>
        <w:tabs>
          <w:tab w:val="right" w:leader="dot" w:pos="8290"/>
        </w:tabs>
      </w:pPr>
      <w:r>
        <w:rPr>
          <w:bCs/>
          <w:color w:val="auto"/>
          <w:highlight w:val="none"/>
          <w:lang w:val="zh-CN"/>
        </w:rPr>
        <w:fldChar w:fldCharType="begin"/>
      </w:r>
      <w:r>
        <w:rPr>
          <w:bCs/>
          <w:highlight w:val="none"/>
          <w:lang w:val="zh-CN"/>
        </w:rPr>
        <w:instrText xml:space="preserve"> HYPERLINK \l _Toc9720 </w:instrText>
      </w:r>
      <w:r>
        <w:rPr>
          <w:bCs/>
          <w:highlight w:val="none"/>
          <w:lang w:val="zh-CN"/>
        </w:rPr>
        <w:fldChar w:fldCharType="separate"/>
      </w:r>
      <w:r>
        <w:rPr>
          <w:rFonts w:ascii="Times New Roman" w:hAnsi="Times New Roman" w:eastAsia="黑体" w:cs="宋体"/>
          <w:szCs w:val="20"/>
          <w:highlight w:val="none"/>
        </w:rPr>
        <w:t>6.2 职业健康</w:t>
      </w:r>
      <w:r>
        <w:tab/>
      </w:r>
      <w:r>
        <w:fldChar w:fldCharType="begin"/>
      </w:r>
      <w:r>
        <w:instrText xml:space="preserve"> PAGEREF _Toc9720 \h </w:instrText>
      </w:r>
      <w:r>
        <w:fldChar w:fldCharType="separate"/>
      </w:r>
      <w:r>
        <w:t>1</w:t>
      </w:r>
      <w:r>
        <w:fldChar w:fldCharType="end"/>
      </w:r>
      <w:r>
        <w:rPr>
          <w:bCs/>
          <w:color w:val="auto"/>
          <w:highlight w:val="none"/>
          <w:lang w:val="zh-CN"/>
        </w:rPr>
        <w:fldChar w:fldCharType="end"/>
      </w:r>
    </w:p>
    <w:p w14:paraId="700692F8">
      <w:pPr>
        <w:pStyle w:val="8"/>
        <w:tabs>
          <w:tab w:val="right" w:leader="dot" w:pos="8290"/>
        </w:tabs>
      </w:pPr>
      <w:r>
        <w:rPr>
          <w:bCs/>
          <w:color w:val="auto"/>
          <w:highlight w:val="none"/>
          <w:lang w:val="zh-CN"/>
        </w:rPr>
        <w:fldChar w:fldCharType="begin"/>
      </w:r>
      <w:r>
        <w:rPr>
          <w:bCs/>
          <w:highlight w:val="none"/>
          <w:lang w:val="zh-CN"/>
        </w:rPr>
        <w:instrText xml:space="preserve"> HYPERLINK \l _Toc5062 </w:instrText>
      </w:r>
      <w:r>
        <w:rPr>
          <w:bCs/>
          <w:highlight w:val="none"/>
          <w:lang w:val="zh-CN"/>
        </w:rPr>
        <w:fldChar w:fldCharType="separate"/>
      </w:r>
      <w:r>
        <w:rPr>
          <w:rFonts w:ascii="Times New Roman" w:hAnsi="Times New Roman" w:eastAsia="黑体" w:cs="宋体"/>
          <w:szCs w:val="20"/>
          <w:highlight w:val="none"/>
        </w:rPr>
        <w:t>6.3 环境保护</w:t>
      </w:r>
      <w:r>
        <w:tab/>
      </w:r>
      <w:r>
        <w:fldChar w:fldCharType="begin"/>
      </w:r>
      <w:r>
        <w:instrText xml:space="preserve"> PAGEREF _Toc5062 \h </w:instrText>
      </w:r>
      <w:r>
        <w:fldChar w:fldCharType="separate"/>
      </w:r>
      <w:r>
        <w:t>1</w:t>
      </w:r>
      <w:r>
        <w:fldChar w:fldCharType="end"/>
      </w:r>
      <w:r>
        <w:rPr>
          <w:bCs/>
          <w:color w:val="auto"/>
          <w:highlight w:val="none"/>
          <w:lang w:val="zh-CN"/>
        </w:rPr>
        <w:fldChar w:fldCharType="end"/>
      </w:r>
    </w:p>
    <w:p w14:paraId="49E31F1F">
      <w:pPr>
        <w:pStyle w:val="13"/>
        <w:tabs>
          <w:tab w:val="right" w:leader="dot" w:pos="8290"/>
        </w:tabs>
      </w:pPr>
      <w:r>
        <w:rPr>
          <w:bCs/>
          <w:color w:val="auto"/>
          <w:highlight w:val="none"/>
          <w:lang w:val="zh-CN"/>
        </w:rPr>
        <w:fldChar w:fldCharType="begin"/>
      </w:r>
      <w:r>
        <w:rPr>
          <w:bCs/>
          <w:highlight w:val="none"/>
          <w:lang w:val="zh-CN"/>
        </w:rPr>
        <w:instrText xml:space="preserve"> HYPERLINK \l _Toc20040 </w:instrText>
      </w:r>
      <w:r>
        <w:rPr>
          <w:bCs/>
          <w:highlight w:val="none"/>
          <w:lang w:val="zh-CN"/>
        </w:rPr>
        <w:fldChar w:fldCharType="separate"/>
      </w:r>
      <w:r>
        <w:rPr>
          <w:rFonts w:ascii="Times New Roman" w:hAnsi="Times New Roman" w:eastAsia="黑体" w:cs="宋体"/>
          <w:szCs w:val="20"/>
          <w:highlight w:val="none"/>
        </w:rPr>
        <w:t>7. 工期和进度</w:t>
      </w:r>
      <w:r>
        <w:tab/>
      </w:r>
      <w:r>
        <w:fldChar w:fldCharType="begin"/>
      </w:r>
      <w:r>
        <w:instrText xml:space="preserve"> PAGEREF _Toc20040 \h </w:instrText>
      </w:r>
      <w:r>
        <w:fldChar w:fldCharType="separate"/>
      </w:r>
      <w:r>
        <w:t>1</w:t>
      </w:r>
      <w:r>
        <w:fldChar w:fldCharType="end"/>
      </w:r>
      <w:r>
        <w:rPr>
          <w:bCs/>
          <w:color w:val="auto"/>
          <w:highlight w:val="none"/>
          <w:lang w:val="zh-CN"/>
        </w:rPr>
        <w:fldChar w:fldCharType="end"/>
      </w:r>
    </w:p>
    <w:p w14:paraId="1E5D5EB6">
      <w:pPr>
        <w:pStyle w:val="8"/>
        <w:tabs>
          <w:tab w:val="right" w:leader="dot" w:pos="8290"/>
        </w:tabs>
      </w:pPr>
      <w:r>
        <w:rPr>
          <w:bCs/>
          <w:color w:val="auto"/>
          <w:highlight w:val="none"/>
          <w:lang w:val="zh-CN"/>
        </w:rPr>
        <w:fldChar w:fldCharType="begin"/>
      </w:r>
      <w:r>
        <w:rPr>
          <w:bCs/>
          <w:highlight w:val="none"/>
          <w:lang w:val="zh-CN"/>
        </w:rPr>
        <w:instrText xml:space="preserve"> HYPERLINK \l _Toc3761 </w:instrText>
      </w:r>
      <w:r>
        <w:rPr>
          <w:bCs/>
          <w:highlight w:val="none"/>
          <w:lang w:val="zh-CN"/>
        </w:rPr>
        <w:fldChar w:fldCharType="separate"/>
      </w:r>
      <w:r>
        <w:rPr>
          <w:rFonts w:ascii="Times New Roman" w:hAnsi="Times New Roman" w:eastAsia="黑体" w:cs="宋体"/>
          <w:szCs w:val="20"/>
          <w:highlight w:val="none"/>
        </w:rPr>
        <w:t>7.1施工组织设计</w:t>
      </w:r>
      <w:r>
        <w:tab/>
      </w:r>
      <w:r>
        <w:fldChar w:fldCharType="begin"/>
      </w:r>
      <w:r>
        <w:instrText xml:space="preserve"> PAGEREF _Toc3761 \h </w:instrText>
      </w:r>
      <w:r>
        <w:fldChar w:fldCharType="separate"/>
      </w:r>
      <w:r>
        <w:t>1</w:t>
      </w:r>
      <w:r>
        <w:fldChar w:fldCharType="end"/>
      </w:r>
      <w:r>
        <w:rPr>
          <w:bCs/>
          <w:color w:val="auto"/>
          <w:highlight w:val="none"/>
          <w:lang w:val="zh-CN"/>
        </w:rPr>
        <w:fldChar w:fldCharType="end"/>
      </w:r>
    </w:p>
    <w:p w14:paraId="79FC1BE4">
      <w:pPr>
        <w:pStyle w:val="8"/>
        <w:tabs>
          <w:tab w:val="right" w:leader="dot" w:pos="8290"/>
        </w:tabs>
      </w:pPr>
      <w:r>
        <w:rPr>
          <w:bCs/>
          <w:color w:val="auto"/>
          <w:highlight w:val="none"/>
          <w:lang w:val="zh-CN"/>
        </w:rPr>
        <w:fldChar w:fldCharType="begin"/>
      </w:r>
      <w:r>
        <w:rPr>
          <w:bCs/>
          <w:highlight w:val="none"/>
          <w:lang w:val="zh-CN"/>
        </w:rPr>
        <w:instrText xml:space="preserve"> HYPERLINK \l _Toc19098 </w:instrText>
      </w:r>
      <w:r>
        <w:rPr>
          <w:bCs/>
          <w:highlight w:val="none"/>
          <w:lang w:val="zh-CN"/>
        </w:rPr>
        <w:fldChar w:fldCharType="separate"/>
      </w:r>
      <w:r>
        <w:rPr>
          <w:rFonts w:ascii="Times New Roman" w:hAnsi="Times New Roman" w:eastAsia="黑体" w:cs="宋体"/>
          <w:szCs w:val="20"/>
          <w:highlight w:val="none"/>
        </w:rPr>
        <w:t>7.2 施工进度计划</w:t>
      </w:r>
      <w:r>
        <w:tab/>
      </w:r>
      <w:r>
        <w:fldChar w:fldCharType="begin"/>
      </w:r>
      <w:r>
        <w:instrText xml:space="preserve"> PAGEREF _Toc19098 \h </w:instrText>
      </w:r>
      <w:r>
        <w:fldChar w:fldCharType="separate"/>
      </w:r>
      <w:r>
        <w:t>1</w:t>
      </w:r>
      <w:r>
        <w:fldChar w:fldCharType="end"/>
      </w:r>
      <w:r>
        <w:rPr>
          <w:bCs/>
          <w:color w:val="auto"/>
          <w:highlight w:val="none"/>
          <w:lang w:val="zh-CN"/>
        </w:rPr>
        <w:fldChar w:fldCharType="end"/>
      </w:r>
    </w:p>
    <w:p w14:paraId="086F9242">
      <w:pPr>
        <w:pStyle w:val="8"/>
        <w:tabs>
          <w:tab w:val="right" w:leader="dot" w:pos="8290"/>
        </w:tabs>
      </w:pPr>
      <w:r>
        <w:rPr>
          <w:bCs/>
          <w:color w:val="auto"/>
          <w:highlight w:val="none"/>
          <w:lang w:val="zh-CN"/>
        </w:rPr>
        <w:fldChar w:fldCharType="begin"/>
      </w:r>
      <w:r>
        <w:rPr>
          <w:bCs/>
          <w:highlight w:val="none"/>
          <w:lang w:val="zh-CN"/>
        </w:rPr>
        <w:instrText xml:space="preserve"> HYPERLINK \l _Toc30880 </w:instrText>
      </w:r>
      <w:r>
        <w:rPr>
          <w:bCs/>
          <w:highlight w:val="none"/>
          <w:lang w:val="zh-CN"/>
        </w:rPr>
        <w:fldChar w:fldCharType="separate"/>
      </w:r>
      <w:r>
        <w:rPr>
          <w:rFonts w:ascii="Times New Roman" w:hAnsi="Times New Roman" w:eastAsia="黑体" w:cs="宋体"/>
          <w:szCs w:val="20"/>
          <w:highlight w:val="none"/>
        </w:rPr>
        <w:t>7.3 开工</w:t>
      </w:r>
      <w:r>
        <w:tab/>
      </w:r>
      <w:r>
        <w:fldChar w:fldCharType="begin"/>
      </w:r>
      <w:r>
        <w:instrText xml:space="preserve"> PAGEREF _Toc30880 \h </w:instrText>
      </w:r>
      <w:r>
        <w:fldChar w:fldCharType="separate"/>
      </w:r>
      <w:r>
        <w:t>1</w:t>
      </w:r>
      <w:r>
        <w:fldChar w:fldCharType="end"/>
      </w:r>
      <w:r>
        <w:rPr>
          <w:bCs/>
          <w:color w:val="auto"/>
          <w:highlight w:val="none"/>
          <w:lang w:val="zh-CN"/>
        </w:rPr>
        <w:fldChar w:fldCharType="end"/>
      </w:r>
    </w:p>
    <w:p w14:paraId="454CD699">
      <w:pPr>
        <w:pStyle w:val="8"/>
        <w:tabs>
          <w:tab w:val="right" w:leader="dot" w:pos="8290"/>
        </w:tabs>
      </w:pPr>
      <w:r>
        <w:rPr>
          <w:bCs/>
          <w:color w:val="auto"/>
          <w:highlight w:val="none"/>
          <w:lang w:val="zh-CN"/>
        </w:rPr>
        <w:fldChar w:fldCharType="begin"/>
      </w:r>
      <w:r>
        <w:rPr>
          <w:bCs/>
          <w:highlight w:val="none"/>
          <w:lang w:val="zh-CN"/>
        </w:rPr>
        <w:instrText xml:space="preserve"> HYPERLINK \l _Toc32183 </w:instrText>
      </w:r>
      <w:r>
        <w:rPr>
          <w:bCs/>
          <w:highlight w:val="none"/>
          <w:lang w:val="zh-CN"/>
        </w:rPr>
        <w:fldChar w:fldCharType="separate"/>
      </w:r>
      <w:r>
        <w:rPr>
          <w:rFonts w:ascii="Times New Roman" w:hAnsi="Times New Roman" w:eastAsia="黑体" w:cs="宋体"/>
          <w:szCs w:val="20"/>
          <w:highlight w:val="none"/>
        </w:rPr>
        <w:t>7.4测量放线</w:t>
      </w:r>
      <w:r>
        <w:tab/>
      </w:r>
      <w:r>
        <w:fldChar w:fldCharType="begin"/>
      </w:r>
      <w:r>
        <w:instrText xml:space="preserve"> PAGEREF _Toc32183 \h </w:instrText>
      </w:r>
      <w:r>
        <w:fldChar w:fldCharType="separate"/>
      </w:r>
      <w:r>
        <w:t>1</w:t>
      </w:r>
      <w:r>
        <w:fldChar w:fldCharType="end"/>
      </w:r>
      <w:r>
        <w:rPr>
          <w:bCs/>
          <w:color w:val="auto"/>
          <w:highlight w:val="none"/>
          <w:lang w:val="zh-CN"/>
        </w:rPr>
        <w:fldChar w:fldCharType="end"/>
      </w:r>
    </w:p>
    <w:p w14:paraId="5E0705BF">
      <w:pPr>
        <w:pStyle w:val="8"/>
        <w:tabs>
          <w:tab w:val="right" w:leader="dot" w:pos="8290"/>
        </w:tabs>
      </w:pPr>
      <w:r>
        <w:rPr>
          <w:bCs/>
          <w:color w:val="auto"/>
          <w:highlight w:val="none"/>
          <w:lang w:val="zh-CN"/>
        </w:rPr>
        <w:fldChar w:fldCharType="begin"/>
      </w:r>
      <w:r>
        <w:rPr>
          <w:bCs/>
          <w:highlight w:val="none"/>
          <w:lang w:val="zh-CN"/>
        </w:rPr>
        <w:instrText xml:space="preserve"> HYPERLINK \l _Toc25512 </w:instrText>
      </w:r>
      <w:r>
        <w:rPr>
          <w:bCs/>
          <w:highlight w:val="none"/>
          <w:lang w:val="zh-CN"/>
        </w:rPr>
        <w:fldChar w:fldCharType="separate"/>
      </w:r>
      <w:r>
        <w:rPr>
          <w:rFonts w:ascii="Times New Roman" w:hAnsi="Times New Roman" w:eastAsia="黑体" w:cs="宋体"/>
          <w:szCs w:val="20"/>
          <w:highlight w:val="none"/>
        </w:rPr>
        <w:t>7.5</w:t>
      </w:r>
      <w:r>
        <w:rPr>
          <w:rFonts w:hint="eastAsia" w:ascii="Times New Roman" w:hAnsi="Times New Roman" w:eastAsia="黑体" w:cs="宋体"/>
          <w:szCs w:val="20"/>
          <w:highlight w:val="none"/>
        </w:rPr>
        <w:t xml:space="preserve"> </w:t>
      </w:r>
      <w:r>
        <w:rPr>
          <w:rFonts w:ascii="Times New Roman" w:hAnsi="Times New Roman" w:eastAsia="黑体" w:cs="宋体"/>
          <w:szCs w:val="20"/>
          <w:highlight w:val="none"/>
        </w:rPr>
        <w:t>工期延误</w:t>
      </w:r>
      <w:r>
        <w:tab/>
      </w:r>
      <w:r>
        <w:fldChar w:fldCharType="begin"/>
      </w:r>
      <w:r>
        <w:instrText xml:space="preserve"> PAGEREF _Toc25512 \h </w:instrText>
      </w:r>
      <w:r>
        <w:fldChar w:fldCharType="separate"/>
      </w:r>
      <w:r>
        <w:t>1</w:t>
      </w:r>
      <w:r>
        <w:fldChar w:fldCharType="end"/>
      </w:r>
      <w:r>
        <w:rPr>
          <w:bCs/>
          <w:color w:val="auto"/>
          <w:highlight w:val="none"/>
          <w:lang w:val="zh-CN"/>
        </w:rPr>
        <w:fldChar w:fldCharType="end"/>
      </w:r>
    </w:p>
    <w:p w14:paraId="1D4D6FAF">
      <w:pPr>
        <w:pStyle w:val="8"/>
        <w:tabs>
          <w:tab w:val="right" w:leader="dot" w:pos="8290"/>
        </w:tabs>
      </w:pPr>
      <w:r>
        <w:rPr>
          <w:bCs/>
          <w:color w:val="auto"/>
          <w:highlight w:val="none"/>
          <w:lang w:val="zh-CN"/>
        </w:rPr>
        <w:fldChar w:fldCharType="begin"/>
      </w:r>
      <w:r>
        <w:rPr>
          <w:bCs/>
          <w:highlight w:val="none"/>
          <w:lang w:val="zh-CN"/>
        </w:rPr>
        <w:instrText xml:space="preserve"> HYPERLINK \l _Toc10791 </w:instrText>
      </w:r>
      <w:r>
        <w:rPr>
          <w:bCs/>
          <w:highlight w:val="none"/>
          <w:lang w:val="zh-CN"/>
        </w:rPr>
        <w:fldChar w:fldCharType="separate"/>
      </w:r>
      <w:r>
        <w:rPr>
          <w:rFonts w:ascii="Times New Roman" w:hAnsi="Times New Roman" w:eastAsia="黑体" w:cs="宋体"/>
          <w:szCs w:val="20"/>
          <w:highlight w:val="none"/>
        </w:rPr>
        <w:t>7.6 不利物质条件</w:t>
      </w:r>
      <w:r>
        <w:tab/>
      </w:r>
      <w:r>
        <w:fldChar w:fldCharType="begin"/>
      </w:r>
      <w:r>
        <w:instrText xml:space="preserve"> PAGEREF _Toc10791 \h </w:instrText>
      </w:r>
      <w:r>
        <w:fldChar w:fldCharType="separate"/>
      </w:r>
      <w:r>
        <w:t>1</w:t>
      </w:r>
      <w:r>
        <w:fldChar w:fldCharType="end"/>
      </w:r>
      <w:r>
        <w:rPr>
          <w:bCs/>
          <w:color w:val="auto"/>
          <w:highlight w:val="none"/>
          <w:lang w:val="zh-CN"/>
        </w:rPr>
        <w:fldChar w:fldCharType="end"/>
      </w:r>
    </w:p>
    <w:p w14:paraId="556A972E">
      <w:pPr>
        <w:pStyle w:val="8"/>
        <w:tabs>
          <w:tab w:val="right" w:leader="dot" w:pos="8290"/>
        </w:tabs>
      </w:pPr>
      <w:r>
        <w:rPr>
          <w:bCs/>
          <w:color w:val="auto"/>
          <w:highlight w:val="none"/>
          <w:lang w:val="zh-CN"/>
        </w:rPr>
        <w:fldChar w:fldCharType="begin"/>
      </w:r>
      <w:r>
        <w:rPr>
          <w:bCs/>
          <w:highlight w:val="none"/>
          <w:lang w:val="zh-CN"/>
        </w:rPr>
        <w:instrText xml:space="preserve"> HYPERLINK \l _Toc9704 </w:instrText>
      </w:r>
      <w:r>
        <w:rPr>
          <w:bCs/>
          <w:highlight w:val="none"/>
          <w:lang w:val="zh-CN"/>
        </w:rPr>
        <w:fldChar w:fldCharType="separate"/>
      </w:r>
      <w:r>
        <w:rPr>
          <w:rFonts w:ascii="Times New Roman" w:hAnsi="Times New Roman" w:eastAsia="黑体" w:cs="宋体"/>
          <w:szCs w:val="20"/>
          <w:highlight w:val="none"/>
        </w:rPr>
        <w:t>7.7</w:t>
      </w:r>
      <w:r>
        <w:rPr>
          <w:rFonts w:hint="eastAsia" w:ascii="Times New Roman" w:hAnsi="Times New Roman" w:eastAsia="黑体" w:cs="宋体"/>
          <w:szCs w:val="20"/>
          <w:highlight w:val="none"/>
        </w:rPr>
        <w:t xml:space="preserve"> </w:t>
      </w:r>
      <w:r>
        <w:rPr>
          <w:rFonts w:ascii="Times New Roman" w:hAnsi="Times New Roman" w:eastAsia="黑体" w:cs="宋体"/>
          <w:szCs w:val="20"/>
          <w:highlight w:val="none"/>
        </w:rPr>
        <w:t>异常恶劣的气候条件</w:t>
      </w:r>
      <w:r>
        <w:tab/>
      </w:r>
      <w:r>
        <w:fldChar w:fldCharType="begin"/>
      </w:r>
      <w:r>
        <w:instrText xml:space="preserve"> PAGEREF _Toc9704 \h </w:instrText>
      </w:r>
      <w:r>
        <w:fldChar w:fldCharType="separate"/>
      </w:r>
      <w:r>
        <w:t>1</w:t>
      </w:r>
      <w:r>
        <w:fldChar w:fldCharType="end"/>
      </w:r>
      <w:r>
        <w:rPr>
          <w:bCs/>
          <w:color w:val="auto"/>
          <w:highlight w:val="none"/>
          <w:lang w:val="zh-CN"/>
        </w:rPr>
        <w:fldChar w:fldCharType="end"/>
      </w:r>
    </w:p>
    <w:p w14:paraId="3719C1A7">
      <w:pPr>
        <w:pStyle w:val="8"/>
        <w:tabs>
          <w:tab w:val="right" w:leader="dot" w:pos="8290"/>
        </w:tabs>
      </w:pPr>
      <w:r>
        <w:rPr>
          <w:bCs/>
          <w:color w:val="auto"/>
          <w:highlight w:val="none"/>
          <w:lang w:val="zh-CN"/>
        </w:rPr>
        <w:fldChar w:fldCharType="begin"/>
      </w:r>
      <w:r>
        <w:rPr>
          <w:bCs/>
          <w:highlight w:val="none"/>
          <w:lang w:val="zh-CN"/>
        </w:rPr>
        <w:instrText xml:space="preserve"> HYPERLINK \l _Toc23638 </w:instrText>
      </w:r>
      <w:r>
        <w:rPr>
          <w:bCs/>
          <w:highlight w:val="none"/>
          <w:lang w:val="zh-CN"/>
        </w:rPr>
        <w:fldChar w:fldCharType="separate"/>
      </w:r>
      <w:r>
        <w:rPr>
          <w:rFonts w:ascii="Times New Roman" w:hAnsi="Times New Roman" w:eastAsia="黑体" w:cs="宋体"/>
          <w:szCs w:val="20"/>
          <w:highlight w:val="none"/>
        </w:rPr>
        <w:t>7.8</w:t>
      </w:r>
      <w:r>
        <w:rPr>
          <w:rFonts w:hint="eastAsia" w:ascii="Times New Roman" w:hAnsi="Times New Roman" w:eastAsia="黑体" w:cs="宋体"/>
          <w:szCs w:val="20"/>
          <w:highlight w:val="none"/>
        </w:rPr>
        <w:t xml:space="preserve"> </w:t>
      </w:r>
      <w:r>
        <w:rPr>
          <w:rFonts w:ascii="Times New Roman" w:hAnsi="Times New Roman" w:eastAsia="黑体" w:cs="宋体"/>
          <w:szCs w:val="20"/>
          <w:highlight w:val="none"/>
        </w:rPr>
        <w:t>暂停施工</w:t>
      </w:r>
      <w:r>
        <w:tab/>
      </w:r>
      <w:r>
        <w:fldChar w:fldCharType="begin"/>
      </w:r>
      <w:r>
        <w:instrText xml:space="preserve"> PAGEREF _Toc23638 \h </w:instrText>
      </w:r>
      <w:r>
        <w:fldChar w:fldCharType="separate"/>
      </w:r>
      <w:r>
        <w:t>1</w:t>
      </w:r>
      <w:r>
        <w:fldChar w:fldCharType="end"/>
      </w:r>
      <w:r>
        <w:rPr>
          <w:bCs/>
          <w:color w:val="auto"/>
          <w:highlight w:val="none"/>
          <w:lang w:val="zh-CN"/>
        </w:rPr>
        <w:fldChar w:fldCharType="end"/>
      </w:r>
    </w:p>
    <w:p w14:paraId="03ABDC9A">
      <w:pPr>
        <w:pStyle w:val="8"/>
        <w:tabs>
          <w:tab w:val="right" w:leader="dot" w:pos="8290"/>
        </w:tabs>
      </w:pPr>
      <w:r>
        <w:rPr>
          <w:bCs/>
          <w:color w:val="auto"/>
          <w:highlight w:val="none"/>
          <w:lang w:val="zh-CN"/>
        </w:rPr>
        <w:fldChar w:fldCharType="begin"/>
      </w:r>
      <w:r>
        <w:rPr>
          <w:bCs/>
          <w:highlight w:val="none"/>
          <w:lang w:val="zh-CN"/>
        </w:rPr>
        <w:instrText xml:space="preserve"> HYPERLINK \l _Toc13733 </w:instrText>
      </w:r>
      <w:r>
        <w:rPr>
          <w:bCs/>
          <w:highlight w:val="none"/>
          <w:lang w:val="zh-CN"/>
        </w:rPr>
        <w:fldChar w:fldCharType="separate"/>
      </w:r>
      <w:r>
        <w:rPr>
          <w:rFonts w:ascii="Times New Roman" w:hAnsi="Times New Roman" w:eastAsia="黑体" w:cs="宋体"/>
          <w:szCs w:val="20"/>
          <w:highlight w:val="none"/>
        </w:rPr>
        <w:t>7.9提前竣工</w:t>
      </w:r>
      <w:r>
        <w:tab/>
      </w:r>
      <w:r>
        <w:fldChar w:fldCharType="begin"/>
      </w:r>
      <w:r>
        <w:instrText xml:space="preserve"> PAGEREF _Toc13733 \h </w:instrText>
      </w:r>
      <w:r>
        <w:fldChar w:fldCharType="separate"/>
      </w:r>
      <w:r>
        <w:t>1</w:t>
      </w:r>
      <w:r>
        <w:fldChar w:fldCharType="end"/>
      </w:r>
      <w:r>
        <w:rPr>
          <w:bCs/>
          <w:color w:val="auto"/>
          <w:highlight w:val="none"/>
          <w:lang w:val="zh-CN"/>
        </w:rPr>
        <w:fldChar w:fldCharType="end"/>
      </w:r>
    </w:p>
    <w:p w14:paraId="71378B4A">
      <w:pPr>
        <w:pStyle w:val="13"/>
        <w:tabs>
          <w:tab w:val="right" w:leader="dot" w:pos="8290"/>
        </w:tabs>
      </w:pPr>
      <w:r>
        <w:rPr>
          <w:bCs/>
          <w:color w:val="auto"/>
          <w:highlight w:val="none"/>
          <w:lang w:val="zh-CN"/>
        </w:rPr>
        <w:fldChar w:fldCharType="begin"/>
      </w:r>
      <w:r>
        <w:rPr>
          <w:bCs/>
          <w:highlight w:val="none"/>
          <w:lang w:val="zh-CN"/>
        </w:rPr>
        <w:instrText xml:space="preserve"> HYPERLINK \l _Toc1762 </w:instrText>
      </w:r>
      <w:r>
        <w:rPr>
          <w:bCs/>
          <w:highlight w:val="none"/>
          <w:lang w:val="zh-CN"/>
        </w:rPr>
        <w:fldChar w:fldCharType="separate"/>
      </w:r>
      <w:r>
        <w:rPr>
          <w:rFonts w:ascii="Times New Roman" w:hAnsi="Times New Roman" w:eastAsia="黑体" w:cs="宋体"/>
          <w:szCs w:val="20"/>
          <w:highlight w:val="none"/>
        </w:rPr>
        <w:t>8. 材料与设备</w:t>
      </w:r>
      <w:r>
        <w:tab/>
      </w:r>
      <w:r>
        <w:fldChar w:fldCharType="begin"/>
      </w:r>
      <w:r>
        <w:instrText xml:space="preserve"> PAGEREF _Toc1762 \h </w:instrText>
      </w:r>
      <w:r>
        <w:fldChar w:fldCharType="separate"/>
      </w:r>
      <w:r>
        <w:t>1</w:t>
      </w:r>
      <w:r>
        <w:fldChar w:fldCharType="end"/>
      </w:r>
      <w:r>
        <w:rPr>
          <w:bCs/>
          <w:color w:val="auto"/>
          <w:highlight w:val="none"/>
          <w:lang w:val="zh-CN"/>
        </w:rPr>
        <w:fldChar w:fldCharType="end"/>
      </w:r>
    </w:p>
    <w:p w14:paraId="723300EB">
      <w:pPr>
        <w:pStyle w:val="8"/>
        <w:tabs>
          <w:tab w:val="right" w:leader="dot" w:pos="8290"/>
        </w:tabs>
      </w:pPr>
      <w:r>
        <w:rPr>
          <w:bCs/>
          <w:color w:val="auto"/>
          <w:highlight w:val="none"/>
          <w:lang w:val="zh-CN"/>
        </w:rPr>
        <w:fldChar w:fldCharType="begin"/>
      </w:r>
      <w:r>
        <w:rPr>
          <w:bCs/>
          <w:highlight w:val="none"/>
          <w:lang w:val="zh-CN"/>
        </w:rPr>
        <w:instrText xml:space="preserve"> HYPERLINK \l _Toc17122 </w:instrText>
      </w:r>
      <w:r>
        <w:rPr>
          <w:bCs/>
          <w:highlight w:val="none"/>
          <w:lang w:val="zh-CN"/>
        </w:rPr>
        <w:fldChar w:fldCharType="separate"/>
      </w:r>
      <w:r>
        <w:rPr>
          <w:rFonts w:ascii="Times New Roman" w:hAnsi="Times New Roman" w:eastAsia="黑体" w:cs="宋体"/>
          <w:szCs w:val="20"/>
          <w:highlight w:val="none"/>
        </w:rPr>
        <w:t>8.1发包人供应材料与工程设备</w:t>
      </w:r>
      <w:r>
        <w:tab/>
      </w:r>
      <w:r>
        <w:fldChar w:fldCharType="begin"/>
      </w:r>
      <w:r>
        <w:instrText xml:space="preserve"> PAGEREF _Toc17122 \h </w:instrText>
      </w:r>
      <w:r>
        <w:fldChar w:fldCharType="separate"/>
      </w:r>
      <w:r>
        <w:t>1</w:t>
      </w:r>
      <w:r>
        <w:fldChar w:fldCharType="end"/>
      </w:r>
      <w:r>
        <w:rPr>
          <w:bCs/>
          <w:color w:val="auto"/>
          <w:highlight w:val="none"/>
          <w:lang w:val="zh-CN"/>
        </w:rPr>
        <w:fldChar w:fldCharType="end"/>
      </w:r>
    </w:p>
    <w:p w14:paraId="243395C9">
      <w:pPr>
        <w:pStyle w:val="8"/>
        <w:tabs>
          <w:tab w:val="right" w:leader="dot" w:pos="8290"/>
        </w:tabs>
      </w:pPr>
      <w:r>
        <w:rPr>
          <w:bCs/>
          <w:color w:val="auto"/>
          <w:highlight w:val="none"/>
          <w:lang w:val="zh-CN"/>
        </w:rPr>
        <w:fldChar w:fldCharType="begin"/>
      </w:r>
      <w:r>
        <w:rPr>
          <w:bCs/>
          <w:highlight w:val="none"/>
          <w:lang w:val="zh-CN"/>
        </w:rPr>
        <w:instrText xml:space="preserve"> HYPERLINK \l _Toc27179 </w:instrText>
      </w:r>
      <w:r>
        <w:rPr>
          <w:bCs/>
          <w:highlight w:val="none"/>
          <w:lang w:val="zh-CN"/>
        </w:rPr>
        <w:fldChar w:fldCharType="separate"/>
      </w:r>
      <w:r>
        <w:rPr>
          <w:rFonts w:ascii="Times New Roman" w:hAnsi="Times New Roman" w:eastAsia="黑体" w:cs="宋体"/>
          <w:szCs w:val="20"/>
          <w:highlight w:val="none"/>
        </w:rPr>
        <w:t>8.2承包人采购材料与工程设备</w:t>
      </w:r>
      <w:r>
        <w:tab/>
      </w:r>
      <w:r>
        <w:fldChar w:fldCharType="begin"/>
      </w:r>
      <w:r>
        <w:instrText xml:space="preserve"> PAGEREF _Toc27179 \h </w:instrText>
      </w:r>
      <w:r>
        <w:fldChar w:fldCharType="separate"/>
      </w:r>
      <w:r>
        <w:t>1</w:t>
      </w:r>
      <w:r>
        <w:fldChar w:fldCharType="end"/>
      </w:r>
      <w:r>
        <w:rPr>
          <w:bCs/>
          <w:color w:val="auto"/>
          <w:highlight w:val="none"/>
          <w:lang w:val="zh-CN"/>
        </w:rPr>
        <w:fldChar w:fldCharType="end"/>
      </w:r>
    </w:p>
    <w:p w14:paraId="4B153E34">
      <w:pPr>
        <w:pStyle w:val="8"/>
        <w:tabs>
          <w:tab w:val="right" w:leader="dot" w:pos="8290"/>
        </w:tabs>
      </w:pPr>
      <w:r>
        <w:rPr>
          <w:bCs/>
          <w:color w:val="auto"/>
          <w:highlight w:val="none"/>
          <w:lang w:val="zh-CN"/>
        </w:rPr>
        <w:fldChar w:fldCharType="begin"/>
      </w:r>
      <w:r>
        <w:rPr>
          <w:bCs/>
          <w:highlight w:val="none"/>
          <w:lang w:val="zh-CN"/>
        </w:rPr>
        <w:instrText xml:space="preserve"> HYPERLINK \l _Toc25380 </w:instrText>
      </w:r>
      <w:r>
        <w:rPr>
          <w:bCs/>
          <w:highlight w:val="none"/>
          <w:lang w:val="zh-CN"/>
        </w:rPr>
        <w:fldChar w:fldCharType="separate"/>
      </w:r>
      <w:r>
        <w:rPr>
          <w:rFonts w:ascii="Times New Roman" w:hAnsi="Times New Roman" w:eastAsia="黑体" w:cs="宋体"/>
          <w:szCs w:val="20"/>
          <w:highlight w:val="none"/>
        </w:rPr>
        <w:t>8.3材料与工程设备的接收与拒收</w:t>
      </w:r>
      <w:r>
        <w:tab/>
      </w:r>
      <w:r>
        <w:fldChar w:fldCharType="begin"/>
      </w:r>
      <w:r>
        <w:instrText xml:space="preserve"> PAGEREF _Toc25380 \h </w:instrText>
      </w:r>
      <w:r>
        <w:fldChar w:fldCharType="separate"/>
      </w:r>
      <w:r>
        <w:t>1</w:t>
      </w:r>
      <w:r>
        <w:fldChar w:fldCharType="end"/>
      </w:r>
      <w:r>
        <w:rPr>
          <w:bCs/>
          <w:color w:val="auto"/>
          <w:highlight w:val="none"/>
          <w:lang w:val="zh-CN"/>
        </w:rPr>
        <w:fldChar w:fldCharType="end"/>
      </w:r>
    </w:p>
    <w:p w14:paraId="729A4957">
      <w:pPr>
        <w:pStyle w:val="8"/>
        <w:tabs>
          <w:tab w:val="right" w:leader="dot" w:pos="8290"/>
        </w:tabs>
      </w:pPr>
      <w:r>
        <w:rPr>
          <w:bCs/>
          <w:color w:val="auto"/>
          <w:highlight w:val="none"/>
          <w:lang w:val="zh-CN"/>
        </w:rPr>
        <w:fldChar w:fldCharType="begin"/>
      </w:r>
      <w:r>
        <w:rPr>
          <w:bCs/>
          <w:highlight w:val="none"/>
          <w:lang w:val="zh-CN"/>
        </w:rPr>
        <w:instrText xml:space="preserve"> HYPERLINK \l _Toc27045 </w:instrText>
      </w:r>
      <w:r>
        <w:rPr>
          <w:bCs/>
          <w:highlight w:val="none"/>
          <w:lang w:val="zh-CN"/>
        </w:rPr>
        <w:fldChar w:fldCharType="separate"/>
      </w:r>
      <w:r>
        <w:rPr>
          <w:rFonts w:ascii="Times New Roman" w:hAnsi="Times New Roman" w:eastAsia="黑体" w:cs="宋体"/>
          <w:szCs w:val="20"/>
          <w:highlight w:val="none"/>
        </w:rPr>
        <w:t>8.4材料与工程设备的保管与使用</w:t>
      </w:r>
      <w:r>
        <w:tab/>
      </w:r>
      <w:r>
        <w:fldChar w:fldCharType="begin"/>
      </w:r>
      <w:r>
        <w:instrText xml:space="preserve"> PAGEREF _Toc27045 \h </w:instrText>
      </w:r>
      <w:r>
        <w:fldChar w:fldCharType="separate"/>
      </w:r>
      <w:r>
        <w:t>1</w:t>
      </w:r>
      <w:r>
        <w:fldChar w:fldCharType="end"/>
      </w:r>
      <w:r>
        <w:rPr>
          <w:bCs/>
          <w:color w:val="auto"/>
          <w:highlight w:val="none"/>
          <w:lang w:val="zh-CN"/>
        </w:rPr>
        <w:fldChar w:fldCharType="end"/>
      </w:r>
    </w:p>
    <w:p w14:paraId="5C888697">
      <w:pPr>
        <w:pStyle w:val="8"/>
        <w:tabs>
          <w:tab w:val="right" w:leader="dot" w:pos="8290"/>
        </w:tabs>
      </w:pPr>
      <w:r>
        <w:rPr>
          <w:bCs/>
          <w:color w:val="auto"/>
          <w:highlight w:val="none"/>
          <w:lang w:val="zh-CN"/>
        </w:rPr>
        <w:fldChar w:fldCharType="begin"/>
      </w:r>
      <w:r>
        <w:rPr>
          <w:bCs/>
          <w:highlight w:val="none"/>
          <w:lang w:val="zh-CN"/>
        </w:rPr>
        <w:instrText xml:space="preserve"> HYPERLINK \l _Toc2063 </w:instrText>
      </w:r>
      <w:r>
        <w:rPr>
          <w:bCs/>
          <w:highlight w:val="none"/>
          <w:lang w:val="zh-CN"/>
        </w:rPr>
        <w:fldChar w:fldCharType="separate"/>
      </w:r>
      <w:r>
        <w:rPr>
          <w:rFonts w:ascii="Times New Roman" w:hAnsi="Times New Roman" w:eastAsia="黑体" w:cs="宋体"/>
          <w:szCs w:val="20"/>
          <w:highlight w:val="none"/>
        </w:rPr>
        <w:t>8.5禁止使用不合格的材料和工程设备</w:t>
      </w:r>
      <w:r>
        <w:tab/>
      </w:r>
      <w:r>
        <w:fldChar w:fldCharType="begin"/>
      </w:r>
      <w:r>
        <w:instrText xml:space="preserve"> PAGEREF _Toc2063 \h </w:instrText>
      </w:r>
      <w:r>
        <w:fldChar w:fldCharType="separate"/>
      </w:r>
      <w:r>
        <w:t>1</w:t>
      </w:r>
      <w:r>
        <w:fldChar w:fldCharType="end"/>
      </w:r>
      <w:r>
        <w:rPr>
          <w:bCs/>
          <w:color w:val="auto"/>
          <w:highlight w:val="none"/>
          <w:lang w:val="zh-CN"/>
        </w:rPr>
        <w:fldChar w:fldCharType="end"/>
      </w:r>
    </w:p>
    <w:p w14:paraId="70B47849">
      <w:pPr>
        <w:pStyle w:val="8"/>
        <w:tabs>
          <w:tab w:val="right" w:leader="dot" w:pos="8290"/>
        </w:tabs>
      </w:pPr>
      <w:r>
        <w:rPr>
          <w:bCs/>
          <w:color w:val="auto"/>
          <w:highlight w:val="none"/>
          <w:lang w:val="zh-CN"/>
        </w:rPr>
        <w:fldChar w:fldCharType="begin"/>
      </w:r>
      <w:r>
        <w:rPr>
          <w:bCs/>
          <w:highlight w:val="none"/>
          <w:lang w:val="zh-CN"/>
        </w:rPr>
        <w:instrText xml:space="preserve"> HYPERLINK \l _Toc17532 </w:instrText>
      </w:r>
      <w:r>
        <w:rPr>
          <w:bCs/>
          <w:highlight w:val="none"/>
          <w:lang w:val="zh-CN"/>
        </w:rPr>
        <w:fldChar w:fldCharType="separate"/>
      </w:r>
      <w:r>
        <w:rPr>
          <w:rFonts w:ascii="Times New Roman" w:hAnsi="Times New Roman" w:eastAsia="黑体" w:cs="宋体"/>
          <w:szCs w:val="20"/>
          <w:highlight w:val="none"/>
        </w:rPr>
        <w:t>8.6 样品</w:t>
      </w:r>
      <w:r>
        <w:tab/>
      </w:r>
      <w:r>
        <w:fldChar w:fldCharType="begin"/>
      </w:r>
      <w:r>
        <w:instrText xml:space="preserve"> PAGEREF _Toc17532 \h </w:instrText>
      </w:r>
      <w:r>
        <w:fldChar w:fldCharType="separate"/>
      </w:r>
      <w:r>
        <w:t>1</w:t>
      </w:r>
      <w:r>
        <w:fldChar w:fldCharType="end"/>
      </w:r>
      <w:r>
        <w:rPr>
          <w:bCs/>
          <w:color w:val="auto"/>
          <w:highlight w:val="none"/>
          <w:lang w:val="zh-CN"/>
        </w:rPr>
        <w:fldChar w:fldCharType="end"/>
      </w:r>
    </w:p>
    <w:p w14:paraId="58BADBE6">
      <w:pPr>
        <w:pStyle w:val="8"/>
        <w:tabs>
          <w:tab w:val="right" w:leader="dot" w:pos="8290"/>
        </w:tabs>
      </w:pPr>
      <w:r>
        <w:rPr>
          <w:bCs/>
          <w:color w:val="auto"/>
          <w:highlight w:val="none"/>
          <w:lang w:val="zh-CN"/>
        </w:rPr>
        <w:fldChar w:fldCharType="begin"/>
      </w:r>
      <w:r>
        <w:rPr>
          <w:bCs/>
          <w:highlight w:val="none"/>
          <w:lang w:val="zh-CN"/>
        </w:rPr>
        <w:instrText xml:space="preserve"> HYPERLINK \l _Toc32742 </w:instrText>
      </w:r>
      <w:r>
        <w:rPr>
          <w:bCs/>
          <w:highlight w:val="none"/>
          <w:lang w:val="zh-CN"/>
        </w:rPr>
        <w:fldChar w:fldCharType="separate"/>
      </w:r>
      <w:r>
        <w:rPr>
          <w:rFonts w:ascii="Times New Roman" w:hAnsi="Times New Roman" w:eastAsia="黑体" w:cs="宋体"/>
          <w:szCs w:val="20"/>
          <w:highlight w:val="none"/>
        </w:rPr>
        <w:t>8.7材料与工程设备的替代</w:t>
      </w:r>
      <w:r>
        <w:tab/>
      </w:r>
      <w:r>
        <w:fldChar w:fldCharType="begin"/>
      </w:r>
      <w:r>
        <w:instrText xml:space="preserve"> PAGEREF _Toc32742 \h </w:instrText>
      </w:r>
      <w:r>
        <w:fldChar w:fldCharType="separate"/>
      </w:r>
      <w:r>
        <w:t>1</w:t>
      </w:r>
      <w:r>
        <w:fldChar w:fldCharType="end"/>
      </w:r>
      <w:r>
        <w:rPr>
          <w:bCs/>
          <w:color w:val="auto"/>
          <w:highlight w:val="none"/>
          <w:lang w:val="zh-CN"/>
        </w:rPr>
        <w:fldChar w:fldCharType="end"/>
      </w:r>
    </w:p>
    <w:p w14:paraId="5D4E0F00">
      <w:pPr>
        <w:pStyle w:val="8"/>
        <w:tabs>
          <w:tab w:val="right" w:leader="dot" w:pos="8290"/>
        </w:tabs>
      </w:pPr>
      <w:r>
        <w:rPr>
          <w:bCs/>
          <w:color w:val="auto"/>
          <w:highlight w:val="none"/>
          <w:lang w:val="zh-CN"/>
        </w:rPr>
        <w:fldChar w:fldCharType="begin"/>
      </w:r>
      <w:r>
        <w:rPr>
          <w:bCs/>
          <w:highlight w:val="none"/>
          <w:lang w:val="zh-CN"/>
        </w:rPr>
        <w:instrText xml:space="preserve"> HYPERLINK \l _Toc5252 </w:instrText>
      </w:r>
      <w:r>
        <w:rPr>
          <w:bCs/>
          <w:highlight w:val="none"/>
          <w:lang w:val="zh-CN"/>
        </w:rPr>
        <w:fldChar w:fldCharType="separate"/>
      </w:r>
      <w:r>
        <w:rPr>
          <w:rFonts w:ascii="Times New Roman" w:hAnsi="Times New Roman" w:eastAsia="黑体" w:cs="宋体"/>
          <w:szCs w:val="20"/>
          <w:highlight w:val="none"/>
        </w:rPr>
        <w:t>8.8施工设备和临时设施</w:t>
      </w:r>
      <w:r>
        <w:tab/>
      </w:r>
      <w:r>
        <w:fldChar w:fldCharType="begin"/>
      </w:r>
      <w:r>
        <w:instrText xml:space="preserve"> PAGEREF _Toc5252 \h </w:instrText>
      </w:r>
      <w:r>
        <w:fldChar w:fldCharType="separate"/>
      </w:r>
      <w:r>
        <w:t>1</w:t>
      </w:r>
      <w:r>
        <w:fldChar w:fldCharType="end"/>
      </w:r>
      <w:r>
        <w:rPr>
          <w:bCs/>
          <w:color w:val="auto"/>
          <w:highlight w:val="none"/>
          <w:lang w:val="zh-CN"/>
        </w:rPr>
        <w:fldChar w:fldCharType="end"/>
      </w:r>
    </w:p>
    <w:p w14:paraId="5B9DD13C">
      <w:pPr>
        <w:pStyle w:val="8"/>
        <w:tabs>
          <w:tab w:val="right" w:leader="dot" w:pos="8290"/>
        </w:tabs>
      </w:pPr>
      <w:r>
        <w:rPr>
          <w:bCs/>
          <w:color w:val="auto"/>
          <w:highlight w:val="none"/>
          <w:lang w:val="zh-CN"/>
        </w:rPr>
        <w:fldChar w:fldCharType="begin"/>
      </w:r>
      <w:r>
        <w:rPr>
          <w:bCs/>
          <w:highlight w:val="none"/>
          <w:lang w:val="zh-CN"/>
        </w:rPr>
        <w:instrText xml:space="preserve"> HYPERLINK \l _Toc30537 </w:instrText>
      </w:r>
      <w:r>
        <w:rPr>
          <w:bCs/>
          <w:highlight w:val="none"/>
          <w:lang w:val="zh-CN"/>
        </w:rPr>
        <w:fldChar w:fldCharType="separate"/>
      </w:r>
      <w:r>
        <w:rPr>
          <w:rFonts w:ascii="Times New Roman" w:hAnsi="Times New Roman" w:eastAsia="黑体" w:cs="宋体"/>
          <w:szCs w:val="20"/>
          <w:highlight w:val="none"/>
        </w:rPr>
        <w:t>8.9材料与设备专用</w:t>
      </w:r>
      <w:r>
        <w:rPr>
          <w:rFonts w:hint="eastAsia" w:ascii="Times New Roman" w:hAnsi="Times New Roman" w:eastAsia="黑体" w:cs="宋体"/>
          <w:szCs w:val="20"/>
          <w:highlight w:val="none"/>
        </w:rPr>
        <w:t>要求</w:t>
      </w:r>
      <w:r>
        <w:tab/>
      </w:r>
      <w:r>
        <w:fldChar w:fldCharType="begin"/>
      </w:r>
      <w:r>
        <w:instrText xml:space="preserve"> PAGEREF _Toc30537 \h </w:instrText>
      </w:r>
      <w:r>
        <w:fldChar w:fldCharType="separate"/>
      </w:r>
      <w:r>
        <w:t>1</w:t>
      </w:r>
      <w:r>
        <w:fldChar w:fldCharType="end"/>
      </w:r>
      <w:r>
        <w:rPr>
          <w:bCs/>
          <w:color w:val="auto"/>
          <w:highlight w:val="none"/>
          <w:lang w:val="zh-CN"/>
        </w:rPr>
        <w:fldChar w:fldCharType="end"/>
      </w:r>
    </w:p>
    <w:p w14:paraId="701ADAA0">
      <w:pPr>
        <w:pStyle w:val="13"/>
        <w:tabs>
          <w:tab w:val="right" w:leader="dot" w:pos="8290"/>
        </w:tabs>
      </w:pPr>
      <w:r>
        <w:rPr>
          <w:bCs/>
          <w:color w:val="auto"/>
          <w:highlight w:val="none"/>
          <w:lang w:val="zh-CN"/>
        </w:rPr>
        <w:fldChar w:fldCharType="begin"/>
      </w:r>
      <w:r>
        <w:rPr>
          <w:bCs/>
          <w:highlight w:val="none"/>
          <w:lang w:val="zh-CN"/>
        </w:rPr>
        <w:instrText xml:space="preserve"> HYPERLINK \l _Toc19858 </w:instrText>
      </w:r>
      <w:r>
        <w:rPr>
          <w:bCs/>
          <w:highlight w:val="none"/>
          <w:lang w:val="zh-CN"/>
        </w:rPr>
        <w:fldChar w:fldCharType="separate"/>
      </w:r>
      <w:r>
        <w:rPr>
          <w:rFonts w:ascii="Times New Roman" w:hAnsi="Times New Roman" w:eastAsia="黑体" w:cs="宋体"/>
          <w:szCs w:val="20"/>
          <w:highlight w:val="none"/>
        </w:rPr>
        <w:t>9. 试验与检验</w:t>
      </w:r>
      <w:r>
        <w:tab/>
      </w:r>
      <w:r>
        <w:fldChar w:fldCharType="begin"/>
      </w:r>
      <w:r>
        <w:instrText xml:space="preserve"> PAGEREF _Toc19858 \h </w:instrText>
      </w:r>
      <w:r>
        <w:fldChar w:fldCharType="separate"/>
      </w:r>
      <w:r>
        <w:t>1</w:t>
      </w:r>
      <w:r>
        <w:fldChar w:fldCharType="end"/>
      </w:r>
      <w:r>
        <w:rPr>
          <w:bCs/>
          <w:color w:val="auto"/>
          <w:highlight w:val="none"/>
          <w:lang w:val="zh-CN"/>
        </w:rPr>
        <w:fldChar w:fldCharType="end"/>
      </w:r>
    </w:p>
    <w:p w14:paraId="2A5EB98D">
      <w:pPr>
        <w:pStyle w:val="8"/>
        <w:tabs>
          <w:tab w:val="right" w:leader="dot" w:pos="8290"/>
        </w:tabs>
      </w:pPr>
      <w:r>
        <w:rPr>
          <w:bCs/>
          <w:color w:val="auto"/>
          <w:highlight w:val="none"/>
          <w:lang w:val="zh-CN"/>
        </w:rPr>
        <w:fldChar w:fldCharType="begin"/>
      </w:r>
      <w:r>
        <w:rPr>
          <w:bCs/>
          <w:highlight w:val="none"/>
          <w:lang w:val="zh-CN"/>
        </w:rPr>
        <w:instrText xml:space="preserve"> HYPERLINK \l _Toc28063 </w:instrText>
      </w:r>
      <w:r>
        <w:rPr>
          <w:bCs/>
          <w:highlight w:val="none"/>
          <w:lang w:val="zh-CN"/>
        </w:rPr>
        <w:fldChar w:fldCharType="separate"/>
      </w:r>
      <w:r>
        <w:rPr>
          <w:rFonts w:ascii="Times New Roman" w:hAnsi="Times New Roman" w:eastAsia="黑体" w:cs="宋体"/>
          <w:szCs w:val="20"/>
          <w:highlight w:val="none"/>
        </w:rPr>
        <w:t>9.1试验设备与试验人员</w:t>
      </w:r>
      <w:r>
        <w:tab/>
      </w:r>
      <w:r>
        <w:fldChar w:fldCharType="begin"/>
      </w:r>
      <w:r>
        <w:instrText xml:space="preserve"> PAGEREF _Toc28063 \h </w:instrText>
      </w:r>
      <w:r>
        <w:fldChar w:fldCharType="separate"/>
      </w:r>
      <w:r>
        <w:t>1</w:t>
      </w:r>
      <w:r>
        <w:fldChar w:fldCharType="end"/>
      </w:r>
      <w:r>
        <w:rPr>
          <w:bCs/>
          <w:color w:val="auto"/>
          <w:highlight w:val="none"/>
          <w:lang w:val="zh-CN"/>
        </w:rPr>
        <w:fldChar w:fldCharType="end"/>
      </w:r>
    </w:p>
    <w:p w14:paraId="0A116BEA">
      <w:pPr>
        <w:pStyle w:val="8"/>
        <w:tabs>
          <w:tab w:val="right" w:leader="dot" w:pos="8290"/>
        </w:tabs>
      </w:pPr>
      <w:r>
        <w:rPr>
          <w:bCs/>
          <w:color w:val="auto"/>
          <w:highlight w:val="none"/>
          <w:lang w:val="zh-CN"/>
        </w:rPr>
        <w:fldChar w:fldCharType="begin"/>
      </w:r>
      <w:r>
        <w:rPr>
          <w:bCs/>
          <w:highlight w:val="none"/>
          <w:lang w:val="zh-CN"/>
        </w:rPr>
        <w:instrText xml:space="preserve"> HYPERLINK \l _Toc2221 </w:instrText>
      </w:r>
      <w:r>
        <w:rPr>
          <w:bCs/>
          <w:highlight w:val="none"/>
          <w:lang w:val="zh-CN"/>
        </w:rPr>
        <w:fldChar w:fldCharType="separate"/>
      </w:r>
      <w:r>
        <w:rPr>
          <w:rFonts w:ascii="Times New Roman" w:hAnsi="Times New Roman" w:eastAsia="黑体" w:cs="宋体"/>
          <w:szCs w:val="20"/>
          <w:highlight w:val="none"/>
        </w:rPr>
        <w:t>9.2取样</w:t>
      </w:r>
      <w:r>
        <w:tab/>
      </w:r>
      <w:r>
        <w:fldChar w:fldCharType="begin"/>
      </w:r>
      <w:r>
        <w:instrText xml:space="preserve"> PAGEREF _Toc2221 \h </w:instrText>
      </w:r>
      <w:r>
        <w:fldChar w:fldCharType="separate"/>
      </w:r>
      <w:r>
        <w:t>1</w:t>
      </w:r>
      <w:r>
        <w:fldChar w:fldCharType="end"/>
      </w:r>
      <w:r>
        <w:rPr>
          <w:bCs/>
          <w:color w:val="auto"/>
          <w:highlight w:val="none"/>
          <w:lang w:val="zh-CN"/>
        </w:rPr>
        <w:fldChar w:fldCharType="end"/>
      </w:r>
    </w:p>
    <w:p w14:paraId="67E0CA22">
      <w:pPr>
        <w:pStyle w:val="8"/>
        <w:tabs>
          <w:tab w:val="right" w:leader="dot" w:pos="8290"/>
        </w:tabs>
      </w:pPr>
      <w:r>
        <w:rPr>
          <w:bCs/>
          <w:color w:val="auto"/>
          <w:highlight w:val="none"/>
          <w:lang w:val="zh-CN"/>
        </w:rPr>
        <w:fldChar w:fldCharType="begin"/>
      </w:r>
      <w:r>
        <w:rPr>
          <w:bCs/>
          <w:highlight w:val="none"/>
          <w:lang w:val="zh-CN"/>
        </w:rPr>
        <w:instrText xml:space="preserve"> HYPERLINK \l _Toc23055 </w:instrText>
      </w:r>
      <w:r>
        <w:rPr>
          <w:bCs/>
          <w:highlight w:val="none"/>
          <w:lang w:val="zh-CN"/>
        </w:rPr>
        <w:fldChar w:fldCharType="separate"/>
      </w:r>
      <w:r>
        <w:rPr>
          <w:rFonts w:ascii="Times New Roman" w:hAnsi="Times New Roman" w:eastAsia="黑体" w:cs="宋体"/>
          <w:szCs w:val="20"/>
          <w:highlight w:val="none"/>
        </w:rPr>
        <w:t>9.3材料、工程设备和工程的试验和检验</w:t>
      </w:r>
      <w:r>
        <w:tab/>
      </w:r>
      <w:r>
        <w:fldChar w:fldCharType="begin"/>
      </w:r>
      <w:r>
        <w:instrText xml:space="preserve"> PAGEREF _Toc23055 \h </w:instrText>
      </w:r>
      <w:r>
        <w:fldChar w:fldCharType="separate"/>
      </w:r>
      <w:r>
        <w:t>1</w:t>
      </w:r>
      <w:r>
        <w:fldChar w:fldCharType="end"/>
      </w:r>
      <w:r>
        <w:rPr>
          <w:bCs/>
          <w:color w:val="auto"/>
          <w:highlight w:val="none"/>
          <w:lang w:val="zh-CN"/>
        </w:rPr>
        <w:fldChar w:fldCharType="end"/>
      </w:r>
    </w:p>
    <w:p w14:paraId="5B72E1F7">
      <w:pPr>
        <w:pStyle w:val="8"/>
        <w:tabs>
          <w:tab w:val="right" w:leader="dot" w:pos="8290"/>
        </w:tabs>
      </w:pPr>
      <w:r>
        <w:rPr>
          <w:bCs/>
          <w:color w:val="auto"/>
          <w:highlight w:val="none"/>
          <w:lang w:val="zh-CN"/>
        </w:rPr>
        <w:fldChar w:fldCharType="begin"/>
      </w:r>
      <w:r>
        <w:rPr>
          <w:bCs/>
          <w:highlight w:val="none"/>
          <w:lang w:val="zh-CN"/>
        </w:rPr>
        <w:instrText xml:space="preserve"> HYPERLINK \l _Toc444 </w:instrText>
      </w:r>
      <w:r>
        <w:rPr>
          <w:bCs/>
          <w:highlight w:val="none"/>
          <w:lang w:val="zh-CN"/>
        </w:rPr>
        <w:fldChar w:fldCharType="separate"/>
      </w:r>
      <w:r>
        <w:rPr>
          <w:rFonts w:ascii="Times New Roman" w:hAnsi="Times New Roman" w:eastAsia="黑体" w:cs="宋体"/>
          <w:szCs w:val="20"/>
          <w:highlight w:val="none"/>
        </w:rPr>
        <w:t>9.4现场工艺试验</w:t>
      </w:r>
      <w:r>
        <w:tab/>
      </w:r>
      <w:r>
        <w:fldChar w:fldCharType="begin"/>
      </w:r>
      <w:r>
        <w:instrText xml:space="preserve"> PAGEREF _Toc444 \h </w:instrText>
      </w:r>
      <w:r>
        <w:fldChar w:fldCharType="separate"/>
      </w:r>
      <w:r>
        <w:t>1</w:t>
      </w:r>
      <w:r>
        <w:fldChar w:fldCharType="end"/>
      </w:r>
      <w:r>
        <w:rPr>
          <w:bCs/>
          <w:color w:val="auto"/>
          <w:highlight w:val="none"/>
          <w:lang w:val="zh-CN"/>
        </w:rPr>
        <w:fldChar w:fldCharType="end"/>
      </w:r>
    </w:p>
    <w:p w14:paraId="588754E6">
      <w:pPr>
        <w:pStyle w:val="13"/>
        <w:tabs>
          <w:tab w:val="right" w:leader="dot" w:pos="8290"/>
        </w:tabs>
      </w:pPr>
      <w:r>
        <w:rPr>
          <w:bCs/>
          <w:color w:val="auto"/>
          <w:highlight w:val="none"/>
          <w:lang w:val="zh-CN"/>
        </w:rPr>
        <w:fldChar w:fldCharType="begin"/>
      </w:r>
      <w:r>
        <w:rPr>
          <w:bCs/>
          <w:highlight w:val="none"/>
          <w:lang w:val="zh-CN"/>
        </w:rPr>
        <w:instrText xml:space="preserve"> HYPERLINK \l _Toc27888 </w:instrText>
      </w:r>
      <w:r>
        <w:rPr>
          <w:bCs/>
          <w:highlight w:val="none"/>
          <w:lang w:val="zh-CN"/>
        </w:rPr>
        <w:fldChar w:fldCharType="separate"/>
      </w:r>
      <w:r>
        <w:rPr>
          <w:rFonts w:ascii="Times New Roman" w:hAnsi="Times New Roman" w:eastAsia="黑体" w:cs="宋体"/>
          <w:szCs w:val="20"/>
          <w:highlight w:val="none"/>
        </w:rPr>
        <w:t>10. 变更</w:t>
      </w:r>
      <w:r>
        <w:tab/>
      </w:r>
      <w:r>
        <w:fldChar w:fldCharType="begin"/>
      </w:r>
      <w:r>
        <w:instrText xml:space="preserve"> PAGEREF _Toc27888 \h </w:instrText>
      </w:r>
      <w:r>
        <w:fldChar w:fldCharType="separate"/>
      </w:r>
      <w:r>
        <w:t>1</w:t>
      </w:r>
      <w:r>
        <w:fldChar w:fldCharType="end"/>
      </w:r>
      <w:r>
        <w:rPr>
          <w:bCs/>
          <w:color w:val="auto"/>
          <w:highlight w:val="none"/>
          <w:lang w:val="zh-CN"/>
        </w:rPr>
        <w:fldChar w:fldCharType="end"/>
      </w:r>
    </w:p>
    <w:p w14:paraId="0B92B795">
      <w:pPr>
        <w:pStyle w:val="8"/>
        <w:tabs>
          <w:tab w:val="right" w:leader="dot" w:pos="8290"/>
        </w:tabs>
      </w:pPr>
      <w:r>
        <w:rPr>
          <w:bCs/>
          <w:color w:val="auto"/>
          <w:highlight w:val="none"/>
          <w:lang w:val="zh-CN"/>
        </w:rPr>
        <w:fldChar w:fldCharType="begin"/>
      </w:r>
      <w:r>
        <w:rPr>
          <w:bCs/>
          <w:highlight w:val="none"/>
          <w:lang w:val="zh-CN"/>
        </w:rPr>
        <w:instrText xml:space="preserve"> HYPERLINK \l _Toc9106 </w:instrText>
      </w:r>
      <w:r>
        <w:rPr>
          <w:bCs/>
          <w:highlight w:val="none"/>
          <w:lang w:val="zh-CN"/>
        </w:rPr>
        <w:fldChar w:fldCharType="separate"/>
      </w:r>
      <w:r>
        <w:rPr>
          <w:rFonts w:ascii="Times New Roman" w:hAnsi="Times New Roman" w:eastAsia="黑体" w:cs="宋体"/>
          <w:szCs w:val="20"/>
          <w:highlight w:val="none"/>
        </w:rPr>
        <w:t>10.1变更的范围</w:t>
      </w:r>
      <w:r>
        <w:tab/>
      </w:r>
      <w:r>
        <w:fldChar w:fldCharType="begin"/>
      </w:r>
      <w:r>
        <w:instrText xml:space="preserve"> PAGEREF _Toc9106 \h </w:instrText>
      </w:r>
      <w:r>
        <w:fldChar w:fldCharType="separate"/>
      </w:r>
      <w:r>
        <w:t>1</w:t>
      </w:r>
      <w:r>
        <w:fldChar w:fldCharType="end"/>
      </w:r>
      <w:r>
        <w:rPr>
          <w:bCs/>
          <w:color w:val="auto"/>
          <w:highlight w:val="none"/>
          <w:lang w:val="zh-CN"/>
        </w:rPr>
        <w:fldChar w:fldCharType="end"/>
      </w:r>
    </w:p>
    <w:p w14:paraId="15FB6DA4">
      <w:pPr>
        <w:pStyle w:val="8"/>
        <w:tabs>
          <w:tab w:val="right" w:leader="dot" w:pos="8290"/>
        </w:tabs>
      </w:pPr>
      <w:r>
        <w:rPr>
          <w:bCs/>
          <w:color w:val="auto"/>
          <w:highlight w:val="none"/>
          <w:lang w:val="zh-CN"/>
        </w:rPr>
        <w:fldChar w:fldCharType="begin"/>
      </w:r>
      <w:r>
        <w:rPr>
          <w:bCs/>
          <w:highlight w:val="none"/>
          <w:lang w:val="zh-CN"/>
        </w:rPr>
        <w:instrText xml:space="preserve"> HYPERLINK \l _Toc31261 </w:instrText>
      </w:r>
      <w:r>
        <w:rPr>
          <w:bCs/>
          <w:highlight w:val="none"/>
          <w:lang w:val="zh-CN"/>
        </w:rPr>
        <w:fldChar w:fldCharType="separate"/>
      </w:r>
      <w:r>
        <w:rPr>
          <w:rFonts w:ascii="Times New Roman" w:hAnsi="Times New Roman" w:eastAsia="黑体" w:cs="宋体"/>
          <w:szCs w:val="20"/>
          <w:highlight w:val="none"/>
        </w:rPr>
        <w:t>10.2变更权</w:t>
      </w:r>
      <w:r>
        <w:tab/>
      </w:r>
      <w:r>
        <w:fldChar w:fldCharType="begin"/>
      </w:r>
      <w:r>
        <w:instrText xml:space="preserve"> PAGEREF _Toc31261 \h </w:instrText>
      </w:r>
      <w:r>
        <w:fldChar w:fldCharType="separate"/>
      </w:r>
      <w:r>
        <w:t>1</w:t>
      </w:r>
      <w:r>
        <w:fldChar w:fldCharType="end"/>
      </w:r>
      <w:r>
        <w:rPr>
          <w:bCs/>
          <w:color w:val="auto"/>
          <w:highlight w:val="none"/>
          <w:lang w:val="zh-CN"/>
        </w:rPr>
        <w:fldChar w:fldCharType="end"/>
      </w:r>
    </w:p>
    <w:p w14:paraId="49C9C926">
      <w:pPr>
        <w:pStyle w:val="8"/>
        <w:tabs>
          <w:tab w:val="right" w:leader="dot" w:pos="8290"/>
        </w:tabs>
      </w:pPr>
      <w:r>
        <w:rPr>
          <w:bCs/>
          <w:color w:val="auto"/>
          <w:highlight w:val="none"/>
          <w:lang w:val="zh-CN"/>
        </w:rPr>
        <w:fldChar w:fldCharType="begin"/>
      </w:r>
      <w:r>
        <w:rPr>
          <w:bCs/>
          <w:highlight w:val="none"/>
          <w:lang w:val="zh-CN"/>
        </w:rPr>
        <w:instrText xml:space="preserve"> HYPERLINK \l _Toc7574 </w:instrText>
      </w:r>
      <w:r>
        <w:rPr>
          <w:bCs/>
          <w:highlight w:val="none"/>
          <w:lang w:val="zh-CN"/>
        </w:rPr>
        <w:fldChar w:fldCharType="separate"/>
      </w:r>
      <w:r>
        <w:rPr>
          <w:rFonts w:ascii="Times New Roman" w:hAnsi="Times New Roman" w:eastAsia="黑体" w:cs="宋体"/>
          <w:szCs w:val="20"/>
          <w:highlight w:val="none"/>
        </w:rPr>
        <w:t>10.3变更程序</w:t>
      </w:r>
      <w:r>
        <w:tab/>
      </w:r>
      <w:r>
        <w:fldChar w:fldCharType="begin"/>
      </w:r>
      <w:r>
        <w:instrText xml:space="preserve"> PAGEREF _Toc7574 \h </w:instrText>
      </w:r>
      <w:r>
        <w:fldChar w:fldCharType="separate"/>
      </w:r>
      <w:r>
        <w:t>1</w:t>
      </w:r>
      <w:r>
        <w:fldChar w:fldCharType="end"/>
      </w:r>
      <w:r>
        <w:rPr>
          <w:bCs/>
          <w:color w:val="auto"/>
          <w:highlight w:val="none"/>
          <w:lang w:val="zh-CN"/>
        </w:rPr>
        <w:fldChar w:fldCharType="end"/>
      </w:r>
    </w:p>
    <w:p w14:paraId="7CFE3860">
      <w:pPr>
        <w:pStyle w:val="8"/>
        <w:tabs>
          <w:tab w:val="right" w:leader="dot" w:pos="8290"/>
        </w:tabs>
      </w:pPr>
      <w:r>
        <w:rPr>
          <w:bCs/>
          <w:color w:val="auto"/>
          <w:highlight w:val="none"/>
          <w:lang w:val="zh-CN"/>
        </w:rPr>
        <w:fldChar w:fldCharType="begin"/>
      </w:r>
      <w:r>
        <w:rPr>
          <w:bCs/>
          <w:highlight w:val="none"/>
          <w:lang w:val="zh-CN"/>
        </w:rPr>
        <w:instrText xml:space="preserve"> HYPERLINK \l _Toc14996 </w:instrText>
      </w:r>
      <w:r>
        <w:rPr>
          <w:bCs/>
          <w:highlight w:val="none"/>
          <w:lang w:val="zh-CN"/>
        </w:rPr>
        <w:fldChar w:fldCharType="separate"/>
      </w:r>
      <w:r>
        <w:rPr>
          <w:rFonts w:ascii="Times New Roman" w:hAnsi="Times New Roman" w:eastAsia="黑体" w:cs="宋体"/>
          <w:szCs w:val="20"/>
          <w:highlight w:val="none"/>
        </w:rPr>
        <w:t>10.4变更估价</w:t>
      </w:r>
      <w:r>
        <w:tab/>
      </w:r>
      <w:r>
        <w:fldChar w:fldCharType="begin"/>
      </w:r>
      <w:r>
        <w:instrText xml:space="preserve"> PAGEREF _Toc14996 \h </w:instrText>
      </w:r>
      <w:r>
        <w:fldChar w:fldCharType="separate"/>
      </w:r>
      <w:r>
        <w:t>1</w:t>
      </w:r>
      <w:r>
        <w:fldChar w:fldCharType="end"/>
      </w:r>
      <w:r>
        <w:rPr>
          <w:bCs/>
          <w:color w:val="auto"/>
          <w:highlight w:val="none"/>
          <w:lang w:val="zh-CN"/>
        </w:rPr>
        <w:fldChar w:fldCharType="end"/>
      </w:r>
    </w:p>
    <w:p w14:paraId="6D73F0BE">
      <w:pPr>
        <w:pStyle w:val="8"/>
        <w:tabs>
          <w:tab w:val="right" w:leader="dot" w:pos="8290"/>
        </w:tabs>
      </w:pPr>
      <w:r>
        <w:rPr>
          <w:bCs/>
          <w:color w:val="auto"/>
          <w:highlight w:val="none"/>
          <w:lang w:val="zh-CN"/>
        </w:rPr>
        <w:fldChar w:fldCharType="begin"/>
      </w:r>
      <w:r>
        <w:rPr>
          <w:bCs/>
          <w:highlight w:val="none"/>
          <w:lang w:val="zh-CN"/>
        </w:rPr>
        <w:instrText xml:space="preserve"> HYPERLINK \l _Toc5963 </w:instrText>
      </w:r>
      <w:r>
        <w:rPr>
          <w:bCs/>
          <w:highlight w:val="none"/>
          <w:lang w:val="zh-CN"/>
        </w:rPr>
        <w:fldChar w:fldCharType="separate"/>
      </w:r>
      <w:r>
        <w:rPr>
          <w:rFonts w:ascii="Times New Roman" w:hAnsi="Times New Roman" w:eastAsia="黑体" w:cs="宋体"/>
          <w:szCs w:val="20"/>
          <w:highlight w:val="none"/>
        </w:rPr>
        <w:t>10.5承包人的合理化建议</w:t>
      </w:r>
      <w:r>
        <w:tab/>
      </w:r>
      <w:r>
        <w:fldChar w:fldCharType="begin"/>
      </w:r>
      <w:r>
        <w:instrText xml:space="preserve"> PAGEREF _Toc5963 \h </w:instrText>
      </w:r>
      <w:r>
        <w:fldChar w:fldCharType="separate"/>
      </w:r>
      <w:r>
        <w:t>1</w:t>
      </w:r>
      <w:r>
        <w:fldChar w:fldCharType="end"/>
      </w:r>
      <w:r>
        <w:rPr>
          <w:bCs/>
          <w:color w:val="auto"/>
          <w:highlight w:val="none"/>
          <w:lang w:val="zh-CN"/>
        </w:rPr>
        <w:fldChar w:fldCharType="end"/>
      </w:r>
    </w:p>
    <w:p w14:paraId="64629EE0">
      <w:pPr>
        <w:pStyle w:val="8"/>
        <w:tabs>
          <w:tab w:val="right" w:leader="dot" w:pos="8290"/>
        </w:tabs>
      </w:pPr>
      <w:r>
        <w:rPr>
          <w:bCs/>
          <w:color w:val="auto"/>
          <w:highlight w:val="none"/>
          <w:lang w:val="zh-CN"/>
        </w:rPr>
        <w:fldChar w:fldCharType="begin"/>
      </w:r>
      <w:r>
        <w:rPr>
          <w:bCs/>
          <w:highlight w:val="none"/>
          <w:lang w:val="zh-CN"/>
        </w:rPr>
        <w:instrText xml:space="preserve"> HYPERLINK \l _Toc18495 </w:instrText>
      </w:r>
      <w:r>
        <w:rPr>
          <w:bCs/>
          <w:highlight w:val="none"/>
          <w:lang w:val="zh-CN"/>
        </w:rPr>
        <w:fldChar w:fldCharType="separate"/>
      </w:r>
      <w:r>
        <w:rPr>
          <w:rFonts w:ascii="Times New Roman" w:hAnsi="Times New Roman" w:eastAsia="黑体" w:cs="宋体"/>
          <w:szCs w:val="20"/>
          <w:highlight w:val="none"/>
        </w:rPr>
        <w:t>10.6变更引起的工期调整</w:t>
      </w:r>
      <w:r>
        <w:tab/>
      </w:r>
      <w:r>
        <w:fldChar w:fldCharType="begin"/>
      </w:r>
      <w:r>
        <w:instrText xml:space="preserve"> PAGEREF _Toc18495 \h </w:instrText>
      </w:r>
      <w:r>
        <w:fldChar w:fldCharType="separate"/>
      </w:r>
      <w:r>
        <w:t>1</w:t>
      </w:r>
      <w:r>
        <w:fldChar w:fldCharType="end"/>
      </w:r>
      <w:r>
        <w:rPr>
          <w:bCs/>
          <w:color w:val="auto"/>
          <w:highlight w:val="none"/>
          <w:lang w:val="zh-CN"/>
        </w:rPr>
        <w:fldChar w:fldCharType="end"/>
      </w:r>
    </w:p>
    <w:p w14:paraId="5D041563">
      <w:pPr>
        <w:pStyle w:val="8"/>
        <w:tabs>
          <w:tab w:val="right" w:leader="dot" w:pos="8290"/>
        </w:tabs>
      </w:pPr>
      <w:r>
        <w:rPr>
          <w:bCs/>
          <w:color w:val="auto"/>
          <w:highlight w:val="none"/>
          <w:lang w:val="zh-CN"/>
        </w:rPr>
        <w:fldChar w:fldCharType="begin"/>
      </w:r>
      <w:r>
        <w:rPr>
          <w:bCs/>
          <w:highlight w:val="none"/>
          <w:lang w:val="zh-CN"/>
        </w:rPr>
        <w:instrText xml:space="preserve"> HYPERLINK \l _Toc31114 </w:instrText>
      </w:r>
      <w:r>
        <w:rPr>
          <w:bCs/>
          <w:highlight w:val="none"/>
          <w:lang w:val="zh-CN"/>
        </w:rPr>
        <w:fldChar w:fldCharType="separate"/>
      </w:r>
      <w:r>
        <w:rPr>
          <w:rFonts w:ascii="Times New Roman" w:hAnsi="Times New Roman" w:eastAsia="黑体" w:cs="宋体"/>
          <w:szCs w:val="20"/>
          <w:highlight w:val="none"/>
        </w:rPr>
        <w:t>10.7暂估价</w:t>
      </w:r>
      <w:r>
        <w:tab/>
      </w:r>
      <w:r>
        <w:fldChar w:fldCharType="begin"/>
      </w:r>
      <w:r>
        <w:instrText xml:space="preserve"> PAGEREF _Toc31114 \h </w:instrText>
      </w:r>
      <w:r>
        <w:fldChar w:fldCharType="separate"/>
      </w:r>
      <w:r>
        <w:t>1</w:t>
      </w:r>
      <w:r>
        <w:fldChar w:fldCharType="end"/>
      </w:r>
      <w:r>
        <w:rPr>
          <w:bCs/>
          <w:color w:val="auto"/>
          <w:highlight w:val="none"/>
          <w:lang w:val="zh-CN"/>
        </w:rPr>
        <w:fldChar w:fldCharType="end"/>
      </w:r>
    </w:p>
    <w:p w14:paraId="3072BBCE">
      <w:pPr>
        <w:pStyle w:val="8"/>
        <w:tabs>
          <w:tab w:val="right" w:leader="dot" w:pos="8290"/>
        </w:tabs>
      </w:pPr>
      <w:r>
        <w:rPr>
          <w:bCs/>
          <w:color w:val="auto"/>
          <w:highlight w:val="none"/>
          <w:lang w:val="zh-CN"/>
        </w:rPr>
        <w:fldChar w:fldCharType="begin"/>
      </w:r>
      <w:r>
        <w:rPr>
          <w:bCs/>
          <w:highlight w:val="none"/>
          <w:lang w:val="zh-CN"/>
        </w:rPr>
        <w:instrText xml:space="preserve"> HYPERLINK \l _Toc3294 </w:instrText>
      </w:r>
      <w:r>
        <w:rPr>
          <w:bCs/>
          <w:highlight w:val="none"/>
          <w:lang w:val="zh-CN"/>
        </w:rPr>
        <w:fldChar w:fldCharType="separate"/>
      </w:r>
      <w:r>
        <w:rPr>
          <w:rFonts w:ascii="Times New Roman" w:hAnsi="Times New Roman" w:eastAsia="黑体" w:cs="宋体"/>
          <w:szCs w:val="20"/>
          <w:highlight w:val="none"/>
        </w:rPr>
        <w:t>10.8暂列金额</w:t>
      </w:r>
      <w:r>
        <w:tab/>
      </w:r>
      <w:r>
        <w:fldChar w:fldCharType="begin"/>
      </w:r>
      <w:r>
        <w:instrText xml:space="preserve"> PAGEREF _Toc3294 \h </w:instrText>
      </w:r>
      <w:r>
        <w:fldChar w:fldCharType="separate"/>
      </w:r>
      <w:r>
        <w:t>1</w:t>
      </w:r>
      <w:r>
        <w:fldChar w:fldCharType="end"/>
      </w:r>
      <w:r>
        <w:rPr>
          <w:bCs/>
          <w:color w:val="auto"/>
          <w:highlight w:val="none"/>
          <w:lang w:val="zh-CN"/>
        </w:rPr>
        <w:fldChar w:fldCharType="end"/>
      </w:r>
    </w:p>
    <w:p w14:paraId="00157980">
      <w:pPr>
        <w:pStyle w:val="8"/>
        <w:tabs>
          <w:tab w:val="right" w:leader="dot" w:pos="8290"/>
        </w:tabs>
      </w:pPr>
      <w:r>
        <w:rPr>
          <w:bCs/>
          <w:color w:val="auto"/>
          <w:highlight w:val="none"/>
          <w:lang w:val="zh-CN"/>
        </w:rPr>
        <w:fldChar w:fldCharType="begin"/>
      </w:r>
      <w:r>
        <w:rPr>
          <w:bCs/>
          <w:highlight w:val="none"/>
          <w:lang w:val="zh-CN"/>
        </w:rPr>
        <w:instrText xml:space="preserve"> HYPERLINK \l _Toc16949 </w:instrText>
      </w:r>
      <w:r>
        <w:rPr>
          <w:bCs/>
          <w:highlight w:val="none"/>
          <w:lang w:val="zh-CN"/>
        </w:rPr>
        <w:fldChar w:fldCharType="separate"/>
      </w:r>
      <w:r>
        <w:rPr>
          <w:rFonts w:ascii="Times New Roman" w:hAnsi="Times New Roman" w:eastAsia="黑体" w:cs="宋体"/>
          <w:szCs w:val="20"/>
          <w:highlight w:val="none"/>
        </w:rPr>
        <w:t>10.9计日工</w:t>
      </w:r>
      <w:r>
        <w:tab/>
      </w:r>
      <w:r>
        <w:fldChar w:fldCharType="begin"/>
      </w:r>
      <w:r>
        <w:instrText xml:space="preserve"> PAGEREF _Toc16949 \h </w:instrText>
      </w:r>
      <w:r>
        <w:fldChar w:fldCharType="separate"/>
      </w:r>
      <w:r>
        <w:t>1</w:t>
      </w:r>
      <w:r>
        <w:fldChar w:fldCharType="end"/>
      </w:r>
      <w:r>
        <w:rPr>
          <w:bCs/>
          <w:color w:val="auto"/>
          <w:highlight w:val="none"/>
          <w:lang w:val="zh-CN"/>
        </w:rPr>
        <w:fldChar w:fldCharType="end"/>
      </w:r>
    </w:p>
    <w:p w14:paraId="0600F923">
      <w:pPr>
        <w:pStyle w:val="13"/>
        <w:tabs>
          <w:tab w:val="right" w:leader="dot" w:pos="8290"/>
        </w:tabs>
      </w:pPr>
      <w:r>
        <w:rPr>
          <w:bCs/>
          <w:color w:val="auto"/>
          <w:highlight w:val="none"/>
          <w:lang w:val="zh-CN"/>
        </w:rPr>
        <w:fldChar w:fldCharType="begin"/>
      </w:r>
      <w:r>
        <w:rPr>
          <w:bCs/>
          <w:highlight w:val="none"/>
          <w:lang w:val="zh-CN"/>
        </w:rPr>
        <w:instrText xml:space="preserve"> HYPERLINK \l _Toc25960 </w:instrText>
      </w:r>
      <w:r>
        <w:rPr>
          <w:bCs/>
          <w:highlight w:val="none"/>
          <w:lang w:val="zh-CN"/>
        </w:rPr>
        <w:fldChar w:fldCharType="separate"/>
      </w:r>
      <w:r>
        <w:rPr>
          <w:rFonts w:ascii="Times New Roman" w:hAnsi="Times New Roman" w:eastAsia="黑体" w:cs="宋体"/>
          <w:szCs w:val="20"/>
          <w:highlight w:val="none"/>
        </w:rPr>
        <w:t>11. 价格调整</w:t>
      </w:r>
      <w:r>
        <w:tab/>
      </w:r>
      <w:r>
        <w:fldChar w:fldCharType="begin"/>
      </w:r>
      <w:r>
        <w:instrText xml:space="preserve"> PAGEREF _Toc25960 \h </w:instrText>
      </w:r>
      <w:r>
        <w:fldChar w:fldCharType="separate"/>
      </w:r>
      <w:r>
        <w:t>1</w:t>
      </w:r>
      <w:r>
        <w:fldChar w:fldCharType="end"/>
      </w:r>
      <w:r>
        <w:rPr>
          <w:bCs/>
          <w:color w:val="auto"/>
          <w:highlight w:val="none"/>
          <w:lang w:val="zh-CN"/>
        </w:rPr>
        <w:fldChar w:fldCharType="end"/>
      </w:r>
    </w:p>
    <w:p w14:paraId="701D8094">
      <w:pPr>
        <w:pStyle w:val="8"/>
        <w:tabs>
          <w:tab w:val="right" w:leader="dot" w:pos="8290"/>
        </w:tabs>
      </w:pPr>
      <w:r>
        <w:rPr>
          <w:bCs/>
          <w:color w:val="auto"/>
          <w:highlight w:val="none"/>
          <w:lang w:val="zh-CN"/>
        </w:rPr>
        <w:fldChar w:fldCharType="begin"/>
      </w:r>
      <w:r>
        <w:rPr>
          <w:bCs/>
          <w:highlight w:val="none"/>
          <w:lang w:val="zh-CN"/>
        </w:rPr>
        <w:instrText xml:space="preserve"> HYPERLINK \l _Toc16024 </w:instrText>
      </w:r>
      <w:r>
        <w:rPr>
          <w:bCs/>
          <w:highlight w:val="none"/>
          <w:lang w:val="zh-CN"/>
        </w:rPr>
        <w:fldChar w:fldCharType="separate"/>
      </w:r>
      <w:r>
        <w:rPr>
          <w:rFonts w:ascii="Times New Roman" w:hAnsi="Times New Roman" w:eastAsia="黑体" w:cs="宋体"/>
          <w:szCs w:val="20"/>
          <w:highlight w:val="none"/>
        </w:rPr>
        <w:t>11.1市场价格波动引起的调整</w:t>
      </w:r>
      <w:r>
        <w:tab/>
      </w:r>
      <w:r>
        <w:fldChar w:fldCharType="begin"/>
      </w:r>
      <w:r>
        <w:instrText xml:space="preserve"> PAGEREF _Toc16024 \h </w:instrText>
      </w:r>
      <w:r>
        <w:fldChar w:fldCharType="separate"/>
      </w:r>
      <w:r>
        <w:t>1</w:t>
      </w:r>
      <w:r>
        <w:fldChar w:fldCharType="end"/>
      </w:r>
      <w:r>
        <w:rPr>
          <w:bCs/>
          <w:color w:val="auto"/>
          <w:highlight w:val="none"/>
          <w:lang w:val="zh-CN"/>
        </w:rPr>
        <w:fldChar w:fldCharType="end"/>
      </w:r>
    </w:p>
    <w:p w14:paraId="2F4C373E">
      <w:pPr>
        <w:pStyle w:val="8"/>
        <w:tabs>
          <w:tab w:val="right" w:leader="dot" w:pos="8290"/>
        </w:tabs>
      </w:pPr>
      <w:r>
        <w:rPr>
          <w:bCs/>
          <w:color w:val="auto"/>
          <w:highlight w:val="none"/>
          <w:lang w:val="zh-CN"/>
        </w:rPr>
        <w:fldChar w:fldCharType="begin"/>
      </w:r>
      <w:r>
        <w:rPr>
          <w:bCs/>
          <w:highlight w:val="none"/>
          <w:lang w:val="zh-CN"/>
        </w:rPr>
        <w:instrText xml:space="preserve"> HYPERLINK \l _Toc1379 </w:instrText>
      </w:r>
      <w:r>
        <w:rPr>
          <w:bCs/>
          <w:highlight w:val="none"/>
          <w:lang w:val="zh-CN"/>
        </w:rPr>
        <w:fldChar w:fldCharType="separate"/>
      </w:r>
      <w:r>
        <w:rPr>
          <w:rFonts w:ascii="Times New Roman" w:hAnsi="Times New Roman" w:eastAsia="黑体" w:cs="宋体"/>
          <w:szCs w:val="20"/>
          <w:highlight w:val="none"/>
        </w:rPr>
        <w:t>11.2法律变化引起的调整</w:t>
      </w:r>
      <w:r>
        <w:tab/>
      </w:r>
      <w:r>
        <w:fldChar w:fldCharType="begin"/>
      </w:r>
      <w:r>
        <w:instrText xml:space="preserve"> PAGEREF _Toc1379 \h </w:instrText>
      </w:r>
      <w:r>
        <w:fldChar w:fldCharType="separate"/>
      </w:r>
      <w:r>
        <w:t>1</w:t>
      </w:r>
      <w:r>
        <w:fldChar w:fldCharType="end"/>
      </w:r>
      <w:r>
        <w:rPr>
          <w:bCs/>
          <w:color w:val="auto"/>
          <w:highlight w:val="none"/>
          <w:lang w:val="zh-CN"/>
        </w:rPr>
        <w:fldChar w:fldCharType="end"/>
      </w:r>
    </w:p>
    <w:p w14:paraId="183C197B">
      <w:pPr>
        <w:pStyle w:val="13"/>
        <w:tabs>
          <w:tab w:val="right" w:leader="dot" w:pos="8290"/>
        </w:tabs>
      </w:pPr>
      <w:r>
        <w:rPr>
          <w:bCs/>
          <w:color w:val="auto"/>
          <w:highlight w:val="none"/>
          <w:lang w:val="zh-CN"/>
        </w:rPr>
        <w:fldChar w:fldCharType="begin"/>
      </w:r>
      <w:r>
        <w:rPr>
          <w:bCs/>
          <w:highlight w:val="none"/>
          <w:lang w:val="zh-CN"/>
        </w:rPr>
        <w:instrText xml:space="preserve"> HYPERLINK \l _Toc10720 </w:instrText>
      </w:r>
      <w:r>
        <w:rPr>
          <w:bCs/>
          <w:highlight w:val="none"/>
          <w:lang w:val="zh-CN"/>
        </w:rPr>
        <w:fldChar w:fldCharType="separate"/>
      </w:r>
      <w:r>
        <w:rPr>
          <w:rFonts w:ascii="Times New Roman" w:hAnsi="Times New Roman" w:eastAsia="黑体" w:cs="宋体"/>
          <w:szCs w:val="20"/>
          <w:highlight w:val="none"/>
        </w:rPr>
        <w:t>12. 合同价格、计量与支付</w:t>
      </w:r>
      <w:r>
        <w:tab/>
      </w:r>
      <w:r>
        <w:fldChar w:fldCharType="begin"/>
      </w:r>
      <w:r>
        <w:instrText xml:space="preserve"> PAGEREF _Toc10720 \h </w:instrText>
      </w:r>
      <w:r>
        <w:fldChar w:fldCharType="separate"/>
      </w:r>
      <w:r>
        <w:t>1</w:t>
      </w:r>
      <w:r>
        <w:fldChar w:fldCharType="end"/>
      </w:r>
      <w:r>
        <w:rPr>
          <w:bCs/>
          <w:color w:val="auto"/>
          <w:highlight w:val="none"/>
          <w:lang w:val="zh-CN"/>
        </w:rPr>
        <w:fldChar w:fldCharType="end"/>
      </w:r>
    </w:p>
    <w:p w14:paraId="157A8072">
      <w:pPr>
        <w:pStyle w:val="8"/>
        <w:tabs>
          <w:tab w:val="right" w:leader="dot" w:pos="8290"/>
        </w:tabs>
      </w:pPr>
      <w:r>
        <w:rPr>
          <w:bCs/>
          <w:color w:val="auto"/>
          <w:highlight w:val="none"/>
          <w:lang w:val="zh-CN"/>
        </w:rPr>
        <w:fldChar w:fldCharType="begin"/>
      </w:r>
      <w:r>
        <w:rPr>
          <w:bCs/>
          <w:highlight w:val="none"/>
          <w:lang w:val="zh-CN"/>
        </w:rPr>
        <w:instrText xml:space="preserve"> HYPERLINK \l _Toc16894 </w:instrText>
      </w:r>
      <w:r>
        <w:rPr>
          <w:bCs/>
          <w:highlight w:val="none"/>
          <w:lang w:val="zh-CN"/>
        </w:rPr>
        <w:fldChar w:fldCharType="separate"/>
      </w:r>
      <w:r>
        <w:rPr>
          <w:rFonts w:ascii="Times New Roman" w:hAnsi="Times New Roman" w:eastAsia="黑体" w:cs="宋体"/>
          <w:szCs w:val="20"/>
          <w:highlight w:val="none"/>
        </w:rPr>
        <w:t>12.1 合同价格形式</w:t>
      </w:r>
      <w:r>
        <w:tab/>
      </w:r>
      <w:r>
        <w:fldChar w:fldCharType="begin"/>
      </w:r>
      <w:r>
        <w:instrText xml:space="preserve"> PAGEREF _Toc16894 \h </w:instrText>
      </w:r>
      <w:r>
        <w:fldChar w:fldCharType="separate"/>
      </w:r>
      <w:r>
        <w:t>1</w:t>
      </w:r>
      <w:r>
        <w:fldChar w:fldCharType="end"/>
      </w:r>
      <w:r>
        <w:rPr>
          <w:bCs/>
          <w:color w:val="auto"/>
          <w:highlight w:val="none"/>
          <w:lang w:val="zh-CN"/>
        </w:rPr>
        <w:fldChar w:fldCharType="end"/>
      </w:r>
    </w:p>
    <w:p w14:paraId="24DB505C">
      <w:pPr>
        <w:pStyle w:val="8"/>
        <w:tabs>
          <w:tab w:val="right" w:leader="dot" w:pos="8290"/>
        </w:tabs>
      </w:pPr>
      <w:r>
        <w:rPr>
          <w:bCs/>
          <w:color w:val="auto"/>
          <w:highlight w:val="none"/>
          <w:lang w:val="zh-CN"/>
        </w:rPr>
        <w:fldChar w:fldCharType="begin"/>
      </w:r>
      <w:r>
        <w:rPr>
          <w:bCs/>
          <w:highlight w:val="none"/>
          <w:lang w:val="zh-CN"/>
        </w:rPr>
        <w:instrText xml:space="preserve"> HYPERLINK \l _Toc22611 </w:instrText>
      </w:r>
      <w:r>
        <w:rPr>
          <w:bCs/>
          <w:highlight w:val="none"/>
          <w:lang w:val="zh-CN"/>
        </w:rPr>
        <w:fldChar w:fldCharType="separate"/>
      </w:r>
      <w:r>
        <w:rPr>
          <w:rFonts w:ascii="Times New Roman" w:hAnsi="Times New Roman" w:eastAsia="黑体" w:cs="宋体"/>
          <w:szCs w:val="20"/>
          <w:highlight w:val="none"/>
        </w:rPr>
        <w:t>12.2预付款</w:t>
      </w:r>
      <w:r>
        <w:tab/>
      </w:r>
      <w:r>
        <w:fldChar w:fldCharType="begin"/>
      </w:r>
      <w:r>
        <w:instrText xml:space="preserve"> PAGEREF _Toc22611 \h </w:instrText>
      </w:r>
      <w:r>
        <w:fldChar w:fldCharType="separate"/>
      </w:r>
      <w:r>
        <w:t>1</w:t>
      </w:r>
      <w:r>
        <w:fldChar w:fldCharType="end"/>
      </w:r>
      <w:r>
        <w:rPr>
          <w:bCs/>
          <w:color w:val="auto"/>
          <w:highlight w:val="none"/>
          <w:lang w:val="zh-CN"/>
        </w:rPr>
        <w:fldChar w:fldCharType="end"/>
      </w:r>
    </w:p>
    <w:p w14:paraId="1E468408">
      <w:pPr>
        <w:pStyle w:val="8"/>
        <w:tabs>
          <w:tab w:val="right" w:leader="dot" w:pos="8290"/>
        </w:tabs>
      </w:pPr>
      <w:r>
        <w:rPr>
          <w:bCs/>
          <w:color w:val="auto"/>
          <w:highlight w:val="none"/>
          <w:lang w:val="zh-CN"/>
        </w:rPr>
        <w:fldChar w:fldCharType="begin"/>
      </w:r>
      <w:r>
        <w:rPr>
          <w:bCs/>
          <w:highlight w:val="none"/>
          <w:lang w:val="zh-CN"/>
        </w:rPr>
        <w:instrText xml:space="preserve"> HYPERLINK \l _Toc27380 </w:instrText>
      </w:r>
      <w:r>
        <w:rPr>
          <w:bCs/>
          <w:highlight w:val="none"/>
          <w:lang w:val="zh-CN"/>
        </w:rPr>
        <w:fldChar w:fldCharType="separate"/>
      </w:r>
      <w:r>
        <w:rPr>
          <w:rFonts w:ascii="Times New Roman" w:hAnsi="Times New Roman" w:eastAsia="黑体" w:cs="宋体"/>
          <w:szCs w:val="20"/>
          <w:highlight w:val="none"/>
        </w:rPr>
        <w:t>12.3计量</w:t>
      </w:r>
      <w:r>
        <w:tab/>
      </w:r>
      <w:r>
        <w:fldChar w:fldCharType="begin"/>
      </w:r>
      <w:r>
        <w:instrText xml:space="preserve"> PAGEREF _Toc27380 \h </w:instrText>
      </w:r>
      <w:r>
        <w:fldChar w:fldCharType="separate"/>
      </w:r>
      <w:r>
        <w:t>1</w:t>
      </w:r>
      <w:r>
        <w:fldChar w:fldCharType="end"/>
      </w:r>
      <w:r>
        <w:rPr>
          <w:bCs/>
          <w:color w:val="auto"/>
          <w:highlight w:val="none"/>
          <w:lang w:val="zh-CN"/>
        </w:rPr>
        <w:fldChar w:fldCharType="end"/>
      </w:r>
    </w:p>
    <w:p w14:paraId="47DFFAC9">
      <w:pPr>
        <w:pStyle w:val="8"/>
        <w:tabs>
          <w:tab w:val="right" w:leader="dot" w:pos="8290"/>
        </w:tabs>
      </w:pPr>
      <w:r>
        <w:rPr>
          <w:bCs/>
          <w:color w:val="auto"/>
          <w:highlight w:val="none"/>
          <w:lang w:val="zh-CN"/>
        </w:rPr>
        <w:fldChar w:fldCharType="begin"/>
      </w:r>
      <w:r>
        <w:rPr>
          <w:bCs/>
          <w:highlight w:val="none"/>
          <w:lang w:val="zh-CN"/>
        </w:rPr>
        <w:instrText xml:space="preserve"> HYPERLINK \l _Toc7464 </w:instrText>
      </w:r>
      <w:r>
        <w:rPr>
          <w:bCs/>
          <w:highlight w:val="none"/>
          <w:lang w:val="zh-CN"/>
        </w:rPr>
        <w:fldChar w:fldCharType="separate"/>
      </w:r>
      <w:r>
        <w:rPr>
          <w:rFonts w:ascii="Times New Roman" w:hAnsi="Times New Roman" w:eastAsia="黑体" w:cs="宋体"/>
          <w:szCs w:val="20"/>
          <w:highlight w:val="none"/>
        </w:rPr>
        <w:t>12.4工程进度款支付</w:t>
      </w:r>
      <w:r>
        <w:tab/>
      </w:r>
      <w:r>
        <w:fldChar w:fldCharType="begin"/>
      </w:r>
      <w:r>
        <w:instrText xml:space="preserve"> PAGEREF _Toc7464 \h </w:instrText>
      </w:r>
      <w:r>
        <w:fldChar w:fldCharType="separate"/>
      </w:r>
      <w:r>
        <w:t>1</w:t>
      </w:r>
      <w:r>
        <w:fldChar w:fldCharType="end"/>
      </w:r>
      <w:r>
        <w:rPr>
          <w:bCs/>
          <w:color w:val="auto"/>
          <w:highlight w:val="none"/>
          <w:lang w:val="zh-CN"/>
        </w:rPr>
        <w:fldChar w:fldCharType="end"/>
      </w:r>
    </w:p>
    <w:p w14:paraId="42DC91E0">
      <w:pPr>
        <w:pStyle w:val="8"/>
        <w:tabs>
          <w:tab w:val="right" w:leader="dot" w:pos="8290"/>
        </w:tabs>
      </w:pPr>
      <w:r>
        <w:rPr>
          <w:bCs/>
          <w:color w:val="auto"/>
          <w:highlight w:val="none"/>
          <w:lang w:val="zh-CN"/>
        </w:rPr>
        <w:fldChar w:fldCharType="begin"/>
      </w:r>
      <w:r>
        <w:rPr>
          <w:bCs/>
          <w:highlight w:val="none"/>
          <w:lang w:val="zh-CN"/>
        </w:rPr>
        <w:instrText xml:space="preserve"> HYPERLINK \l _Toc18297 </w:instrText>
      </w:r>
      <w:r>
        <w:rPr>
          <w:bCs/>
          <w:highlight w:val="none"/>
          <w:lang w:val="zh-CN"/>
        </w:rPr>
        <w:fldChar w:fldCharType="separate"/>
      </w:r>
      <w:r>
        <w:rPr>
          <w:rFonts w:ascii="Times New Roman" w:hAnsi="Times New Roman" w:eastAsia="黑体" w:cs="宋体"/>
          <w:szCs w:val="20"/>
          <w:highlight w:val="none"/>
        </w:rPr>
        <w:t>12.5支付账户</w:t>
      </w:r>
      <w:r>
        <w:tab/>
      </w:r>
      <w:r>
        <w:fldChar w:fldCharType="begin"/>
      </w:r>
      <w:r>
        <w:instrText xml:space="preserve"> PAGEREF _Toc18297 \h </w:instrText>
      </w:r>
      <w:r>
        <w:fldChar w:fldCharType="separate"/>
      </w:r>
      <w:r>
        <w:t>1</w:t>
      </w:r>
      <w:r>
        <w:fldChar w:fldCharType="end"/>
      </w:r>
      <w:r>
        <w:rPr>
          <w:bCs/>
          <w:color w:val="auto"/>
          <w:highlight w:val="none"/>
          <w:lang w:val="zh-CN"/>
        </w:rPr>
        <w:fldChar w:fldCharType="end"/>
      </w:r>
    </w:p>
    <w:p w14:paraId="044A328F">
      <w:pPr>
        <w:pStyle w:val="13"/>
        <w:tabs>
          <w:tab w:val="right" w:leader="dot" w:pos="8290"/>
        </w:tabs>
      </w:pPr>
      <w:r>
        <w:rPr>
          <w:bCs/>
          <w:color w:val="auto"/>
          <w:highlight w:val="none"/>
          <w:lang w:val="zh-CN"/>
        </w:rPr>
        <w:fldChar w:fldCharType="begin"/>
      </w:r>
      <w:r>
        <w:rPr>
          <w:bCs/>
          <w:highlight w:val="none"/>
          <w:lang w:val="zh-CN"/>
        </w:rPr>
        <w:instrText xml:space="preserve"> HYPERLINK \l _Toc18476 </w:instrText>
      </w:r>
      <w:r>
        <w:rPr>
          <w:bCs/>
          <w:highlight w:val="none"/>
          <w:lang w:val="zh-CN"/>
        </w:rPr>
        <w:fldChar w:fldCharType="separate"/>
      </w:r>
      <w:r>
        <w:rPr>
          <w:rFonts w:ascii="Times New Roman" w:hAnsi="Times New Roman" w:eastAsia="黑体" w:cs="宋体"/>
          <w:szCs w:val="20"/>
          <w:highlight w:val="none"/>
        </w:rPr>
        <w:t>13. 验收和工程试车</w:t>
      </w:r>
      <w:r>
        <w:tab/>
      </w:r>
      <w:r>
        <w:fldChar w:fldCharType="begin"/>
      </w:r>
      <w:r>
        <w:instrText xml:space="preserve"> PAGEREF _Toc18476 \h </w:instrText>
      </w:r>
      <w:r>
        <w:fldChar w:fldCharType="separate"/>
      </w:r>
      <w:r>
        <w:t>1</w:t>
      </w:r>
      <w:r>
        <w:fldChar w:fldCharType="end"/>
      </w:r>
      <w:r>
        <w:rPr>
          <w:bCs/>
          <w:color w:val="auto"/>
          <w:highlight w:val="none"/>
          <w:lang w:val="zh-CN"/>
        </w:rPr>
        <w:fldChar w:fldCharType="end"/>
      </w:r>
    </w:p>
    <w:p w14:paraId="63CCC7A4">
      <w:pPr>
        <w:pStyle w:val="8"/>
        <w:tabs>
          <w:tab w:val="right" w:leader="dot" w:pos="8290"/>
        </w:tabs>
      </w:pPr>
      <w:r>
        <w:rPr>
          <w:bCs/>
          <w:color w:val="auto"/>
          <w:highlight w:val="none"/>
          <w:lang w:val="zh-CN"/>
        </w:rPr>
        <w:fldChar w:fldCharType="begin"/>
      </w:r>
      <w:r>
        <w:rPr>
          <w:bCs/>
          <w:highlight w:val="none"/>
          <w:lang w:val="zh-CN"/>
        </w:rPr>
        <w:instrText xml:space="preserve"> HYPERLINK \l _Toc16335 </w:instrText>
      </w:r>
      <w:r>
        <w:rPr>
          <w:bCs/>
          <w:highlight w:val="none"/>
          <w:lang w:val="zh-CN"/>
        </w:rPr>
        <w:fldChar w:fldCharType="separate"/>
      </w:r>
      <w:r>
        <w:rPr>
          <w:rFonts w:ascii="Times New Roman" w:hAnsi="Times New Roman" w:eastAsia="黑体" w:cs="宋体"/>
          <w:szCs w:val="20"/>
          <w:highlight w:val="none"/>
        </w:rPr>
        <w:t>13.1分部分项工程验收</w:t>
      </w:r>
      <w:r>
        <w:tab/>
      </w:r>
      <w:r>
        <w:fldChar w:fldCharType="begin"/>
      </w:r>
      <w:r>
        <w:instrText xml:space="preserve"> PAGEREF _Toc16335 \h </w:instrText>
      </w:r>
      <w:r>
        <w:fldChar w:fldCharType="separate"/>
      </w:r>
      <w:r>
        <w:t>1</w:t>
      </w:r>
      <w:r>
        <w:fldChar w:fldCharType="end"/>
      </w:r>
      <w:r>
        <w:rPr>
          <w:bCs/>
          <w:color w:val="auto"/>
          <w:highlight w:val="none"/>
          <w:lang w:val="zh-CN"/>
        </w:rPr>
        <w:fldChar w:fldCharType="end"/>
      </w:r>
    </w:p>
    <w:p w14:paraId="1989EB39">
      <w:pPr>
        <w:pStyle w:val="8"/>
        <w:tabs>
          <w:tab w:val="right" w:leader="dot" w:pos="8290"/>
        </w:tabs>
      </w:pPr>
      <w:r>
        <w:rPr>
          <w:bCs/>
          <w:color w:val="auto"/>
          <w:highlight w:val="none"/>
          <w:lang w:val="zh-CN"/>
        </w:rPr>
        <w:fldChar w:fldCharType="begin"/>
      </w:r>
      <w:r>
        <w:rPr>
          <w:bCs/>
          <w:highlight w:val="none"/>
          <w:lang w:val="zh-CN"/>
        </w:rPr>
        <w:instrText xml:space="preserve"> HYPERLINK \l _Toc16801 </w:instrText>
      </w:r>
      <w:r>
        <w:rPr>
          <w:bCs/>
          <w:highlight w:val="none"/>
          <w:lang w:val="zh-CN"/>
        </w:rPr>
        <w:fldChar w:fldCharType="separate"/>
      </w:r>
      <w:r>
        <w:rPr>
          <w:rFonts w:ascii="Times New Roman" w:hAnsi="Times New Roman" w:eastAsia="黑体" w:cs="宋体"/>
          <w:szCs w:val="20"/>
          <w:highlight w:val="none"/>
        </w:rPr>
        <w:t>13.2竣工验收</w:t>
      </w:r>
      <w:r>
        <w:tab/>
      </w:r>
      <w:r>
        <w:fldChar w:fldCharType="begin"/>
      </w:r>
      <w:r>
        <w:instrText xml:space="preserve"> PAGEREF _Toc16801 \h </w:instrText>
      </w:r>
      <w:r>
        <w:fldChar w:fldCharType="separate"/>
      </w:r>
      <w:r>
        <w:t>1</w:t>
      </w:r>
      <w:r>
        <w:fldChar w:fldCharType="end"/>
      </w:r>
      <w:r>
        <w:rPr>
          <w:bCs/>
          <w:color w:val="auto"/>
          <w:highlight w:val="none"/>
          <w:lang w:val="zh-CN"/>
        </w:rPr>
        <w:fldChar w:fldCharType="end"/>
      </w:r>
    </w:p>
    <w:p w14:paraId="4C6B131C">
      <w:pPr>
        <w:pStyle w:val="8"/>
        <w:tabs>
          <w:tab w:val="right" w:leader="dot" w:pos="8290"/>
        </w:tabs>
      </w:pPr>
      <w:r>
        <w:rPr>
          <w:bCs/>
          <w:color w:val="auto"/>
          <w:highlight w:val="none"/>
          <w:lang w:val="zh-CN"/>
        </w:rPr>
        <w:fldChar w:fldCharType="begin"/>
      </w:r>
      <w:r>
        <w:rPr>
          <w:bCs/>
          <w:highlight w:val="none"/>
          <w:lang w:val="zh-CN"/>
        </w:rPr>
        <w:instrText xml:space="preserve"> HYPERLINK \l _Toc16428 </w:instrText>
      </w:r>
      <w:r>
        <w:rPr>
          <w:bCs/>
          <w:highlight w:val="none"/>
          <w:lang w:val="zh-CN"/>
        </w:rPr>
        <w:fldChar w:fldCharType="separate"/>
      </w:r>
      <w:r>
        <w:rPr>
          <w:rFonts w:ascii="Times New Roman" w:hAnsi="Times New Roman" w:eastAsia="黑体" w:cs="宋体"/>
          <w:szCs w:val="20"/>
          <w:highlight w:val="none"/>
        </w:rPr>
        <w:t>13.3工程试车</w:t>
      </w:r>
      <w:r>
        <w:tab/>
      </w:r>
      <w:r>
        <w:fldChar w:fldCharType="begin"/>
      </w:r>
      <w:r>
        <w:instrText xml:space="preserve"> PAGEREF _Toc16428 \h </w:instrText>
      </w:r>
      <w:r>
        <w:fldChar w:fldCharType="separate"/>
      </w:r>
      <w:r>
        <w:t>1</w:t>
      </w:r>
      <w:r>
        <w:fldChar w:fldCharType="end"/>
      </w:r>
      <w:r>
        <w:rPr>
          <w:bCs/>
          <w:color w:val="auto"/>
          <w:highlight w:val="none"/>
          <w:lang w:val="zh-CN"/>
        </w:rPr>
        <w:fldChar w:fldCharType="end"/>
      </w:r>
    </w:p>
    <w:p w14:paraId="03615171">
      <w:pPr>
        <w:pStyle w:val="8"/>
        <w:tabs>
          <w:tab w:val="right" w:leader="dot" w:pos="8290"/>
        </w:tabs>
      </w:pPr>
      <w:r>
        <w:rPr>
          <w:bCs/>
          <w:color w:val="auto"/>
          <w:highlight w:val="none"/>
          <w:lang w:val="zh-CN"/>
        </w:rPr>
        <w:fldChar w:fldCharType="begin"/>
      </w:r>
      <w:r>
        <w:rPr>
          <w:bCs/>
          <w:highlight w:val="none"/>
          <w:lang w:val="zh-CN"/>
        </w:rPr>
        <w:instrText xml:space="preserve"> HYPERLINK \l _Toc15859 </w:instrText>
      </w:r>
      <w:r>
        <w:rPr>
          <w:bCs/>
          <w:highlight w:val="none"/>
          <w:lang w:val="zh-CN"/>
        </w:rPr>
        <w:fldChar w:fldCharType="separate"/>
      </w:r>
      <w:r>
        <w:rPr>
          <w:rFonts w:ascii="Times New Roman" w:hAnsi="Times New Roman" w:eastAsia="黑体" w:cs="宋体"/>
          <w:szCs w:val="20"/>
          <w:highlight w:val="none"/>
        </w:rPr>
        <w:t>13.4提前交付单位工程的验收</w:t>
      </w:r>
      <w:r>
        <w:tab/>
      </w:r>
      <w:r>
        <w:fldChar w:fldCharType="begin"/>
      </w:r>
      <w:r>
        <w:instrText xml:space="preserve"> PAGEREF _Toc15859 \h </w:instrText>
      </w:r>
      <w:r>
        <w:fldChar w:fldCharType="separate"/>
      </w:r>
      <w:r>
        <w:t>1</w:t>
      </w:r>
      <w:r>
        <w:fldChar w:fldCharType="end"/>
      </w:r>
      <w:r>
        <w:rPr>
          <w:bCs/>
          <w:color w:val="auto"/>
          <w:highlight w:val="none"/>
          <w:lang w:val="zh-CN"/>
        </w:rPr>
        <w:fldChar w:fldCharType="end"/>
      </w:r>
    </w:p>
    <w:p w14:paraId="424CBAB3">
      <w:pPr>
        <w:pStyle w:val="8"/>
        <w:tabs>
          <w:tab w:val="right" w:leader="dot" w:pos="8290"/>
        </w:tabs>
      </w:pPr>
      <w:r>
        <w:rPr>
          <w:bCs/>
          <w:color w:val="auto"/>
          <w:highlight w:val="none"/>
          <w:lang w:val="zh-CN"/>
        </w:rPr>
        <w:fldChar w:fldCharType="begin"/>
      </w:r>
      <w:r>
        <w:rPr>
          <w:bCs/>
          <w:highlight w:val="none"/>
          <w:lang w:val="zh-CN"/>
        </w:rPr>
        <w:instrText xml:space="preserve"> HYPERLINK \l _Toc2069 </w:instrText>
      </w:r>
      <w:r>
        <w:rPr>
          <w:bCs/>
          <w:highlight w:val="none"/>
          <w:lang w:val="zh-CN"/>
        </w:rPr>
        <w:fldChar w:fldCharType="separate"/>
      </w:r>
      <w:r>
        <w:rPr>
          <w:rFonts w:ascii="Times New Roman" w:hAnsi="Times New Roman" w:eastAsia="黑体" w:cs="宋体"/>
          <w:szCs w:val="20"/>
          <w:highlight w:val="none"/>
        </w:rPr>
        <w:t>13.5 施工期运行</w:t>
      </w:r>
      <w:r>
        <w:tab/>
      </w:r>
      <w:r>
        <w:fldChar w:fldCharType="begin"/>
      </w:r>
      <w:r>
        <w:instrText xml:space="preserve"> PAGEREF _Toc2069 \h </w:instrText>
      </w:r>
      <w:r>
        <w:fldChar w:fldCharType="separate"/>
      </w:r>
      <w:r>
        <w:t>1</w:t>
      </w:r>
      <w:r>
        <w:fldChar w:fldCharType="end"/>
      </w:r>
      <w:r>
        <w:rPr>
          <w:bCs/>
          <w:color w:val="auto"/>
          <w:highlight w:val="none"/>
          <w:lang w:val="zh-CN"/>
        </w:rPr>
        <w:fldChar w:fldCharType="end"/>
      </w:r>
    </w:p>
    <w:p w14:paraId="6913C2A0">
      <w:pPr>
        <w:pStyle w:val="8"/>
        <w:tabs>
          <w:tab w:val="right" w:leader="dot" w:pos="8290"/>
        </w:tabs>
      </w:pPr>
      <w:r>
        <w:rPr>
          <w:bCs/>
          <w:color w:val="auto"/>
          <w:highlight w:val="none"/>
          <w:lang w:val="zh-CN"/>
        </w:rPr>
        <w:fldChar w:fldCharType="begin"/>
      </w:r>
      <w:r>
        <w:rPr>
          <w:bCs/>
          <w:highlight w:val="none"/>
          <w:lang w:val="zh-CN"/>
        </w:rPr>
        <w:instrText xml:space="preserve"> HYPERLINK \l _Toc4153 </w:instrText>
      </w:r>
      <w:r>
        <w:rPr>
          <w:bCs/>
          <w:highlight w:val="none"/>
          <w:lang w:val="zh-CN"/>
        </w:rPr>
        <w:fldChar w:fldCharType="separate"/>
      </w:r>
      <w:r>
        <w:rPr>
          <w:rFonts w:ascii="Times New Roman" w:hAnsi="Times New Roman" w:eastAsia="黑体" w:cs="宋体"/>
          <w:szCs w:val="20"/>
          <w:highlight w:val="none"/>
        </w:rPr>
        <w:t>13.6 竣工退场</w:t>
      </w:r>
      <w:r>
        <w:tab/>
      </w:r>
      <w:r>
        <w:fldChar w:fldCharType="begin"/>
      </w:r>
      <w:r>
        <w:instrText xml:space="preserve"> PAGEREF _Toc4153 \h </w:instrText>
      </w:r>
      <w:r>
        <w:fldChar w:fldCharType="separate"/>
      </w:r>
      <w:r>
        <w:t>1</w:t>
      </w:r>
      <w:r>
        <w:fldChar w:fldCharType="end"/>
      </w:r>
      <w:r>
        <w:rPr>
          <w:bCs/>
          <w:color w:val="auto"/>
          <w:highlight w:val="none"/>
          <w:lang w:val="zh-CN"/>
        </w:rPr>
        <w:fldChar w:fldCharType="end"/>
      </w:r>
    </w:p>
    <w:p w14:paraId="79532682">
      <w:pPr>
        <w:pStyle w:val="13"/>
        <w:tabs>
          <w:tab w:val="right" w:leader="dot" w:pos="8290"/>
        </w:tabs>
      </w:pPr>
      <w:r>
        <w:rPr>
          <w:bCs/>
          <w:color w:val="auto"/>
          <w:highlight w:val="none"/>
          <w:lang w:val="zh-CN"/>
        </w:rPr>
        <w:fldChar w:fldCharType="begin"/>
      </w:r>
      <w:r>
        <w:rPr>
          <w:bCs/>
          <w:highlight w:val="none"/>
          <w:lang w:val="zh-CN"/>
        </w:rPr>
        <w:instrText xml:space="preserve"> HYPERLINK \l _Toc29026 </w:instrText>
      </w:r>
      <w:r>
        <w:rPr>
          <w:bCs/>
          <w:highlight w:val="none"/>
          <w:lang w:val="zh-CN"/>
        </w:rPr>
        <w:fldChar w:fldCharType="separate"/>
      </w:r>
      <w:r>
        <w:rPr>
          <w:rFonts w:ascii="Times New Roman" w:hAnsi="Times New Roman" w:eastAsia="黑体" w:cs="宋体"/>
          <w:szCs w:val="20"/>
          <w:highlight w:val="none"/>
        </w:rPr>
        <w:t>14. 竣工结算</w:t>
      </w:r>
      <w:r>
        <w:tab/>
      </w:r>
      <w:r>
        <w:fldChar w:fldCharType="begin"/>
      </w:r>
      <w:r>
        <w:instrText xml:space="preserve"> PAGEREF _Toc29026 \h </w:instrText>
      </w:r>
      <w:r>
        <w:fldChar w:fldCharType="separate"/>
      </w:r>
      <w:r>
        <w:t>1</w:t>
      </w:r>
      <w:r>
        <w:fldChar w:fldCharType="end"/>
      </w:r>
      <w:r>
        <w:rPr>
          <w:bCs/>
          <w:color w:val="auto"/>
          <w:highlight w:val="none"/>
          <w:lang w:val="zh-CN"/>
        </w:rPr>
        <w:fldChar w:fldCharType="end"/>
      </w:r>
    </w:p>
    <w:p w14:paraId="7425770F">
      <w:pPr>
        <w:pStyle w:val="8"/>
        <w:tabs>
          <w:tab w:val="right" w:leader="dot" w:pos="8290"/>
        </w:tabs>
      </w:pPr>
      <w:r>
        <w:rPr>
          <w:bCs/>
          <w:color w:val="auto"/>
          <w:highlight w:val="none"/>
          <w:lang w:val="zh-CN"/>
        </w:rPr>
        <w:fldChar w:fldCharType="begin"/>
      </w:r>
      <w:r>
        <w:rPr>
          <w:bCs/>
          <w:highlight w:val="none"/>
          <w:lang w:val="zh-CN"/>
        </w:rPr>
        <w:instrText xml:space="preserve"> HYPERLINK \l _Toc6555 </w:instrText>
      </w:r>
      <w:r>
        <w:rPr>
          <w:bCs/>
          <w:highlight w:val="none"/>
          <w:lang w:val="zh-CN"/>
        </w:rPr>
        <w:fldChar w:fldCharType="separate"/>
      </w:r>
      <w:r>
        <w:rPr>
          <w:rFonts w:ascii="Times New Roman" w:hAnsi="Times New Roman" w:eastAsia="黑体" w:cs="宋体"/>
          <w:szCs w:val="20"/>
          <w:highlight w:val="none"/>
        </w:rPr>
        <w:t>14.1 竣工结算申请</w:t>
      </w:r>
      <w:r>
        <w:tab/>
      </w:r>
      <w:r>
        <w:fldChar w:fldCharType="begin"/>
      </w:r>
      <w:r>
        <w:instrText xml:space="preserve"> PAGEREF _Toc6555 \h </w:instrText>
      </w:r>
      <w:r>
        <w:fldChar w:fldCharType="separate"/>
      </w:r>
      <w:r>
        <w:t>1</w:t>
      </w:r>
      <w:r>
        <w:fldChar w:fldCharType="end"/>
      </w:r>
      <w:r>
        <w:rPr>
          <w:bCs/>
          <w:color w:val="auto"/>
          <w:highlight w:val="none"/>
          <w:lang w:val="zh-CN"/>
        </w:rPr>
        <w:fldChar w:fldCharType="end"/>
      </w:r>
    </w:p>
    <w:p w14:paraId="1D351870">
      <w:pPr>
        <w:pStyle w:val="8"/>
        <w:tabs>
          <w:tab w:val="right" w:leader="dot" w:pos="8290"/>
        </w:tabs>
      </w:pPr>
      <w:r>
        <w:rPr>
          <w:bCs/>
          <w:color w:val="auto"/>
          <w:highlight w:val="none"/>
          <w:lang w:val="zh-CN"/>
        </w:rPr>
        <w:fldChar w:fldCharType="begin"/>
      </w:r>
      <w:r>
        <w:rPr>
          <w:bCs/>
          <w:highlight w:val="none"/>
          <w:lang w:val="zh-CN"/>
        </w:rPr>
        <w:instrText xml:space="preserve"> HYPERLINK \l _Toc21631 </w:instrText>
      </w:r>
      <w:r>
        <w:rPr>
          <w:bCs/>
          <w:highlight w:val="none"/>
          <w:lang w:val="zh-CN"/>
        </w:rPr>
        <w:fldChar w:fldCharType="separate"/>
      </w:r>
      <w:r>
        <w:rPr>
          <w:rFonts w:ascii="Times New Roman" w:hAnsi="Times New Roman" w:eastAsia="黑体" w:cs="宋体"/>
          <w:szCs w:val="20"/>
          <w:highlight w:val="none"/>
        </w:rPr>
        <w:t>14.2 竣工结算审核</w:t>
      </w:r>
      <w:r>
        <w:tab/>
      </w:r>
      <w:r>
        <w:fldChar w:fldCharType="begin"/>
      </w:r>
      <w:r>
        <w:instrText xml:space="preserve"> PAGEREF _Toc21631 \h </w:instrText>
      </w:r>
      <w:r>
        <w:fldChar w:fldCharType="separate"/>
      </w:r>
      <w:r>
        <w:t>1</w:t>
      </w:r>
      <w:r>
        <w:fldChar w:fldCharType="end"/>
      </w:r>
      <w:r>
        <w:rPr>
          <w:bCs/>
          <w:color w:val="auto"/>
          <w:highlight w:val="none"/>
          <w:lang w:val="zh-CN"/>
        </w:rPr>
        <w:fldChar w:fldCharType="end"/>
      </w:r>
    </w:p>
    <w:p w14:paraId="34017E49">
      <w:pPr>
        <w:pStyle w:val="8"/>
        <w:tabs>
          <w:tab w:val="right" w:leader="dot" w:pos="8290"/>
        </w:tabs>
      </w:pPr>
      <w:r>
        <w:rPr>
          <w:bCs/>
          <w:color w:val="auto"/>
          <w:highlight w:val="none"/>
          <w:lang w:val="zh-CN"/>
        </w:rPr>
        <w:fldChar w:fldCharType="begin"/>
      </w:r>
      <w:r>
        <w:rPr>
          <w:bCs/>
          <w:highlight w:val="none"/>
          <w:lang w:val="zh-CN"/>
        </w:rPr>
        <w:instrText xml:space="preserve"> HYPERLINK \l _Toc1304 </w:instrText>
      </w:r>
      <w:r>
        <w:rPr>
          <w:bCs/>
          <w:highlight w:val="none"/>
          <w:lang w:val="zh-CN"/>
        </w:rPr>
        <w:fldChar w:fldCharType="separate"/>
      </w:r>
      <w:r>
        <w:rPr>
          <w:rFonts w:ascii="Times New Roman" w:hAnsi="Times New Roman" w:eastAsia="黑体" w:cs="宋体"/>
          <w:szCs w:val="20"/>
          <w:highlight w:val="none"/>
        </w:rPr>
        <w:t>14.3 甩项竣工协议</w:t>
      </w:r>
      <w:r>
        <w:tab/>
      </w:r>
      <w:r>
        <w:fldChar w:fldCharType="begin"/>
      </w:r>
      <w:r>
        <w:instrText xml:space="preserve"> PAGEREF _Toc1304 \h </w:instrText>
      </w:r>
      <w:r>
        <w:fldChar w:fldCharType="separate"/>
      </w:r>
      <w:r>
        <w:t>1</w:t>
      </w:r>
      <w:r>
        <w:fldChar w:fldCharType="end"/>
      </w:r>
      <w:r>
        <w:rPr>
          <w:bCs/>
          <w:color w:val="auto"/>
          <w:highlight w:val="none"/>
          <w:lang w:val="zh-CN"/>
        </w:rPr>
        <w:fldChar w:fldCharType="end"/>
      </w:r>
    </w:p>
    <w:p w14:paraId="7B3807C6">
      <w:pPr>
        <w:pStyle w:val="8"/>
        <w:tabs>
          <w:tab w:val="right" w:leader="dot" w:pos="8290"/>
        </w:tabs>
      </w:pPr>
      <w:r>
        <w:rPr>
          <w:bCs/>
          <w:color w:val="auto"/>
          <w:highlight w:val="none"/>
          <w:lang w:val="zh-CN"/>
        </w:rPr>
        <w:fldChar w:fldCharType="begin"/>
      </w:r>
      <w:r>
        <w:rPr>
          <w:bCs/>
          <w:highlight w:val="none"/>
          <w:lang w:val="zh-CN"/>
        </w:rPr>
        <w:instrText xml:space="preserve"> HYPERLINK \l _Toc7085 </w:instrText>
      </w:r>
      <w:r>
        <w:rPr>
          <w:bCs/>
          <w:highlight w:val="none"/>
          <w:lang w:val="zh-CN"/>
        </w:rPr>
        <w:fldChar w:fldCharType="separate"/>
      </w:r>
      <w:r>
        <w:rPr>
          <w:rFonts w:ascii="Times New Roman" w:hAnsi="Times New Roman" w:eastAsia="黑体" w:cs="宋体"/>
          <w:szCs w:val="20"/>
          <w:highlight w:val="none"/>
        </w:rPr>
        <w:t>14.4 最终结清</w:t>
      </w:r>
      <w:r>
        <w:tab/>
      </w:r>
      <w:r>
        <w:fldChar w:fldCharType="begin"/>
      </w:r>
      <w:r>
        <w:instrText xml:space="preserve"> PAGEREF _Toc7085 \h </w:instrText>
      </w:r>
      <w:r>
        <w:fldChar w:fldCharType="separate"/>
      </w:r>
      <w:r>
        <w:t>1</w:t>
      </w:r>
      <w:r>
        <w:fldChar w:fldCharType="end"/>
      </w:r>
      <w:r>
        <w:rPr>
          <w:bCs/>
          <w:color w:val="auto"/>
          <w:highlight w:val="none"/>
          <w:lang w:val="zh-CN"/>
        </w:rPr>
        <w:fldChar w:fldCharType="end"/>
      </w:r>
    </w:p>
    <w:p w14:paraId="287C80F3">
      <w:pPr>
        <w:pStyle w:val="13"/>
        <w:tabs>
          <w:tab w:val="right" w:leader="dot" w:pos="8290"/>
        </w:tabs>
      </w:pPr>
      <w:r>
        <w:rPr>
          <w:bCs/>
          <w:color w:val="auto"/>
          <w:highlight w:val="none"/>
          <w:lang w:val="zh-CN"/>
        </w:rPr>
        <w:fldChar w:fldCharType="begin"/>
      </w:r>
      <w:r>
        <w:rPr>
          <w:bCs/>
          <w:highlight w:val="none"/>
          <w:lang w:val="zh-CN"/>
        </w:rPr>
        <w:instrText xml:space="preserve"> HYPERLINK \l _Toc14910 </w:instrText>
      </w:r>
      <w:r>
        <w:rPr>
          <w:bCs/>
          <w:highlight w:val="none"/>
          <w:lang w:val="zh-CN"/>
        </w:rPr>
        <w:fldChar w:fldCharType="separate"/>
      </w:r>
      <w:r>
        <w:rPr>
          <w:rFonts w:ascii="Times New Roman" w:hAnsi="Times New Roman" w:eastAsia="黑体" w:cs="宋体"/>
          <w:szCs w:val="20"/>
          <w:highlight w:val="none"/>
        </w:rPr>
        <w:t>15. 缺陷责任与保修</w:t>
      </w:r>
      <w:r>
        <w:tab/>
      </w:r>
      <w:r>
        <w:fldChar w:fldCharType="begin"/>
      </w:r>
      <w:r>
        <w:instrText xml:space="preserve"> PAGEREF _Toc14910 \h </w:instrText>
      </w:r>
      <w:r>
        <w:fldChar w:fldCharType="separate"/>
      </w:r>
      <w:r>
        <w:t>1</w:t>
      </w:r>
      <w:r>
        <w:fldChar w:fldCharType="end"/>
      </w:r>
      <w:r>
        <w:rPr>
          <w:bCs/>
          <w:color w:val="auto"/>
          <w:highlight w:val="none"/>
          <w:lang w:val="zh-CN"/>
        </w:rPr>
        <w:fldChar w:fldCharType="end"/>
      </w:r>
    </w:p>
    <w:p w14:paraId="416348D3">
      <w:pPr>
        <w:pStyle w:val="8"/>
        <w:tabs>
          <w:tab w:val="right" w:leader="dot" w:pos="8290"/>
        </w:tabs>
      </w:pPr>
      <w:r>
        <w:rPr>
          <w:bCs/>
          <w:color w:val="auto"/>
          <w:highlight w:val="none"/>
          <w:lang w:val="zh-CN"/>
        </w:rPr>
        <w:fldChar w:fldCharType="begin"/>
      </w:r>
      <w:r>
        <w:rPr>
          <w:bCs/>
          <w:highlight w:val="none"/>
          <w:lang w:val="zh-CN"/>
        </w:rPr>
        <w:instrText xml:space="preserve"> HYPERLINK \l _Toc25933 </w:instrText>
      </w:r>
      <w:r>
        <w:rPr>
          <w:bCs/>
          <w:highlight w:val="none"/>
          <w:lang w:val="zh-CN"/>
        </w:rPr>
        <w:fldChar w:fldCharType="separate"/>
      </w:r>
      <w:r>
        <w:rPr>
          <w:rFonts w:ascii="Times New Roman" w:hAnsi="Times New Roman" w:eastAsia="黑体" w:cs="宋体"/>
          <w:szCs w:val="20"/>
          <w:highlight w:val="none"/>
        </w:rPr>
        <w:t>15.1 工程保修的原则</w:t>
      </w:r>
      <w:r>
        <w:tab/>
      </w:r>
      <w:r>
        <w:fldChar w:fldCharType="begin"/>
      </w:r>
      <w:r>
        <w:instrText xml:space="preserve"> PAGEREF _Toc25933 \h </w:instrText>
      </w:r>
      <w:r>
        <w:fldChar w:fldCharType="separate"/>
      </w:r>
      <w:r>
        <w:t>1</w:t>
      </w:r>
      <w:r>
        <w:fldChar w:fldCharType="end"/>
      </w:r>
      <w:r>
        <w:rPr>
          <w:bCs/>
          <w:color w:val="auto"/>
          <w:highlight w:val="none"/>
          <w:lang w:val="zh-CN"/>
        </w:rPr>
        <w:fldChar w:fldCharType="end"/>
      </w:r>
    </w:p>
    <w:p w14:paraId="69221898">
      <w:pPr>
        <w:pStyle w:val="8"/>
        <w:tabs>
          <w:tab w:val="right" w:leader="dot" w:pos="8290"/>
        </w:tabs>
      </w:pPr>
      <w:r>
        <w:rPr>
          <w:bCs/>
          <w:color w:val="auto"/>
          <w:highlight w:val="none"/>
          <w:lang w:val="zh-CN"/>
        </w:rPr>
        <w:fldChar w:fldCharType="begin"/>
      </w:r>
      <w:r>
        <w:rPr>
          <w:bCs/>
          <w:highlight w:val="none"/>
          <w:lang w:val="zh-CN"/>
        </w:rPr>
        <w:instrText xml:space="preserve"> HYPERLINK \l _Toc1739 </w:instrText>
      </w:r>
      <w:r>
        <w:rPr>
          <w:bCs/>
          <w:highlight w:val="none"/>
          <w:lang w:val="zh-CN"/>
        </w:rPr>
        <w:fldChar w:fldCharType="separate"/>
      </w:r>
      <w:r>
        <w:rPr>
          <w:rFonts w:ascii="Times New Roman" w:hAnsi="Times New Roman" w:eastAsia="黑体" w:cs="宋体"/>
          <w:szCs w:val="20"/>
          <w:highlight w:val="none"/>
        </w:rPr>
        <w:t>15.2 缺陷责任期</w:t>
      </w:r>
      <w:r>
        <w:tab/>
      </w:r>
      <w:r>
        <w:fldChar w:fldCharType="begin"/>
      </w:r>
      <w:r>
        <w:instrText xml:space="preserve"> PAGEREF _Toc1739 \h </w:instrText>
      </w:r>
      <w:r>
        <w:fldChar w:fldCharType="separate"/>
      </w:r>
      <w:r>
        <w:t>1</w:t>
      </w:r>
      <w:r>
        <w:fldChar w:fldCharType="end"/>
      </w:r>
      <w:r>
        <w:rPr>
          <w:bCs/>
          <w:color w:val="auto"/>
          <w:highlight w:val="none"/>
          <w:lang w:val="zh-CN"/>
        </w:rPr>
        <w:fldChar w:fldCharType="end"/>
      </w:r>
    </w:p>
    <w:p w14:paraId="05426CAB">
      <w:pPr>
        <w:pStyle w:val="8"/>
        <w:tabs>
          <w:tab w:val="right" w:leader="dot" w:pos="8290"/>
        </w:tabs>
      </w:pPr>
      <w:r>
        <w:rPr>
          <w:bCs/>
          <w:color w:val="auto"/>
          <w:highlight w:val="none"/>
          <w:lang w:val="zh-CN"/>
        </w:rPr>
        <w:fldChar w:fldCharType="begin"/>
      </w:r>
      <w:r>
        <w:rPr>
          <w:bCs/>
          <w:highlight w:val="none"/>
          <w:lang w:val="zh-CN"/>
        </w:rPr>
        <w:instrText xml:space="preserve"> HYPERLINK \l _Toc21883 </w:instrText>
      </w:r>
      <w:r>
        <w:rPr>
          <w:bCs/>
          <w:highlight w:val="none"/>
          <w:lang w:val="zh-CN"/>
        </w:rPr>
        <w:fldChar w:fldCharType="separate"/>
      </w:r>
      <w:r>
        <w:rPr>
          <w:rFonts w:ascii="Times New Roman" w:hAnsi="Times New Roman" w:eastAsia="黑体" w:cs="宋体"/>
          <w:szCs w:val="20"/>
          <w:highlight w:val="none"/>
        </w:rPr>
        <w:t>15.3 质量保证金</w:t>
      </w:r>
      <w:r>
        <w:tab/>
      </w:r>
      <w:r>
        <w:fldChar w:fldCharType="begin"/>
      </w:r>
      <w:r>
        <w:instrText xml:space="preserve"> PAGEREF _Toc21883 \h </w:instrText>
      </w:r>
      <w:r>
        <w:fldChar w:fldCharType="separate"/>
      </w:r>
      <w:r>
        <w:t>1</w:t>
      </w:r>
      <w:r>
        <w:fldChar w:fldCharType="end"/>
      </w:r>
      <w:r>
        <w:rPr>
          <w:bCs/>
          <w:color w:val="auto"/>
          <w:highlight w:val="none"/>
          <w:lang w:val="zh-CN"/>
        </w:rPr>
        <w:fldChar w:fldCharType="end"/>
      </w:r>
    </w:p>
    <w:p w14:paraId="6FDC3C79">
      <w:pPr>
        <w:pStyle w:val="8"/>
        <w:tabs>
          <w:tab w:val="right" w:leader="dot" w:pos="8290"/>
        </w:tabs>
      </w:pPr>
      <w:r>
        <w:rPr>
          <w:bCs/>
          <w:color w:val="auto"/>
          <w:highlight w:val="none"/>
          <w:lang w:val="zh-CN"/>
        </w:rPr>
        <w:fldChar w:fldCharType="begin"/>
      </w:r>
      <w:r>
        <w:rPr>
          <w:bCs/>
          <w:highlight w:val="none"/>
          <w:lang w:val="zh-CN"/>
        </w:rPr>
        <w:instrText xml:space="preserve"> HYPERLINK \l _Toc15968 </w:instrText>
      </w:r>
      <w:r>
        <w:rPr>
          <w:bCs/>
          <w:highlight w:val="none"/>
          <w:lang w:val="zh-CN"/>
        </w:rPr>
        <w:fldChar w:fldCharType="separate"/>
      </w:r>
      <w:r>
        <w:rPr>
          <w:rFonts w:ascii="Times New Roman" w:hAnsi="Times New Roman" w:eastAsia="黑体" w:cs="宋体"/>
          <w:szCs w:val="20"/>
          <w:highlight w:val="none"/>
        </w:rPr>
        <w:t>15.4 保修</w:t>
      </w:r>
      <w:r>
        <w:tab/>
      </w:r>
      <w:r>
        <w:fldChar w:fldCharType="begin"/>
      </w:r>
      <w:r>
        <w:instrText xml:space="preserve"> PAGEREF _Toc15968 \h </w:instrText>
      </w:r>
      <w:r>
        <w:fldChar w:fldCharType="separate"/>
      </w:r>
      <w:r>
        <w:t>1</w:t>
      </w:r>
      <w:r>
        <w:fldChar w:fldCharType="end"/>
      </w:r>
      <w:r>
        <w:rPr>
          <w:bCs/>
          <w:color w:val="auto"/>
          <w:highlight w:val="none"/>
          <w:lang w:val="zh-CN"/>
        </w:rPr>
        <w:fldChar w:fldCharType="end"/>
      </w:r>
    </w:p>
    <w:p w14:paraId="7757B9FB">
      <w:pPr>
        <w:pStyle w:val="13"/>
        <w:tabs>
          <w:tab w:val="right" w:leader="dot" w:pos="8290"/>
        </w:tabs>
      </w:pPr>
      <w:r>
        <w:rPr>
          <w:bCs/>
          <w:color w:val="auto"/>
          <w:highlight w:val="none"/>
          <w:lang w:val="zh-CN"/>
        </w:rPr>
        <w:fldChar w:fldCharType="begin"/>
      </w:r>
      <w:r>
        <w:rPr>
          <w:bCs/>
          <w:highlight w:val="none"/>
          <w:lang w:val="zh-CN"/>
        </w:rPr>
        <w:instrText xml:space="preserve"> HYPERLINK \l _Toc31104 </w:instrText>
      </w:r>
      <w:r>
        <w:rPr>
          <w:bCs/>
          <w:highlight w:val="none"/>
          <w:lang w:val="zh-CN"/>
        </w:rPr>
        <w:fldChar w:fldCharType="separate"/>
      </w:r>
      <w:r>
        <w:rPr>
          <w:rFonts w:ascii="Times New Roman" w:hAnsi="Times New Roman" w:eastAsia="黑体" w:cs="宋体"/>
          <w:szCs w:val="20"/>
          <w:highlight w:val="none"/>
        </w:rPr>
        <w:t>16. 违约</w:t>
      </w:r>
      <w:r>
        <w:tab/>
      </w:r>
      <w:r>
        <w:fldChar w:fldCharType="begin"/>
      </w:r>
      <w:r>
        <w:instrText xml:space="preserve"> PAGEREF _Toc31104 \h </w:instrText>
      </w:r>
      <w:r>
        <w:fldChar w:fldCharType="separate"/>
      </w:r>
      <w:r>
        <w:t>1</w:t>
      </w:r>
      <w:r>
        <w:fldChar w:fldCharType="end"/>
      </w:r>
      <w:r>
        <w:rPr>
          <w:bCs/>
          <w:color w:val="auto"/>
          <w:highlight w:val="none"/>
          <w:lang w:val="zh-CN"/>
        </w:rPr>
        <w:fldChar w:fldCharType="end"/>
      </w:r>
    </w:p>
    <w:p w14:paraId="0C4603E0">
      <w:pPr>
        <w:pStyle w:val="8"/>
        <w:tabs>
          <w:tab w:val="right" w:leader="dot" w:pos="8290"/>
        </w:tabs>
      </w:pPr>
      <w:r>
        <w:rPr>
          <w:bCs/>
          <w:color w:val="auto"/>
          <w:highlight w:val="none"/>
          <w:lang w:val="zh-CN"/>
        </w:rPr>
        <w:fldChar w:fldCharType="begin"/>
      </w:r>
      <w:r>
        <w:rPr>
          <w:bCs/>
          <w:highlight w:val="none"/>
          <w:lang w:val="zh-CN"/>
        </w:rPr>
        <w:instrText xml:space="preserve"> HYPERLINK \l _Toc18594 </w:instrText>
      </w:r>
      <w:r>
        <w:rPr>
          <w:bCs/>
          <w:highlight w:val="none"/>
          <w:lang w:val="zh-CN"/>
        </w:rPr>
        <w:fldChar w:fldCharType="separate"/>
      </w:r>
      <w:r>
        <w:rPr>
          <w:rFonts w:ascii="Times New Roman" w:hAnsi="Times New Roman" w:eastAsia="黑体" w:cs="宋体"/>
          <w:szCs w:val="20"/>
          <w:highlight w:val="none"/>
        </w:rPr>
        <w:t>16.1 发包人违约</w:t>
      </w:r>
      <w:r>
        <w:tab/>
      </w:r>
      <w:r>
        <w:fldChar w:fldCharType="begin"/>
      </w:r>
      <w:r>
        <w:instrText xml:space="preserve"> PAGEREF _Toc18594 \h </w:instrText>
      </w:r>
      <w:r>
        <w:fldChar w:fldCharType="separate"/>
      </w:r>
      <w:r>
        <w:t>1</w:t>
      </w:r>
      <w:r>
        <w:fldChar w:fldCharType="end"/>
      </w:r>
      <w:r>
        <w:rPr>
          <w:bCs/>
          <w:color w:val="auto"/>
          <w:highlight w:val="none"/>
          <w:lang w:val="zh-CN"/>
        </w:rPr>
        <w:fldChar w:fldCharType="end"/>
      </w:r>
    </w:p>
    <w:p w14:paraId="1FC9F4E9">
      <w:pPr>
        <w:pStyle w:val="8"/>
        <w:tabs>
          <w:tab w:val="right" w:leader="dot" w:pos="8290"/>
        </w:tabs>
      </w:pPr>
      <w:r>
        <w:rPr>
          <w:bCs/>
          <w:color w:val="auto"/>
          <w:highlight w:val="none"/>
          <w:lang w:val="zh-CN"/>
        </w:rPr>
        <w:fldChar w:fldCharType="begin"/>
      </w:r>
      <w:r>
        <w:rPr>
          <w:bCs/>
          <w:highlight w:val="none"/>
          <w:lang w:val="zh-CN"/>
        </w:rPr>
        <w:instrText xml:space="preserve"> HYPERLINK \l _Toc29674 </w:instrText>
      </w:r>
      <w:r>
        <w:rPr>
          <w:bCs/>
          <w:highlight w:val="none"/>
          <w:lang w:val="zh-CN"/>
        </w:rPr>
        <w:fldChar w:fldCharType="separate"/>
      </w:r>
      <w:r>
        <w:rPr>
          <w:rFonts w:ascii="Times New Roman" w:hAnsi="Times New Roman" w:eastAsia="黑体" w:cs="宋体"/>
          <w:szCs w:val="20"/>
          <w:highlight w:val="none"/>
        </w:rPr>
        <w:t>16.2 承包人违约</w:t>
      </w:r>
      <w:r>
        <w:tab/>
      </w:r>
      <w:r>
        <w:fldChar w:fldCharType="begin"/>
      </w:r>
      <w:r>
        <w:instrText xml:space="preserve"> PAGEREF _Toc29674 \h </w:instrText>
      </w:r>
      <w:r>
        <w:fldChar w:fldCharType="separate"/>
      </w:r>
      <w:r>
        <w:t>1</w:t>
      </w:r>
      <w:r>
        <w:fldChar w:fldCharType="end"/>
      </w:r>
      <w:r>
        <w:rPr>
          <w:bCs/>
          <w:color w:val="auto"/>
          <w:highlight w:val="none"/>
          <w:lang w:val="zh-CN"/>
        </w:rPr>
        <w:fldChar w:fldCharType="end"/>
      </w:r>
    </w:p>
    <w:p w14:paraId="04EB623D">
      <w:pPr>
        <w:pStyle w:val="8"/>
        <w:tabs>
          <w:tab w:val="right" w:leader="dot" w:pos="8290"/>
        </w:tabs>
      </w:pPr>
      <w:r>
        <w:rPr>
          <w:bCs/>
          <w:color w:val="auto"/>
          <w:highlight w:val="none"/>
          <w:lang w:val="zh-CN"/>
        </w:rPr>
        <w:fldChar w:fldCharType="begin"/>
      </w:r>
      <w:r>
        <w:rPr>
          <w:bCs/>
          <w:highlight w:val="none"/>
          <w:lang w:val="zh-CN"/>
        </w:rPr>
        <w:instrText xml:space="preserve"> HYPERLINK \l _Toc6520 </w:instrText>
      </w:r>
      <w:r>
        <w:rPr>
          <w:bCs/>
          <w:highlight w:val="none"/>
          <w:lang w:val="zh-CN"/>
        </w:rPr>
        <w:fldChar w:fldCharType="separate"/>
      </w:r>
      <w:r>
        <w:rPr>
          <w:rFonts w:ascii="Times New Roman" w:hAnsi="Times New Roman" w:eastAsia="黑体" w:cs="宋体"/>
          <w:szCs w:val="20"/>
          <w:highlight w:val="none"/>
        </w:rPr>
        <w:t>16.3 第三人造成的违约</w:t>
      </w:r>
      <w:r>
        <w:tab/>
      </w:r>
      <w:r>
        <w:fldChar w:fldCharType="begin"/>
      </w:r>
      <w:r>
        <w:instrText xml:space="preserve"> PAGEREF _Toc6520 \h </w:instrText>
      </w:r>
      <w:r>
        <w:fldChar w:fldCharType="separate"/>
      </w:r>
      <w:r>
        <w:t>1</w:t>
      </w:r>
      <w:r>
        <w:fldChar w:fldCharType="end"/>
      </w:r>
      <w:r>
        <w:rPr>
          <w:bCs/>
          <w:color w:val="auto"/>
          <w:highlight w:val="none"/>
          <w:lang w:val="zh-CN"/>
        </w:rPr>
        <w:fldChar w:fldCharType="end"/>
      </w:r>
    </w:p>
    <w:p w14:paraId="389375D5">
      <w:pPr>
        <w:pStyle w:val="13"/>
        <w:tabs>
          <w:tab w:val="right" w:leader="dot" w:pos="8290"/>
        </w:tabs>
      </w:pPr>
      <w:r>
        <w:rPr>
          <w:bCs/>
          <w:color w:val="auto"/>
          <w:highlight w:val="none"/>
          <w:lang w:val="zh-CN"/>
        </w:rPr>
        <w:fldChar w:fldCharType="begin"/>
      </w:r>
      <w:r>
        <w:rPr>
          <w:bCs/>
          <w:highlight w:val="none"/>
          <w:lang w:val="zh-CN"/>
        </w:rPr>
        <w:instrText xml:space="preserve"> HYPERLINK \l _Toc7753 </w:instrText>
      </w:r>
      <w:r>
        <w:rPr>
          <w:bCs/>
          <w:highlight w:val="none"/>
          <w:lang w:val="zh-CN"/>
        </w:rPr>
        <w:fldChar w:fldCharType="separate"/>
      </w:r>
      <w:r>
        <w:rPr>
          <w:rFonts w:ascii="Times New Roman" w:hAnsi="Times New Roman" w:eastAsia="黑体" w:cs="宋体"/>
          <w:szCs w:val="20"/>
          <w:highlight w:val="none"/>
        </w:rPr>
        <w:t>17. 不可抗力</w:t>
      </w:r>
      <w:r>
        <w:tab/>
      </w:r>
      <w:r>
        <w:fldChar w:fldCharType="begin"/>
      </w:r>
      <w:r>
        <w:instrText xml:space="preserve"> PAGEREF _Toc7753 \h </w:instrText>
      </w:r>
      <w:r>
        <w:fldChar w:fldCharType="separate"/>
      </w:r>
      <w:r>
        <w:t>1</w:t>
      </w:r>
      <w:r>
        <w:fldChar w:fldCharType="end"/>
      </w:r>
      <w:r>
        <w:rPr>
          <w:bCs/>
          <w:color w:val="auto"/>
          <w:highlight w:val="none"/>
          <w:lang w:val="zh-CN"/>
        </w:rPr>
        <w:fldChar w:fldCharType="end"/>
      </w:r>
    </w:p>
    <w:p w14:paraId="5D3A3A58">
      <w:pPr>
        <w:pStyle w:val="8"/>
        <w:tabs>
          <w:tab w:val="right" w:leader="dot" w:pos="8290"/>
        </w:tabs>
      </w:pPr>
      <w:r>
        <w:rPr>
          <w:bCs/>
          <w:color w:val="auto"/>
          <w:highlight w:val="none"/>
          <w:lang w:val="zh-CN"/>
        </w:rPr>
        <w:fldChar w:fldCharType="begin"/>
      </w:r>
      <w:r>
        <w:rPr>
          <w:bCs/>
          <w:highlight w:val="none"/>
          <w:lang w:val="zh-CN"/>
        </w:rPr>
        <w:instrText xml:space="preserve"> HYPERLINK \l _Toc11350 </w:instrText>
      </w:r>
      <w:r>
        <w:rPr>
          <w:bCs/>
          <w:highlight w:val="none"/>
          <w:lang w:val="zh-CN"/>
        </w:rPr>
        <w:fldChar w:fldCharType="separate"/>
      </w:r>
      <w:r>
        <w:rPr>
          <w:rFonts w:ascii="Times New Roman" w:hAnsi="Times New Roman" w:eastAsia="黑体" w:cs="宋体"/>
          <w:szCs w:val="20"/>
          <w:highlight w:val="none"/>
        </w:rPr>
        <w:t>17.1 不可抗力的确认</w:t>
      </w:r>
      <w:r>
        <w:tab/>
      </w:r>
      <w:r>
        <w:fldChar w:fldCharType="begin"/>
      </w:r>
      <w:r>
        <w:instrText xml:space="preserve"> PAGEREF _Toc11350 \h </w:instrText>
      </w:r>
      <w:r>
        <w:fldChar w:fldCharType="separate"/>
      </w:r>
      <w:r>
        <w:t>1</w:t>
      </w:r>
      <w:r>
        <w:fldChar w:fldCharType="end"/>
      </w:r>
      <w:r>
        <w:rPr>
          <w:bCs/>
          <w:color w:val="auto"/>
          <w:highlight w:val="none"/>
          <w:lang w:val="zh-CN"/>
        </w:rPr>
        <w:fldChar w:fldCharType="end"/>
      </w:r>
    </w:p>
    <w:p w14:paraId="00854D3E">
      <w:pPr>
        <w:pStyle w:val="8"/>
        <w:tabs>
          <w:tab w:val="right" w:leader="dot" w:pos="8290"/>
        </w:tabs>
      </w:pPr>
      <w:r>
        <w:rPr>
          <w:bCs/>
          <w:color w:val="auto"/>
          <w:highlight w:val="none"/>
          <w:lang w:val="zh-CN"/>
        </w:rPr>
        <w:fldChar w:fldCharType="begin"/>
      </w:r>
      <w:r>
        <w:rPr>
          <w:bCs/>
          <w:highlight w:val="none"/>
          <w:lang w:val="zh-CN"/>
        </w:rPr>
        <w:instrText xml:space="preserve"> HYPERLINK \l _Toc30174 </w:instrText>
      </w:r>
      <w:r>
        <w:rPr>
          <w:bCs/>
          <w:highlight w:val="none"/>
          <w:lang w:val="zh-CN"/>
        </w:rPr>
        <w:fldChar w:fldCharType="separate"/>
      </w:r>
      <w:r>
        <w:rPr>
          <w:rFonts w:ascii="Times New Roman" w:hAnsi="Times New Roman" w:eastAsia="黑体" w:cs="宋体"/>
          <w:szCs w:val="20"/>
          <w:highlight w:val="none"/>
        </w:rPr>
        <w:t>17.2 不可抗力的通知</w:t>
      </w:r>
      <w:r>
        <w:tab/>
      </w:r>
      <w:r>
        <w:fldChar w:fldCharType="begin"/>
      </w:r>
      <w:r>
        <w:instrText xml:space="preserve"> PAGEREF _Toc30174 \h </w:instrText>
      </w:r>
      <w:r>
        <w:fldChar w:fldCharType="separate"/>
      </w:r>
      <w:r>
        <w:t>1</w:t>
      </w:r>
      <w:r>
        <w:fldChar w:fldCharType="end"/>
      </w:r>
      <w:r>
        <w:rPr>
          <w:bCs/>
          <w:color w:val="auto"/>
          <w:highlight w:val="none"/>
          <w:lang w:val="zh-CN"/>
        </w:rPr>
        <w:fldChar w:fldCharType="end"/>
      </w:r>
    </w:p>
    <w:p w14:paraId="0572AAFC">
      <w:pPr>
        <w:pStyle w:val="8"/>
        <w:tabs>
          <w:tab w:val="right" w:leader="dot" w:pos="8290"/>
        </w:tabs>
      </w:pPr>
      <w:r>
        <w:rPr>
          <w:bCs/>
          <w:color w:val="auto"/>
          <w:highlight w:val="none"/>
          <w:lang w:val="zh-CN"/>
        </w:rPr>
        <w:fldChar w:fldCharType="begin"/>
      </w:r>
      <w:r>
        <w:rPr>
          <w:bCs/>
          <w:highlight w:val="none"/>
          <w:lang w:val="zh-CN"/>
        </w:rPr>
        <w:instrText xml:space="preserve"> HYPERLINK \l _Toc8877 </w:instrText>
      </w:r>
      <w:r>
        <w:rPr>
          <w:bCs/>
          <w:highlight w:val="none"/>
          <w:lang w:val="zh-CN"/>
        </w:rPr>
        <w:fldChar w:fldCharType="separate"/>
      </w:r>
      <w:r>
        <w:rPr>
          <w:rFonts w:ascii="Times New Roman" w:hAnsi="Times New Roman" w:eastAsia="黑体" w:cs="宋体"/>
          <w:szCs w:val="20"/>
          <w:highlight w:val="none"/>
        </w:rPr>
        <w:t>17.3 不可抗力后果的承担</w:t>
      </w:r>
      <w:r>
        <w:tab/>
      </w:r>
      <w:r>
        <w:fldChar w:fldCharType="begin"/>
      </w:r>
      <w:r>
        <w:instrText xml:space="preserve"> PAGEREF _Toc8877 \h </w:instrText>
      </w:r>
      <w:r>
        <w:fldChar w:fldCharType="separate"/>
      </w:r>
      <w:r>
        <w:t>1</w:t>
      </w:r>
      <w:r>
        <w:fldChar w:fldCharType="end"/>
      </w:r>
      <w:r>
        <w:rPr>
          <w:bCs/>
          <w:color w:val="auto"/>
          <w:highlight w:val="none"/>
          <w:lang w:val="zh-CN"/>
        </w:rPr>
        <w:fldChar w:fldCharType="end"/>
      </w:r>
    </w:p>
    <w:p w14:paraId="3578D58C">
      <w:pPr>
        <w:pStyle w:val="8"/>
        <w:tabs>
          <w:tab w:val="right" w:leader="dot" w:pos="8290"/>
        </w:tabs>
      </w:pPr>
      <w:r>
        <w:rPr>
          <w:bCs/>
          <w:color w:val="auto"/>
          <w:highlight w:val="none"/>
          <w:lang w:val="zh-CN"/>
        </w:rPr>
        <w:fldChar w:fldCharType="begin"/>
      </w:r>
      <w:r>
        <w:rPr>
          <w:bCs/>
          <w:highlight w:val="none"/>
          <w:lang w:val="zh-CN"/>
        </w:rPr>
        <w:instrText xml:space="preserve"> HYPERLINK \l _Toc4801 </w:instrText>
      </w:r>
      <w:r>
        <w:rPr>
          <w:bCs/>
          <w:highlight w:val="none"/>
          <w:lang w:val="zh-CN"/>
        </w:rPr>
        <w:fldChar w:fldCharType="separate"/>
      </w:r>
      <w:r>
        <w:rPr>
          <w:rFonts w:ascii="Times New Roman" w:hAnsi="Times New Roman" w:eastAsia="黑体" w:cs="宋体"/>
          <w:szCs w:val="20"/>
          <w:highlight w:val="none"/>
        </w:rPr>
        <w:t>17.4 因不可抗力解除合同</w:t>
      </w:r>
      <w:r>
        <w:tab/>
      </w:r>
      <w:r>
        <w:fldChar w:fldCharType="begin"/>
      </w:r>
      <w:r>
        <w:instrText xml:space="preserve"> PAGEREF _Toc4801 \h </w:instrText>
      </w:r>
      <w:r>
        <w:fldChar w:fldCharType="separate"/>
      </w:r>
      <w:r>
        <w:t>1</w:t>
      </w:r>
      <w:r>
        <w:fldChar w:fldCharType="end"/>
      </w:r>
      <w:r>
        <w:rPr>
          <w:bCs/>
          <w:color w:val="auto"/>
          <w:highlight w:val="none"/>
          <w:lang w:val="zh-CN"/>
        </w:rPr>
        <w:fldChar w:fldCharType="end"/>
      </w:r>
    </w:p>
    <w:p w14:paraId="263A2933">
      <w:pPr>
        <w:pStyle w:val="13"/>
        <w:tabs>
          <w:tab w:val="right" w:leader="dot" w:pos="8290"/>
        </w:tabs>
      </w:pPr>
      <w:r>
        <w:rPr>
          <w:bCs/>
          <w:color w:val="auto"/>
          <w:highlight w:val="none"/>
          <w:lang w:val="zh-CN"/>
        </w:rPr>
        <w:fldChar w:fldCharType="begin"/>
      </w:r>
      <w:r>
        <w:rPr>
          <w:bCs/>
          <w:highlight w:val="none"/>
          <w:lang w:val="zh-CN"/>
        </w:rPr>
        <w:instrText xml:space="preserve"> HYPERLINK \l _Toc26351 </w:instrText>
      </w:r>
      <w:r>
        <w:rPr>
          <w:bCs/>
          <w:highlight w:val="none"/>
          <w:lang w:val="zh-CN"/>
        </w:rPr>
        <w:fldChar w:fldCharType="separate"/>
      </w:r>
      <w:r>
        <w:rPr>
          <w:rFonts w:ascii="Times New Roman" w:hAnsi="Times New Roman" w:eastAsia="黑体" w:cs="宋体"/>
          <w:szCs w:val="20"/>
          <w:highlight w:val="none"/>
        </w:rPr>
        <w:t>18. 保险</w:t>
      </w:r>
      <w:r>
        <w:tab/>
      </w:r>
      <w:r>
        <w:fldChar w:fldCharType="begin"/>
      </w:r>
      <w:r>
        <w:instrText xml:space="preserve"> PAGEREF _Toc26351 \h </w:instrText>
      </w:r>
      <w:r>
        <w:fldChar w:fldCharType="separate"/>
      </w:r>
      <w:r>
        <w:t>1</w:t>
      </w:r>
      <w:r>
        <w:fldChar w:fldCharType="end"/>
      </w:r>
      <w:r>
        <w:rPr>
          <w:bCs/>
          <w:color w:val="auto"/>
          <w:highlight w:val="none"/>
          <w:lang w:val="zh-CN"/>
        </w:rPr>
        <w:fldChar w:fldCharType="end"/>
      </w:r>
    </w:p>
    <w:p w14:paraId="0FE4B479">
      <w:pPr>
        <w:pStyle w:val="8"/>
        <w:tabs>
          <w:tab w:val="right" w:leader="dot" w:pos="8290"/>
        </w:tabs>
      </w:pPr>
      <w:r>
        <w:rPr>
          <w:bCs/>
          <w:color w:val="auto"/>
          <w:highlight w:val="none"/>
          <w:lang w:val="zh-CN"/>
        </w:rPr>
        <w:fldChar w:fldCharType="begin"/>
      </w:r>
      <w:r>
        <w:rPr>
          <w:bCs/>
          <w:highlight w:val="none"/>
          <w:lang w:val="zh-CN"/>
        </w:rPr>
        <w:instrText xml:space="preserve"> HYPERLINK \l _Toc9552 </w:instrText>
      </w:r>
      <w:r>
        <w:rPr>
          <w:bCs/>
          <w:highlight w:val="none"/>
          <w:lang w:val="zh-CN"/>
        </w:rPr>
        <w:fldChar w:fldCharType="separate"/>
      </w:r>
      <w:r>
        <w:rPr>
          <w:rFonts w:ascii="Times New Roman" w:hAnsi="Times New Roman" w:eastAsia="黑体" w:cs="宋体"/>
          <w:szCs w:val="20"/>
          <w:highlight w:val="none"/>
        </w:rPr>
        <w:t>18.1 工程保险</w:t>
      </w:r>
      <w:r>
        <w:tab/>
      </w:r>
      <w:r>
        <w:fldChar w:fldCharType="begin"/>
      </w:r>
      <w:r>
        <w:instrText xml:space="preserve"> PAGEREF _Toc9552 \h </w:instrText>
      </w:r>
      <w:r>
        <w:fldChar w:fldCharType="separate"/>
      </w:r>
      <w:r>
        <w:t>1</w:t>
      </w:r>
      <w:r>
        <w:fldChar w:fldCharType="end"/>
      </w:r>
      <w:r>
        <w:rPr>
          <w:bCs/>
          <w:color w:val="auto"/>
          <w:highlight w:val="none"/>
          <w:lang w:val="zh-CN"/>
        </w:rPr>
        <w:fldChar w:fldCharType="end"/>
      </w:r>
    </w:p>
    <w:p w14:paraId="1F121C1D">
      <w:pPr>
        <w:pStyle w:val="8"/>
        <w:tabs>
          <w:tab w:val="right" w:leader="dot" w:pos="8290"/>
        </w:tabs>
      </w:pPr>
      <w:r>
        <w:rPr>
          <w:bCs/>
          <w:color w:val="auto"/>
          <w:highlight w:val="none"/>
          <w:lang w:val="zh-CN"/>
        </w:rPr>
        <w:fldChar w:fldCharType="begin"/>
      </w:r>
      <w:r>
        <w:rPr>
          <w:bCs/>
          <w:highlight w:val="none"/>
          <w:lang w:val="zh-CN"/>
        </w:rPr>
        <w:instrText xml:space="preserve"> HYPERLINK \l _Toc221 </w:instrText>
      </w:r>
      <w:r>
        <w:rPr>
          <w:bCs/>
          <w:highlight w:val="none"/>
          <w:lang w:val="zh-CN"/>
        </w:rPr>
        <w:fldChar w:fldCharType="separate"/>
      </w:r>
      <w:r>
        <w:rPr>
          <w:rFonts w:ascii="Times New Roman" w:hAnsi="Times New Roman" w:eastAsia="黑体" w:cs="宋体"/>
          <w:szCs w:val="20"/>
          <w:highlight w:val="none"/>
        </w:rPr>
        <w:t>18.2 工伤保险</w:t>
      </w:r>
      <w:r>
        <w:tab/>
      </w:r>
      <w:r>
        <w:fldChar w:fldCharType="begin"/>
      </w:r>
      <w:r>
        <w:instrText xml:space="preserve"> PAGEREF _Toc221 \h </w:instrText>
      </w:r>
      <w:r>
        <w:fldChar w:fldCharType="separate"/>
      </w:r>
      <w:r>
        <w:t>1</w:t>
      </w:r>
      <w:r>
        <w:fldChar w:fldCharType="end"/>
      </w:r>
      <w:r>
        <w:rPr>
          <w:bCs/>
          <w:color w:val="auto"/>
          <w:highlight w:val="none"/>
          <w:lang w:val="zh-CN"/>
        </w:rPr>
        <w:fldChar w:fldCharType="end"/>
      </w:r>
    </w:p>
    <w:p w14:paraId="00E6B039">
      <w:pPr>
        <w:pStyle w:val="8"/>
        <w:tabs>
          <w:tab w:val="right" w:leader="dot" w:pos="8290"/>
        </w:tabs>
      </w:pPr>
      <w:r>
        <w:rPr>
          <w:bCs/>
          <w:color w:val="auto"/>
          <w:highlight w:val="none"/>
          <w:lang w:val="zh-CN"/>
        </w:rPr>
        <w:fldChar w:fldCharType="begin"/>
      </w:r>
      <w:r>
        <w:rPr>
          <w:bCs/>
          <w:highlight w:val="none"/>
          <w:lang w:val="zh-CN"/>
        </w:rPr>
        <w:instrText xml:space="preserve"> HYPERLINK \l _Toc5082 </w:instrText>
      </w:r>
      <w:r>
        <w:rPr>
          <w:bCs/>
          <w:highlight w:val="none"/>
          <w:lang w:val="zh-CN"/>
        </w:rPr>
        <w:fldChar w:fldCharType="separate"/>
      </w:r>
      <w:r>
        <w:rPr>
          <w:rFonts w:ascii="Times New Roman" w:hAnsi="Times New Roman" w:eastAsia="黑体" w:cs="宋体"/>
          <w:szCs w:val="20"/>
          <w:highlight w:val="none"/>
        </w:rPr>
        <w:t>18.3其他保险</w:t>
      </w:r>
      <w:r>
        <w:tab/>
      </w:r>
      <w:r>
        <w:fldChar w:fldCharType="begin"/>
      </w:r>
      <w:r>
        <w:instrText xml:space="preserve"> PAGEREF _Toc5082 \h </w:instrText>
      </w:r>
      <w:r>
        <w:fldChar w:fldCharType="separate"/>
      </w:r>
      <w:r>
        <w:t>1</w:t>
      </w:r>
      <w:r>
        <w:fldChar w:fldCharType="end"/>
      </w:r>
      <w:r>
        <w:rPr>
          <w:bCs/>
          <w:color w:val="auto"/>
          <w:highlight w:val="none"/>
          <w:lang w:val="zh-CN"/>
        </w:rPr>
        <w:fldChar w:fldCharType="end"/>
      </w:r>
    </w:p>
    <w:p w14:paraId="1D6D84B1">
      <w:pPr>
        <w:pStyle w:val="8"/>
        <w:tabs>
          <w:tab w:val="right" w:leader="dot" w:pos="8290"/>
        </w:tabs>
      </w:pPr>
      <w:r>
        <w:rPr>
          <w:bCs/>
          <w:color w:val="auto"/>
          <w:highlight w:val="none"/>
          <w:lang w:val="zh-CN"/>
        </w:rPr>
        <w:fldChar w:fldCharType="begin"/>
      </w:r>
      <w:r>
        <w:rPr>
          <w:bCs/>
          <w:highlight w:val="none"/>
          <w:lang w:val="zh-CN"/>
        </w:rPr>
        <w:instrText xml:space="preserve"> HYPERLINK \l _Toc27877 </w:instrText>
      </w:r>
      <w:r>
        <w:rPr>
          <w:bCs/>
          <w:highlight w:val="none"/>
          <w:lang w:val="zh-CN"/>
        </w:rPr>
        <w:fldChar w:fldCharType="separate"/>
      </w:r>
      <w:r>
        <w:rPr>
          <w:rFonts w:ascii="Times New Roman" w:hAnsi="Times New Roman" w:eastAsia="黑体" w:cs="宋体"/>
          <w:szCs w:val="20"/>
          <w:highlight w:val="none"/>
        </w:rPr>
        <w:t>18.4持续保险</w:t>
      </w:r>
      <w:r>
        <w:tab/>
      </w:r>
      <w:r>
        <w:fldChar w:fldCharType="begin"/>
      </w:r>
      <w:r>
        <w:instrText xml:space="preserve"> PAGEREF _Toc27877 \h </w:instrText>
      </w:r>
      <w:r>
        <w:fldChar w:fldCharType="separate"/>
      </w:r>
      <w:r>
        <w:t>1</w:t>
      </w:r>
      <w:r>
        <w:fldChar w:fldCharType="end"/>
      </w:r>
      <w:r>
        <w:rPr>
          <w:bCs/>
          <w:color w:val="auto"/>
          <w:highlight w:val="none"/>
          <w:lang w:val="zh-CN"/>
        </w:rPr>
        <w:fldChar w:fldCharType="end"/>
      </w:r>
    </w:p>
    <w:p w14:paraId="6FE5E526">
      <w:pPr>
        <w:pStyle w:val="8"/>
        <w:tabs>
          <w:tab w:val="right" w:leader="dot" w:pos="8290"/>
        </w:tabs>
      </w:pPr>
      <w:r>
        <w:rPr>
          <w:bCs/>
          <w:color w:val="auto"/>
          <w:highlight w:val="none"/>
          <w:lang w:val="zh-CN"/>
        </w:rPr>
        <w:fldChar w:fldCharType="begin"/>
      </w:r>
      <w:r>
        <w:rPr>
          <w:bCs/>
          <w:highlight w:val="none"/>
          <w:lang w:val="zh-CN"/>
        </w:rPr>
        <w:instrText xml:space="preserve"> HYPERLINK \l _Toc25321 </w:instrText>
      </w:r>
      <w:r>
        <w:rPr>
          <w:bCs/>
          <w:highlight w:val="none"/>
          <w:lang w:val="zh-CN"/>
        </w:rPr>
        <w:fldChar w:fldCharType="separate"/>
      </w:r>
      <w:r>
        <w:rPr>
          <w:rFonts w:ascii="Times New Roman" w:hAnsi="Times New Roman" w:eastAsia="黑体" w:cs="宋体"/>
          <w:szCs w:val="20"/>
          <w:highlight w:val="none"/>
        </w:rPr>
        <w:t>18.5 保险凭证</w:t>
      </w:r>
      <w:r>
        <w:tab/>
      </w:r>
      <w:r>
        <w:fldChar w:fldCharType="begin"/>
      </w:r>
      <w:r>
        <w:instrText xml:space="preserve"> PAGEREF _Toc25321 \h </w:instrText>
      </w:r>
      <w:r>
        <w:fldChar w:fldCharType="separate"/>
      </w:r>
      <w:r>
        <w:t>1</w:t>
      </w:r>
      <w:r>
        <w:fldChar w:fldCharType="end"/>
      </w:r>
      <w:r>
        <w:rPr>
          <w:bCs/>
          <w:color w:val="auto"/>
          <w:highlight w:val="none"/>
          <w:lang w:val="zh-CN"/>
        </w:rPr>
        <w:fldChar w:fldCharType="end"/>
      </w:r>
    </w:p>
    <w:p w14:paraId="6A90865C">
      <w:pPr>
        <w:pStyle w:val="8"/>
        <w:tabs>
          <w:tab w:val="right" w:leader="dot" w:pos="8290"/>
        </w:tabs>
      </w:pPr>
      <w:r>
        <w:rPr>
          <w:bCs/>
          <w:color w:val="auto"/>
          <w:highlight w:val="none"/>
          <w:lang w:val="zh-CN"/>
        </w:rPr>
        <w:fldChar w:fldCharType="begin"/>
      </w:r>
      <w:r>
        <w:rPr>
          <w:bCs/>
          <w:highlight w:val="none"/>
          <w:lang w:val="zh-CN"/>
        </w:rPr>
        <w:instrText xml:space="preserve"> HYPERLINK \l _Toc6115 </w:instrText>
      </w:r>
      <w:r>
        <w:rPr>
          <w:bCs/>
          <w:highlight w:val="none"/>
          <w:lang w:val="zh-CN"/>
        </w:rPr>
        <w:fldChar w:fldCharType="separate"/>
      </w:r>
      <w:r>
        <w:rPr>
          <w:rFonts w:ascii="Times New Roman" w:hAnsi="Times New Roman" w:eastAsia="黑体" w:cs="宋体"/>
          <w:szCs w:val="20"/>
          <w:highlight w:val="none"/>
        </w:rPr>
        <w:t>18.6 未按约定投保的补救</w:t>
      </w:r>
      <w:r>
        <w:tab/>
      </w:r>
      <w:r>
        <w:fldChar w:fldCharType="begin"/>
      </w:r>
      <w:r>
        <w:instrText xml:space="preserve"> PAGEREF _Toc6115 \h </w:instrText>
      </w:r>
      <w:r>
        <w:fldChar w:fldCharType="separate"/>
      </w:r>
      <w:r>
        <w:t>1</w:t>
      </w:r>
      <w:r>
        <w:fldChar w:fldCharType="end"/>
      </w:r>
      <w:r>
        <w:rPr>
          <w:bCs/>
          <w:color w:val="auto"/>
          <w:highlight w:val="none"/>
          <w:lang w:val="zh-CN"/>
        </w:rPr>
        <w:fldChar w:fldCharType="end"/>
      </w:r>
    </w:p>
    <w:p w14:paraId="61B6F711">
      <w:pPr>
        <w:pStyle w:val="8"/>
        <w:tabs>
          <w:tab w:val="right" w:leader="dot" w:pos="8290"/>
        </w:tabs>
      </w:pPr>
      <w:r>
        <w:rPr>
          <w:bCs/>
          <w:color w:val="auto"/>
          <w:highlight w:val="none"/>
          <w:lang w:val="zh-CN"/>
        </w:rPr>
        <w:fldChar w:fldCharType="begin"/>
      </w:r>
      <w:r>
        <w:rPr>
          <w:bCs/>
          <w:highlight w:val="none"/>
          <w:lang w:val="zh-CN"/>
        </w:rPr>
        <w:instrText xml:space="preserve"> HYPERLINK \l _Toc9366 </w:instrText>
      </w:r>
      <w:r>
        <w:rPr>
          <w:bCs/>
          <w:highlight w:val="none"/>
          <w:lang w:val="zh-CN"/>
        </w:rPr>
        <w:fldChar w:fldCharType="separate"/>
      </w:r>
      <w:r>
        <w:rPr>
          <w:rFonts w:ascii="Times New Roman" w:hAnsi="Times New Roman" w:eastAsia="黑体" w:cs="宋体"/>
          <w:szCs w:val="20"/>
          <w:highlight w:val="none"/>
        </w:rPr>
        <w:t>18.7 通知义务</w:t>
      </w:r>
      <w:r>
        <w:tab/>
      </w:r>
      <w:r>
        <w:fldChar w:fldCharType="begin"/>
      </w:r>
      <w:r>
        <w:instrText xml:space="preserve"> PAGEREF _Toc9366 \h </w:instrText>
      </w:r>
      <w:r>
        <w:fldChar w:fldCharType="separate"/>
      </w:r>
      <w:r>
        <w:t>1</w:t>
      </w:r>
      <w:r>
        <w:fldChar w:fldCharType="end"/>
      </w:r>
      <w:r>
        <w:rPr>
          <w:bCs/>
          <w:color w:val="auto"/>
          <w:highlight w:val="none"/>
          <w:lang w:val="zh-CN"/>
        </w:rPr>
        <w:fldChar w:fldCharType="end"/>
      </w:r>
    </w:p>
    <w:p w14:paraId="3B5CCD81">
      <w:pPr>
        <w:pStyle w:val="13"/>
        <w:tabs>
          <w:tab w:val="right" w:leader="dot" w:pos="8290"/>
        </w:tabs>
      </w:pPr>
      <w:r>
        <w:rPr>
          <w:bCs/>
          <w:color w:val="auto"/>
          <w:highlight w:val="none"/>
          <w:lang w:val="zh-CN"/>
        </w:rPr>
        <w:fldChar w:fldCharType="begin"/>
      </w:r>
      <w:r>
        <w:rPr>
          <w:bCs/>
          <w:highlight w:val="none"/>
          <w:lang w:val="zh-CN"/>
        </w:rPr>
        <w:instrText xml:space="preserve"> HYPERLINK \l _Toc27014 </w:instrText>
      </w:r>
      <w:r>
        <w:rPr>
          <w:bCs/>
          <w:highlight w:val="none"/>
          <w:lang w:val="zh-CN"/>
        </w:rPr>
        <w:fldChar w:fldCharType="separate"/>
      </w:r>
      <w:r>
        <w:rPr>
          <w:rFonts w:ascii="Times New Roman" w:hAnsi="Times New Roman" w:eastAsia="黑体" w:cs="宋体"/>
          <w:szCs w:val="20"/>
          <w:highlight w:val="none"/>
        </w:rPr>
        <w:t>19. 索赔</w:t>
      </w:r>
      <w:r>
        <w:tab/>
      </w:r>
      <w:r>
        <w:fldChar w:fldCharType="begin"/>
      </w:r>
      <w:r>
        <w:instrText xml:space="preserve"> PAGEREF _Toc27014 \h </w:instrText>
      </w:r>
      <w:r>
        <w:fldChar w:fldCharType="separate"/>
      </w:r>
      <w:r>
        <w:t>1</w:t>
      </w:r>
      <w:r>
        <w:fldChar w:fldCharType="end"/>
      </w:r>
      <w:r>
        <w:rPr>
          <w:bCs/>
          <w:color w:val="auto"/>
          <w:highlight w:val="none"/>
          <w:lang w:val="zh-CN"/>
        </w:rPr>
        <w:fldChar w:fldCharType="end"/>
      </w:r>
    </w:p>
    <w:p w14:paraId="76A80737">
      <w:pPr>
        <w:pStyle w:val="8"/>
        <w:tabs>
          <w:tab w:val="right" w:leader="dot" w:pos="8290"/>
        </w:tabs>
      </w:pPr>
      <w:r>
        <w:rPr>
          <w:bCs/>
          <w:color w:val="auto"/>
          <w:highlight w:val="none"/>
          <w:lang w:val="zh-CN"/>
        </w:rPr>
        <w:fldChar w:fldCharType="begin"/>
      </w:r>
      <w:r>
        <w:rPr>
          <w:bCs/>
          <w:highlight w:val="none"/>
          <w:lang w:val="zh-CN"/>
        </w:rPr>
        <w:instrText xml:space="preserve"> HYPERLINK \l _Toc20431 </w:instrText>
      </w:r>
      <w:r>
        <w:rPr>
          <w:bCs/>
          <w:highlight w:val="none"/>
          <w:lang w:val="zh-CN"/>
        </w:rPr>
        <w:fldChar w:fldCharType="separate"/>
      </w:r>
      <w:r>
        <w:rPr>
          <w:rFonts w:ascii="Times New Roman" w:hAnsi="Times New Roman" w:eastAsia="黑体" w:cs="宋体"/>
          <w:szCs w:val="20"/>
          <w:highlight w:val="none"/>
        </w:rPr>
        <w:t>19.1承包人的索赔</w:t>
      </w:r>
      <w:r>
        <w:tab/>
      </w:r>
      <w:r>
        <w:fldChar w:fldCharType="begin"/>
      </w:r>
      <w:r>
        <w:instrText xml:space="preserve"> PAGEREF _Toc20431 \h </w:instrText>
      </w:r>
      <w:r>
        <w:fldChar w:fldCharType="separate"/>
      </w:r>
      <w:r>
        <w:t>1</w:t>
      </w:r>
      <w:r>
        <w:fldChar w:fldCharType="end"/>
      </w:r>
      <w:r>
        <w:rPr>
          <w:bCs/>
          <w:color w:val="auto"/>
          <w:highlight w:val="none"/>
          <w:lang w:val="zh-CN"/>
        </w:rPr>
        <w:fldChar w:fldCharType="end"/>
      </w:r>
    </w:p>
    <w:p w14:paraId="25B603EF">
      <w:pPr>
        <w:pStyle w:val="8"/>
        <w:tabs>
          <w:tab w:val="right" w:leader="dot" w:pos="8290"/>
        </w:tabs>
      </w:pPr>
      <w:r>
        <w:rPr>
          <w:bCs/>
          <w:color w:val="auto"/>
          <w:highlight w:val="none"/>
          <w:lang w:val="zh-CN"/>
        </w:rPr>
        <w:fldChar w:fldCharType="begin"/>
      </w:r>
      <w:r>
        <w:rPr>
          <w:bCs/>
          <w:highlight w:val="none"/>
          <w:lang w:val="zh-CN"/>
        </w:rPr>
        <w:instrText xml:space="preserve"> HYPERLINK \l _Toc23322 </w:instrText>
      </w:r>
      <w:r>
        <w:rPr>
          <w:bCs/>
          <w:highlight w:val="none"/>
          <w:lang w:val="zh-CN"/>
        </w:rPr>
        <w:fldChar w:fldCharType="separate"/>
      </w:r>
      <w:r>
        <w:rPr>
          <w:rFonts w:ascii="Times New Roman" w:hAnsi="Times New Roman" w:eastAsia="黑体" w:cs="宋体"/>
          <w:szCs w:val="20"/>
          <w:highlight w:val="none"/>
        </w:rPr>
        <w:t>19.2 对承包人索赔的处理</w:t>
      </w:r>
      <w:r>
        <w:tab/>
      </w:r>
      <w:r>
        <w:fldChar w:fldCharType="begin"/>
      </w:r>
      <w:r>
        <w:instrText xml:space="preserve"> PAGEREF _Toc23322 \h </w:instrText>
      </w:r>
      <w:r>
        <w:fldChar w:fldCharType="separate"/>
      </w:r>
      <w:r>
        <w:t>1</w:t>
      </w:r>
      <w:r>
        <w:fldChar w:fldCharType="end"/>
      </w:r>
      <w:r>
        <w:rPr>
          <w:bCs/>
          <w:color w:val="auto"/>
          <w:highlight w:val="none"/>
          <w:lang w:val="zh-CN"/>
        </w:rPr>
        <w:fldChar w:fldCharType="end"/>
      </w:r>
    </w:p>
    <w:p w14:paraId="78637BFA">
      <w:pPr>
        <w:pStyle w:val="8"/>
        <w:tabs>
          <w:tab w:val="right" w:leader="dot" w:pos="8290"/>
        </w:tabs>
      </w:pPr>
      <w:r>
        <w:rPr>
          <w:bCs/>
          <w:color w:val="auto"/>
          <w:highlight w:val="none"/>
          <w:lang w:val="zh-CN"/>
        </w:rPr>
        <w:fldChar w:fldCharType="begin"/>
      </w:r>
      <w:r>
        <w:rPr>
          <w:bCs/>
          <w:highlight w:val="none"/>
          <w:lang w:val="zh-CN"/>
        </w:rPr>
        <w:instrText xml:space="preserve"> HYPERLINK \l _Toc9847 </w:instrText>
      </w:r>
      <w:r>
        <w:rPr>
          <w:bCs/>
          <w:highlight w:val="none"/>
          <w:lang w:val="zh-CN"/>
        </w:rPr>
        <w:fldChar w:fldCharType="separate"/>
      </w:r>
      <w:r>
        <w:rPr>
          <w:rFonts w:ascii="Times New Roman" w:hAnsi="Times New Roman" w:eastAsia="黑体" w:cs="宋体"/>
          <w:szCs w:val="20"/>
          <w:highlight w:val="none"/>
        </w:rPr>
        <w:t>19.3发包人的索赔</w:t>
      </w:r>
      <w:r>
        <w:tab/>
      </w:r>
      <w:r>
        <w:fldChar w:fldCharType="begin"/>
      </w:r>
      <w:r>
        <w:instrText xml:space="preserve"> PAGEREF _Toc9847 \h </w:instrText>
      </w:r>
      <w:r>
        <w:fldChar w:fldCharType="separate"/>
      </w:r>
      <w:r>
        <w:t>1</w:t>
      </w:r>
      <w:r>
        <w:fldChar w:fldCharType="end"/>
      </w:r>
      <w:r>
        <w:rPr>
          <w:bCs/>
          <w:color w:val="auto"/>
          <w:highlight w:val="none"/>
          <w:lang w:val="zh-CN"/>
        </w:rPr>
        <w:fldChar w:fldCharType="end"/>
      </w:r>
    </w:p>
    <w:p w14:paraId="08547A43">
      <w:pPr>
        <w:pStyle w:val="8"/>
        <w:tabs>
          <w:tab w:val="right" w:leader="dot" w:pos="8290"/>
        </w:tabs>
      </w:pPr>
      <w:r>
        <w:rPr>
          <w:bCs/>
          <w:color w:val="auto"/>
          <w:highlight w:val="none"/>
          <w:lang w:val="zh-CN"/>
        </w:rPr>
        <w:fldChar w:fldCharType="begin"/>
      </w:r>
      <w:r>
        <w:rPr>
          <w:bCs/>
          <w:highlight w:val="none"/>
          <w:lang w:val="zh-CN"/>
        </w:rPr>
        <w:instrText xml:space="preserve"> HYPERLINK \l _Toc17815 </w:instrText>
      </w:r>
      <w:r>
        <w:rPr>
          <w:bCs/>
          <w:highlight w:val="none"/>
          <w:lang w:val="zh-CN"/>
        </w:rPr>
        <w:fldChar w:fldCharType="separate"/>
      </w:r>
      <w:r>
        <w:rPr>
          <w:rFonts w:ascii="Times New Roman" w:hAnsi="Times New Roman" w:eastAsia="黑体" w:cs="宋体"/>
          <w:szCs w:val="20"/>
          <w:highlight w:val="none"/>
        </w:rPr>
        <w:t>19.4 对发包人索赔的处理</w:t>
      </w:r>
      <w:r>
        <w:tab/>
      </w:r>
      <w:r>
        <w:fldChar w:fldCharType="begin"/>
      </w:r>
      <w:r>
        <w:instrText xml:space="preserve"> PAGEREF _Toc17815 \h </w:instrText>
      </w:r>
      <w:r>
        <w:fldChar w:fldCharType="separate"/>
      </w:r>
      <w:r>
        <w:t>1</w:t>
      </w:r>
      <w:r>
        <w:fldChar w:fldCharType="end"/>
      </w:r>
      <w:r>
        <w:rPr>
          <w:bCs/>
          <w:color w:val="auto"/>
          <w:highlight w:val="none"/>
          <w:lang w:val="zh-CN"/>
        </w:rPr>
        <w:fldChar w:fldCharType="end"/>
      </w:r>
    </w:p>
    <w:p w14:paraId="1319B0B2">
      <w:pPr>
        <w:pStyle w:val="8"/>
        <w:tabs>
          <w:tab w:val="right" w:leader="dot" w:pos="8290"/>
        </w:tabs>
      </w:pPr>
      <w:r>
        <w:rPr>
          <w:bCs/>
          <w:color w:val="auto"/>
          <w:highlight w:val="none"/>
          <w:lang w:val="zh-CN"/>
        </w:rPr>
        <w:fldChar w:fldCharType="begin"/>
      </w:r>
      <w:r>
        <w:rPr>
          <w:bCs/>
          <w:highlight w:val="none"/>
          <w:lang w:val="zh-CN"/>
        </w:rPr>
        <w:instrText xml:space="preserve"> HYPERLINK \l _Toc18879 </w:instrText>
      </w:r>
      <w:r>
        <w:rPr>
          <w:bCs/>
          <w:highlight w:val="none"/>
          <w:lang w:val="zh-CN"/>
        </w:rPr>
        <w:fldChar w:fldCharType="separate"/>
      </w:r>
      <w:r>
        <w:rPr>
          <w:rFonts w:ascii="Times New Roman" w:hAnsi="Times New Roman" w:eastAsia="黑体" w:cs="宋体"/>
          <w:szCs w:val="20"/>
          <w:highlight w:val="none"/>
        </w:rPr>
        <w:t>19.5 提出索赔的期限</w:t>
      </w:r>
      <w:r>
        <w:tab/>
      </w:r>
      <w:r>
        <w:fldChar w:fldCharType="begin"/>
      </w:r>
      <w:r>
        <w:instrText xml:space="preserve"> PAGEREF _Toc18879 \h </w:instrText>
      </w:r>
      <w:r>
        <w:fldChar w:fldCharType="separate"/>
      </w:r>
      <w:r>
        <w:t>1</w:t>
      </w:r>
      <w:r>
        <w:fldChar w:fldCharType="end"/>
      </w:r>
      <w:r>
        <w:rPr>
          <w:bCs/>
          <w:color w:val="auto"/>
          <w:highlight w:val="none"/>
          <w:lang w:val="zh-CN"/>
        </w:rPr>
        <w:fldChar w:fldCharType="end"/>
      </w:r>
    </w:p>
    <w:p w14:paraId="4A2CCF87">
      <w:pPr>
        <w:pStyle w:val="13"/>
        <w:tabs>
          <w:tab w:val="right" w:leader="dot" w:pos="8290"/>
        </w:tabs>
      </w:pPr>
      <w:r>
        <w:rPr>
          <w:bCs/>
          <w:color w:val="auto"/>
          <w:highlight w:val="none"/>
          <w:lang w:val="zh-CN"/>
        </w:rPr>
        <w:fldChar w:fldCharType="begin"/>
      </w:r>
      <w:r>
        <w:rPr>
          <w:bCs/>
          <w:highlight w:val="none"/>
          <w:lang w:val="zh-CN"/>
        </w:rPr>
        <w:instrText xml:space="preserve"> HYPERLINK \l _Toc10525 </w:instrText>
      </w:r>
      <w:r>
        <w:rPr>
          <w:bCs/>
          <w:highlight w:val="none"/>
          <w:lang w:val="zh-CN"/>
        </w:rPr>
        <w:fldChar w:fldCharType="separate"/>
      </w:r>
      <w:r>
        <w:rPr>
          <w:rFonts w:ascii="Times New Roman" w:hAnsi="Times New Roman" w:eastAsia="黑体" w:cs="宋体"/>
          <w:szCs w:val="20"/>
          <w:highlight w:val="none"/>
        </w:rPr>
        <w:t>20. 争议解决</w:t>
      </w:r>
      <w:r>
        <w:tab/>
      </w:r>
      <w:r>
        <w:fldChar w:fldCharType="begin"/>
      </w:r>
      <w:r>
        <w:instrText xml:space="preserve"> PAGEREF _Toc10525 \h </w:instrText>
      </w:r>
      <w:r>
        <w:fldChar w:fldCharType="separate"/>
      </w:r>
      <w:r>
        <w:t>1</w:t>
      </w:r>
      <w:r>
        <w:fldChar w:fldCharType="end"/>
      </w:r>
      <w:r>
        <w:rPr>
          <w:bCs/>
          <w:color w:val="auto"/>
          <w:highlight w:val="none"/>
          <w:lang w:val="zh-CN"/>
        </w:rPr>
        <w:fldChar w:fldCharType="end"/>
      </w:r>
    </w:p>
    <w:p w14:paraId="7221947F">
      <w:pPr>
        <w:pStyle w:val="8"/>
        <w:tabs>
          <w:tab w:val="right" w:leader="dot" w:pos="8290"/>
        </w:tabs>
      </w:pPr>
      <w:r>
        <w:rPr>
          <w:bCs/>
          <w:color w:val="auto"/>
          <w:highlight w:val="none"/>
          <w:lang w:val="zh-CN"/>
        </w:rPr>
        <w:fldChar w:fldCharType="begin"/>
      </w:r>
      <w:r>
        <w:rPr>
          <w:bCs/>
          <w:highlight w:val="none"/>
          <w:lang w:val="zh-CN"/>
        </w:rPr>
        <w:instrText xml:space="preserve"> HYPERLINK \l _Toc22070 </w:instrText>
      </w:r>
      <w:r>
        <w:rPr>
          <w:bCs/>
          <w:highlight w:val="none"/>
          <w:lang w:val="zh-CN"/>
        </w:rPr>
        <w:fldChar w:fldCharType="separate"/>
      </w:r>
      <w:r>
        <w:rPr>
          <w:rFonts w:ascii="Times New Roman" w:hAnsi="Times New Roman" w:eastAsia="黑体" w:cs="宋体"/>
          <w:szCs w:val="20"/>
          <w:highlight w:val="none"/>
        </w:rPr>
        <w:t>20.1和解</w:t>
      </w:r>
      <w:r>
        <w:tab/>
      </w:r>
      <w:r>
        <w:fldChar w:fldCharType="begin"/>
      </w:r>
      <w:r>
        <w:instrText xml:space="preserve"> PAGEREF _Toc22070 \h </w:instrText>
      </w:r>
      <w:r>
        <w:fldChar w:fldCharType="separate"/>
      </w:r>
      <w:r>
        <w:t>1</w:t>
      </w:r>
      <w:r>
        <w:fldChar w:fldCharType="end"/>
      </w:r>
      <w:r>
        <w:rPr>
          <w:bCs/>
          <w:color w:val="auto"/>
          <w:highlight w:val="none"/>
          <w:lang w:val="zh-CN"/>
        </w:rPr>
        <w:fldChar w:fldCharType="end"/>
      </w:r>
    </w:p>
    <w:p w14:paraId="7D7D866D">
      <w:pPr>
        <w:pStyle w:val="8"/>
        <w:tabs>
          <w:tab w:val="right" w:leader="dot" w:pos="8290"/>
        </w:tabs>
      </w:pPr>
      <w:r>
        <w:rPr>
          <w:bCs/>
          <w:color w:val="auto"/>
          <w:highlight w:val="none"/>
          <w:lang w:val="zh-CN"/>
        </w:rPr>
        <w:fldChar w:fldCharType="begin"/>
      </w:r>
      <w:r>
        <w:rPr>
          <w:bCs/>
          <w:highlight w:val="none"/>
          <w:lang w:val="zh-CN"/>
        </w:rPr>
        <w:instrText xml:space="preserve"> HYPERLINK \l _Toc318 </w:instrText>
      </w:r>
      <w:r>
        <w:rPr>
          <w:bCs/>
          <w:highlight w:val="none"/>
          <w:lang w:val="zh-CN"/>
        </w:rPr>
        <w:fldChar w:fldCharType="separate"/>
      </w:r>
      <w:r>
        <w:rPr>
          <w:rFonts w:ascii="Times New Roman" w:hAnsi="Times New Roman" w:eastAsia="黑体" w:cs="宋体"/>
          <w:szCs w:val="20"/>
          <w:highlight w:val="none"/>
        </w:rPr>
        <w:t>20.2调解</w:t>
      </w:r>
      <w:r>
        <w:tab/>
      </w:r>
      <w:r>
        <w:fldChar w:fldCharType="begin"/>
      </w:r>
      <w:r>
        <w:instrText xml:space="preserve"> PAGEREF _Toc318 \h </w:instrText>
      </w:r>
      <w:r>
        <w:fldChar w:fldCharType="separate"/>
      </w:r>
      <w:r>
        <w:t>1</w:t>
      </w:r>
      <w:r>
        <w:fldChar w:fldCharType="end"/>
      </w:r>
      <w:r>
        <w:rPr>
          <w:bCs/>
          <w:color w:val="auto"/>
          <w:highlight w:val="none"/>
          <w:lang w:val="zh-CN"/>
        </w:rPr>
        <w:fldChar w:fldCharType="end"/>
      </w:r>
    </w:p>
    <w:p w14:paraId="56668F85">
      <w:pPr>
        <w:pStyle w:val="8"/>
        <w:tabs>
          <w:tab w:val="right" w:leader="dot" w:pos="8290"/>
        </w:tabs>
      </w:pPr>
      <w:r>
        <w:rPr>
          <w:bCs/>
          <w:color w:val="auto"/>
          <w:highlight w:val="none"/>
          <w:lang w:val="zh-CN"/>
        </w:rPr>
        <w:fldChar w:fldCharType="begin"/>
      </w:r>
      <w:r>
        <w:rPr>
          <w:bCs/>
          <w:highlight w:val="none"/>
          <w:lang w:val="zh-CN"/>
        </w:rPr>
        <w:instrText xml:space="preserve"> HYPERLINK \l _Toc27996 </w:instrText>
      </w:r>
      <w:r>
        <w:rPr>
          <w:bCs/>
          <w:highlight w:val="none"/>
          <w:lang w:val="zh-CN"/>
        </w:rPr>
        <w:fldChar w:fldCharType="separate"/>
      </w:r>
      <w:r>
        <w:rPr>
          <w:rFonts w:ascii="Times New Roman" w:hAnsi="Times New Roman" w:eastAsia="黑体" w:cs="宋体"/>
          <w:szCs w:val="20"/>
          <w:highlight w:val="none"/>
        </w:rPr>
        <w:t>20.3争议评审</w:t>
      </w:r>
      <w:r>
        <w:tab/>
      </w:r>
      <w:r>
        <w:fldChar w:fldCharType="begin"/>
      </w:r>
      <w:r>
        <w:instrText xml:space="preserve"> PAGEREF _Toc27996 \h </w:instrText>
      </w:r>
      <w:r>
        <w:fldChar w:fldCharType="separate"/>
      </w:r>
      <w:r>
        <w:t>1</w:t>
      </w:r>
      <w:r>
        <w:fldChar w:fldCharType="end"/>
      </w:r>
      <w:r>
        <w:rPr>
          <w:bCs/>
          <w:color w:val="auto"/>
          <w:highlight w:val="none"/>
          <w:lang w:val="zh-CN"/>
        </w:rPr>
        <w:fldChar w:fldCharType="end"/>
      </w:r>
    </w:p>
    <w:p w14:paraId="5413ECA6">
      <w:pPr>
        <w:pStyle w:val="8"/>
        <w:tabs>
          <w:tab w:val="right" w:leader="dot" w:pos="8290"/>
        </w:tabs>
      </w:pPr>
      <w:r>
        <w:rPr>
          <w:bCs/>
          <w:color w:val="auto"/>
          <w:highlight w:val="none"/>
          <w:lang w:val="zh-CN"/>
        </w:rPr>
        <w:fldChar w:fldCharType="begin"/>
      </w:r>
      <w:r>
        <w:rPr>
          <w:bCs/>
          <w:highlight w:val="none"/>
          <w:lang w:val="zh-CN"/>
        </w:rPr>
        <w:instrText xml:space="preserve"> HYPERLINK \l _Toc5329 </w:instrText>
      </w:r>
      <w:r>
        <w:rPr>
          <w:bCs/>
          <w:highlight w:val="none"/>
          <w:lang w:val="zh-CN"/>
        </w:rPr>
        <w:fldChar w:fldCharType="separate"/>
      </w:r>
      <w:r>
        <w:rPr>
          <w:rFonts w:ascii="Times New Roman" w:hAnsi="Times New Roman" w:eastAsia="黑体" w:cs="宋体"/>
          <w:szCs w:val="20"/>
          <w:highlight w:val="none"/>
        </w:rPr>
        <w:t>20.4仲裁或诉讼</w:t>
      </w:r>
      <w:r>
        <w:tab/>
      </w:r>
      <w:r>
        <w:fldChar w:fldCharType="begin"/>
      </w:r>
      <w:r>
        <w:instrText xml:space="preserve"> PAGEREF _Toc5329 \h </w:instrText>
      </w:r>
      <w:r>
        <w:fldChar w:fldCharType="separate"/>
      </w:r>
      <w:r>
        <w:t>1</w:t>
      </w:r>
      <w:r>
        <w:fldChar w:fldCharType="end"/>
      </w:r>
      <w:r>
        <w:rPr>
          <w:bCs/>
          <w:color w:val="auto"/>
          <w:highlight w:val="none"/>
          <w:lang w:val="zh-CN"/>
        </w:rPr>
        <w:fldChar w:fldCharType="end"/>
      </w:r>
    </w:p>
    <w:p w14:paraId="7C219217">
      <w:pPr>
        <w:pStyle w:val="8"/>
        <w:tabs>
          <w:tab w:val="right" w:leader="dot" w:pos="8290"/>
        </w:tabs>
      </w:pPr>
      <w:r>
        <w:rPr>
          <w:bCs/>
          <w:color w:val="auto"/>
          <w:highlight w:val="none"/>
          <w:lang w:val="zh-CN"/>
        </w:rPr>
        <w:fldChar w:fldCharType="begin"/>
      </w:r>
      <w:r>
        <w:rPr>
          <w:bCs/>
          <w:highlight w:val="none"/>
          <w:lang w:val="zh-CN"/>
        </w:rPr>
        <w:instrText xml:space="preserve"> HYPERLINK \l _Toc184 </w:instrText>
      </w:r>
      <w:r>
        <w:rPr>
          <w:bCs/>
          <w:highlight w:val="none"/>
          <w:lang w:val="zh-CN"/>
        </w:rPr>
        <w:fldChar w:fldCharType="separate"/>
      </w:r>
      <w:r>
        <w:rPr>
          <w:rFonts w:ascii="Times New Roman" w:hAnsi="Times New Roman" w:eastAsia="黑体" w:cs="宋体"/>
          <w:szCs w:val="20"/>
          <w:highlight w:val="none"/>
        </w:rPr>
        <w:t>20.5争议解决条款效力</w:t>
      </w:r>
      <w:r>
        <w:tab/>
      </w:r>
      <w:r>
        <w:fldChar w:fldCharType="begin"/>
      </w:r>
      <w:r>
        <w:instrText xml:space="preserve"> PAGEREF _Toc184 \h </w:instrText>
      </w:r>
      <w:r>
        <w:fldChar w:fldCharType="separate"/>
      </w:r>
      <w:r>
        <w:t>1</w:t>
      </w:r>
      <w:r>
        <w:fldChar w:fldCharType="end"/>
      </w:r>
      <w:r>
        <w:rPr>
          <w:bCs/>
          <w:color w:val="auto"/>
          <w:highlight w:val="none"/>
          <w:lang w:val="zh-CN"/>
        </w:rPr>
        <w:fldChar w:fldCharType="end"/>
      </w:r>
    </w:p>
    <w:p w14:paraId="1266B207">
      <w:pPr>
        <w:pStyle w:val="13"/>
        <w:tabs>
          <w:tab w:val="right" w:leader="dot" w:pos="8290"/>
        </w:tabs>
      </w:pPr>
      <w:r>
        <w:rPr>
          <w:bCs/>
          <w:color w:val="auto"/>
          <w:highlight w:val="none"/>
          <w:lang w:val="zh-CN"/>
        </w:rPr>
        <w:fldChar w:fldCharType="begin"/>
      </w:r>
      <w:r>
        <w:rPr>
          <w:bCs/>
          <w:highlight w:val="none"/>
          <w:lang w:val="zh-CN"/>
        </w:rPr>
        <w:instrText xml:space="preserve"> HYPERLINK \l _Toc25888 </w:instrText>
      </w:r>
      <w:r>
        <w:rPr>
          <w:bCs/>
          <w:highlight w:val="none"/>
          <w:lang w:val="zh-CN"/>
        </w:rPr>
        <w:fldChar w:fldCharType="separate"/>
      </w:r>
      <w:r>
        <w:rPr>
          <w:rFonts w:ascii="Times New Roman" w:hAnsi="Times New Roman" w:eastAsia="黑体" w:cs="宋体"/>
          <w:szCs w:val="20"/>
          <w:highlight w:val="none"/>
        </w:rPr>
        <w:t xml:space="preserve">第三部分 </w:t>
      </w:r>
      <w:r>
        <w:rPr>
          <w:rFonts w:hint="eastAsia" w:ascii="Times New Roman" w:hAnsi="Times New Roman" w:eastAsia="黑体" w:cs="宋体"/>
          <w:szCs w:val="20"/>
          <w:highlight w:val="none"/>
        </w:rPr>
        <w:t>专用合同条款</w:t>
      </w:r>
      <w:r>
        <w:tab/>
      </w:r>
      <w:r>
        <w:fldChar w:fldCharType="begin"/>
      </w:r>
      <w:r>
        <w:instrText xml:space="preserve"> PAGEREF _Toc25888 \h </w:instrText>
      </w:r>
      <w:r>
        <w:fldChar w:fldCharType="separate"/>
      </w:r>
      <w:r>
        <w:t>1</w:t>
      </w:r>
      <w:r>
        <w:fldChar w:fldCharType="end"/>
      </w:r>
      <w:r>
        <w:rPr>
          <w:bCs/>
          <w:color w:val="auto"/>
          <w:highlight w:val="none"/>
          <w:lang w:val="zh-CN"/>
        </w:rPr>
        <w:fldChar w:fldCharType="end"/>
      </w:r>
    </w:p>
    <w:p w14:paraId="56E81B0C">
      <w:pPr>
        <w:pStyle w:val="13"/>
        <w:tabs>
          <w:tab w:val="right" w:leader="dot" w:pos="8290"/>
        </w:tabs>
      </w:pPr>
      <w:r>
        <w:rPr>
          <w:bCs/>
          <w:color w:val="auto"/>
          <w:highlight w:val="none"/>
          <w:lang w:val="zh-CN"/>
        </w:rPr>
        <w:fldChar w:fldCharType="begin"/>
      </w:r>
      <w:r>
        <w:rPr>
          <w:bCs/>
          <w:highlight w:val="none"/>
          <w:lang w:val="zh-CN"/>
        </w:rPr>
        <w:instrText xml:space="preserve"> HYPERLINK \l _Toc4806 </w:instrText>
      </w:r>
      <w:r>
        <w:rPr>
          <w:bCs/>
          <w:highlight w:val="none"/>
          <w:lang w:val="zh-CN"/>
        </w:rPr>
        <w:fldChar w:fldCharType="separate"/>
      </w:r>
      <w:r>
        <w:rPr>
          <w:rFonts w:ascii="Times New Roman" w:hAnsi="Times New Roman" w:eastAsia="黑体" w:cs="宋体"/>
          <w:szCs w:val="20"/>
          <w:highlight w:val="none"/>
        </w:rPr>
        <w:t>1. 一般约定</w:t>
      </w:r>
      <w:r>
        <w:tab/>
      </w:r>
      <w:r>
        <w:fldChar w:fldCharType="begin"/>
      </w:r>
      <w:r>
        <w:instrText xml:space="preserve"> PAGEREF _Toc4806 \h </w:instrText>
      </w:r>
      <w:r>
        <w:fldChar w:fldCharType="separate"/>
      </w:r>
      <w:r>
        <w:t>1</w:t>
      </w:r>
      <w:r>
        <w:fldChar w:fldCharType="end"/>
      </w:r>
      <w:r>
        <w:rPr>
          <w:bCs/>
          <w:color w:val="auto"/>
          <w:highlight w:val="none"/>
          <w:lang w:val="zh-CN"/>
        </w:rPr>
        <w:fldChar w:fldCharType="end"/>
      </w:r>
    </w:p>
    <w:p w14:paraId="2A8459E3">
      <w:pPr>
        <w:pStyle w:val="8"/>
        <w:tabs>
          <w:tab w:val="right" w:leader="dot" w:pos="8290"/>
        </w:tabs>
      </w:pPr>
      <w:r>
        <w:rPr>
          <w:bCs/>
          <w:color w:val="auto"/>
          <w:highlight w:val="none"/>
          <w:lang w:val="zh-CN"/>
        </w:rPr>
        <w:fldChar w:fldCharType="begin"/>
      </w:r>
      <w:r>
        <w:rPr>
          <w:bCs/>
          <w:highlight w:val="none"/>
          <w:lang w:val="zh-CN"/>
        </w:rPr>
        <w:instrText xml:space="preserve"> HYPERLINK \l _Toc16294 </w:instrText>
      </w:r>
      <w:r>
        <w:rPr>
          <w:bCs/>
          <w:highlight w:val="none"/>
          <w:lang w:val="zh-CN"/>
        </w:rPr>
        <w:fldChar w:fldCharType="separate"/>
      </w:r>
      <w:r>
        <w:rPr>
          <w:rFonts w:ascii="Times New Roman" w:hAnsi="Times New Roman" w:eastAsia="黑体" w:cs="宋体"/>
          <w:szCs w:val="20"/>
          <w:highlight w:val="none"/>
        </w:rPr>
        <w:t>1.1 词语定义</w:t>
      </w:r>
      <w:r>
        <w:tab/>
      </w:r>
      <w:r>
        <w:fldChar w:fldCharType="begin"/>
      </w:r>
      <w:r>
        <w:instrText xml:space="preserve"> PAGEREF _Toc16294 \h </w:instrText>
      </w:r>
      <w:r>
        <w:fldChar w:fldCharType="separate"/>
      </w:r>
      <w:r>
        <w:t>1</w:t>
      </w:r>
      <w:r>
        <w:fldChar w:fldCharType="end"/>
      </w:r>
      <w:r>
        <w:rPr>
          <w:bCs/>
          <w:color w:val="auto"/>
          <w:highlight w:val="none"/>
          <w:lang w:val="zh-CN"/>
        </w:rPr>
        <w:fldChar w:fldCharType="end"/>
      </w:r>
    </w:p>
    <w:p w14:paraId="2939018F">
      <w:pPr>
        <w:pStyle w:val="8"/>
        <w:tabs>
          <w:tab w:val="right" w:leader="dot" w:pos="8290"/>
        </w:tabs>
      </w:pPr>
      <w:r>
        <w:rPr>
          <w:bCs/>
          <w:color w:val="auto"/>
          <w:highlight w:val="none"/>
          <w:lang w:val="zh-CN"/>
        </w:rPr>
        <w:fldChar w:fldCharType="begin"/>
      </w:r>
      <w:r>
        <w:rPr>
          <w:bCs/>
          <w:highlight w:val="none"/>
          <w:lang w:val="zh-CN"/>
        </w:rPr>
        <w:instrText xml:space="preserve"> HYPERLINK \l _Toc1085 </w:instrText>
      </w:r>
      <w:r>
        <w:rPr>
          <w:bCs/>
          <w:highlight w:val="none"/>
          <w:lang w:val="zh-CN"/>
        </w:rPr>
        <w:fldChar w:fldCharType="separate"/>
      </w:r>
      <w:r>
        <w:rPr>
          <w:rFonts w:ascii="Times New Roman" w:hAnsi="Times New Roman" w:eastAsia="黑体" w:cs="宋体"/>
          <w:szCs w:val="20"/>
          <w:highlight w:val="none"/>
        </w:rPr>
        <w:t>1.3法律</w:t>
      </w:r>
      <w:r>
        <w:tab/>
      </w:r>
      <w:r>
        <w:fldChar w:fldCharType="begin"/>
      </w:r>
      <w:r>
        <w:instrText xml:space="preserve"> PAGEREF _Toc1085 \h </w:instrText>
      </w:r>
      <w:r>
        <w:fldChar w:fldCharType="separate"/>
      </w:r>
      <w:r>
        <w:t>1</w:t>
      </w:r>
      <w:r>
        <w:fldChar w:fldCharType="end"/>
      </w:r>
      <w:r>
        <w:rPr>
          <w:bCs/>
          <w:color w:val="auto"/>
          <w:highlight w:val="none"/>
          <w:lang w:val="zh-CN"/>
        </w:rPr>
        <w:fldChar w:fldCharType="end"/>
      </w:r>
    </w:p>
    <w:p w14:paraId="3DA7D1FE">
      <w:pPr>
        <w:pStyle w:val="8"/>
        <w:tabs>
          <w:tab w:val="right" w:leader="dot" w:pos="8290"/>
        </w:tabs>
      </w:pPr>
      <w:r>
        <w:rPr>
          <w:bCs/>
          <w:color w:val="auto"/>
          <w:highlight w:val="none"/>
          <w:lang w:val="zh-CN"/>
        </w:rPr>
        <w:fldChar w:fldCharType="begin"/>
      </w:r>
      <w:r>
        <w:rPr>
          <w:bCs/>
          <w:highlight w:val="none"/>
          <w:lang w:val="zh-CN"/>
        </w:rPr>
        <w:instrText xml:space="preserve"> HYPERLINK \l _Toc20166 </w:instrText>
      </w:r>
      <w:r>
        <w:rPr>
          <w:bCs/>
          <w:highlight w:val="none"/>
          <w:lang w:val="zh-CN"/>
        </w:rPr>
        <w:fldChar w:fldCharType="separate"/>
      </w:r>
      <w:r>
        <w:rPr>
          <w:rFonts w:ascii="Times New Roman" w:hAnsi="Times New Roman" w:eastAsia="黑体" w:cs="宋体"/>
          <w:szCs w:val="20"/>
          <w:highlight w:val="none"/>
        </w:rPr>
        <w:t>1.4 标准和规范</w:t>
      </w:r>
      <w:r>
        <w:tab/>
      </w:r>
      <w:r>
        <w:fldChar w:fldCharType="begin"/>
      </w:r>
      <w:r>
        <w:instrText xml:space="preserve"> PAGEREF _Toc20166 \h </w:instrText>
      </w:r>
      <w:r>
        <w:fldChar w:fldCharType="separate"/>
      </w:r>
      <w:r>
        <w:t>1</w:t>
      </w:r>
      <w:r>
        <w:fldChar w:fldCharType="end"/>
      </w:r>
      <w:r>
        <w:rPr>
          <w:bCs/>
          <w:color w:val="auto"/>
          <w:highlight w:val="none"/>
          <w:lang w:val="zh-CN"/>
        </w:rPr>
        <w:fldChar w:fldCharType="end"/>
      </w:r>
    </w:p>
    <w:p w14:paraId="3C4ECA0F">
      <w:pPr>
        <w:pStyle w:val="8"/>
        <w:tabs>
          <w:tab w:val="right" w:leader="dot" w:pos="8290"/>
        </w:tabs>
      </w:pPr>
      <w:r>
        <w:rPr>
          <w:bCs/>
          <w:color w:val="auto"/>
          <w:highlight w:val="none"/>
          <w:lang w:val="zh-CN"/>
        </w:rPr>
        <w:fldChar w:fldCharType="begin"/>
      </w:r>
      <w:r>
        <w:rPr>
          <w:bCs/>
          <w:highlight w:val="none"/>
          <w:lang w:val="zh-CN"/>
        </w:rPr>
        <w:instrText xml:space="preserve"> HYPERLINK \l _Toc30831 </w:instrText>
      </w:r>
      <w:r>
        <w:rPr>
          <w:bCs/>
          <w:highlight w:val="none"/>
          <w:lang w:val="zh-CN"/>
        </w:rPr>
        <w:fldChar w:fldCharType="separate"/>
      </w:r>
      <w:r>
        <w:rPr>
          <w:rFonts w:ascii="Times New Roman" w:hAnsi="Times New Roman" w:eastAsia="黑体" w:cs="宋体"/>
          <w:szCs w:val="20"/>
          <w:highlight w:val="none"/>
        </w:rPr>
        <w:t>1.5 合同文件的优先顺序</w:t>
      </w:r>
      <w:r>
        <w:tab/>
      </w:r>
      <w:r>
        <w:fldChar w:fldCharType="begin"/>
      </w:r>
      <w:r>
        <w:instrText xml:space="preserve"> PAGEREF _Toc30831 \h </w:instrText>
      </w:r>
      <w:r>
        <w:fldChar w:fldCharType="separate"/>
      </w:r>
      <w:r>
        <w:t>1</w:t>
      </w:r>
      <w:r>
        <w:fldChar w:fldCharType="end"/>
      </w:r>
      <w:r>
        <w:rPr>
          <w:bCs/>
          <w:color w:val="auto"/>
          <w:highlight w:val="none"/>
          <w:lang w:val="zh-CN"/>
        </w:rPr>
        <w:fldChar w:fldCharType="end"/>
      </w:r>
    </w:p>
    <w:p w14:paraId="4098468D">
      <w:pPr>
        <w:pStyle w:val="8"/>
        <w:tabs>
          <w:tab w:val="right" w:leader="dot" w:pos="8290"/>
        </w:tabs>
      </w:pPr>
      <w:r>
        <w:rPr>
          <w:bCs/>
          <w:color w:val="auto"/>
          <w:highlight w:val="none"/>
          <w:lang w:val="zh-CN"/>
        </w:rPr>
        <w:fldChar w:fldCharType="begin"/>
      </w:r>
      <w:r>
        <w:rPr>
          <w:bCs/>
          <w:highlight w:val="none"/>
          <w:lang w:val="zh-CN"/>
        </w:rPr>
        <w:instrText xml:space="preserve"> HYPERLINK \l _Toc10521 </w:instrText>
      </w:r>
      <w:r>
        <w:rPr>
          <w:bCs/>
          <w:highlight w:val="none"/>
          <w:lang w:val="zh-CN"/>
        </w:rPr>
        <w:fldChar w:fldCharType="separate"/>
      </w:r>
      <w:r>
        <w:rPr>
          <w:rFonts w:ascii="Times New Roman" w:hAnsi="Times New Roman" w:eastAsia="黑体" w:cs="宋体"/>
          <w:szCs w:val="20"/>
          <w:highlight w:val="none"/>
        </w:rPr>
        <w:t>1.6 图纸和承包人文件</w:t>
      </w:r>
      <w:r>
        <w:tab/>
      </w:r>
      <w:r>
        <w:fldChar w:fldCharType="begin"/>
      </w:r>
      <w:r>
        <w:instrText xml:space="preserve"> PAGEREF _Toc10521 \h </w:instrText>
      </w:r>
      <w:r>
        <w:fldChar w:fldCharType="separate"/>
      </w:r>
      <w:r>
        <w:t>1</w:t>
      </w:r>
      <w:r>
        <w:fldChar w:fldCharType="end"/>
      </w:r>
      <w:r>
        <w:rPr>
          <w:bCs/>
          <w:color w:val="auto"/>
          <w:highlight w:val="none"/>
          <w:lang w:val="zh-CN"/>
        </w:rPr>
        <w:fldChar w:fldCharType="end"/>
      </w:r>
    </w:p>
    <w:p w14:paraId="460CCE61">
      <w:pPr>
        <w:pStyle w:val="8"/>
        <w:tabs>
          <w:tab w:val="right" w:leader="dot" w:pos="8290"/>
        </w:tabs>
      </w:pPr>
      <w:r>
        <w:rPr>
          <w:bCs/>
          <w:color w:val="auto"/>
          <w:highlight w:val="none"/>
          <w:lang w:val="zh-CN"/>
        </w:rPr>
        <w:fldChar w:fldCharType="begin"/>
      </w:r>
      <w:r>
        <w:rPr>
          <w:bCs/>
          <w:highlight w:val="none"/>
          <w:lang w:val="zh-CN"/>
        </w:rPr>
        <w:instrText xml:space="preserve"> HYPERLINK \l _Toc29147 </w:instrText>
      </w:r>
      <w:r>
        <w:rPr>
          <w:bCs/>
          <w:highlight w:val="none"/>
          <w:lang w:val="zh-CN"/>
        </w:rPr>
        <w:fldChar w:fldCharType="separate"/>
      </w:r>
      <w:r>
        <w:rPr>
          <w:rFonts w:ascii="Times New Roman" w:hAnsi="Times New Roman" w:eastAsia="黑体" w:cs="宋体"/>
          <w:szCs w:val="20"/>
          <w:highlight w:val="none"/>
        </w:rPr>
        <w:t>1.7 联络</w:t>
      </w:r>
      <w:r>
        <w:tab/>
      </w:r>
      <w:r>
        <w:fldChar w:fldCharType="begin"/>
      </w:r>
      <w:r>
        <w:instrText xml:space="preserve"> PAGEREF _Toc29147 \h </w:instrText>
      </w:r>
      <w:r>
        <w:fldChar w:fldCharType="separate"/>
      </w:r>
      <w:r>
        <w:t>1</w:t>
      </w:r>
      <w:r>
        <w:fldChar w:fldCharType="end"/>
      </w:r>
      <w:r>
        <w:rPr>
          <w:bCs/>
          <w:color w:val="auto"/>
          <w:highlight w:val="none"/>
          <w:lang w:val="zh-CN"/>
        </w:rPr>
        <w:fldChar w:fldCharType="end"/>
      </w:r>
    </w:p>
    <w:p w14:paraId="12F213BC">
      <w:pPr>
        <w:pStyle w:val="8"/>
        <w:tabs>
          <w:tab w:val="right" w:leader="dot" w:pos="8290"/>
        </w:tabs>
      </w:pPr>
      <w:r>
        <w:rPr>
          <w:bCs/>
          <w:color w:val="auto"/>
          <w:highlight w:val="none"/>
          <w:lang w:val="zh-CN"/>
        </w:rPr>
        <w:fldChar w:fldCharType="begin"/>
      </w:r>
      <w:r>
        <w:rPr>
          <w:bCs/>
          <w:highlight w:val="none"/>
          <w:lang w:val="zh-CN"/>
        </w:rPr>
        <w:instrText xml:space="preserve"> HYPERLINK \l _Toc7237 </w:instrText>
      </w:r>
      <w:r>
        <w:rPr>
          <w:bCs/>
          <w:highlight w:val="none"/>
          <w:lang w:val="zh-CN"/>
        </w:rPr>
        <w:fldChar w:fldCharType="separate"/>
      </w:r>
      <w:r>
        <w:rPr>
          <w:rFonts w:ascii="Times New Roman" w:hAnsi="Times New Roman" w:eastAsia="黑体" w:cs="宋体"/>
          <w:szCs w:val="20"/>
          <w:highlight w:val="none"/>
        </w:rPr>
        <w:t>1.10 交通运输</w:t>
      </w:r>
      <w:r>
        <w:tab/>
      </w:r>
      <w:r>
        <w:fldChar w:fldCharType="begin"/>
      </w:r>
      <w:r>
        <w:instrText xml:space="preserve"> PAGEREF _Toc7237 \h </w:instrText>
      </w:r>
      <w:r>
        <w:fldChar w:fldCharType="separate"/>
      </w:r>
      <w:r>
        <w:t>1</w:t>
      </w:r>
      <w:r>
        <w:fldChar w:fldCharType="end"/>
      </w:r>
      <w:r>
        <w:rPr>
          <w:bCs/>
          <w:color w:val="auto"/>
          <w:highlight w:val="none"/>
          <w:lang w:val="zh-CN"/>
        </w:rPr>
        <w:fldChar w:fldCharType="end"/>
      </w:r>
    </w:p>
    <w:p w14:paraId="3EDCA564">
      <w:pPr>
        <w:pStyle w:val="8"/>
        <w:tabs>
          <w:tab w:val="right" w:leader="dot" w:pos="8290"/>
        </w:tabs>
      </w:pPr>
      <w:r>
        <w:rPr>
          <w:bCs/>
          <w:color w:val="auto"/>
          <w:highlight w:val="none"/>
          <w:lang w:val="zh-CN"/>
        </w:rPr>
        <w:fldChar w:fldCharType="begin"/>
      </w:r>
      <w:r>
        <w:rPr>
          <w:bCs/>
          <w:highlight w:val="none"/>
          <w:lang w:val="zh-CN"/>
        </w:rPr>
        <w:instrText xml:space="preserve"> HYPERLINK \l _Toc4138 </w:instrText>
      </w:r>
      <w:r>
        <w:rPr>
          <w:bCs/>
          <w:highlight w:val="none"/>
          <w:lang w:val="zh-CN"/>
        </w:rPr>
        <w:fldChar w:fldCharType="separate"/>
      </w:r>
      <w:r>
        <w:rPr>
          <w:rFonts w:ascii="Times New Roman" w:hAnsi="Times New Roman" w:eastAsia="黑体" w:cs="宋体"/>
          <w:szCs w:val="20"/>
          <w:highlight w:val="none"/>
        </w:rPr>
        <w:t>1.11 知识产权</w:t>
      </w:r>
      <w:r>
        <w:tab/>
      </w:r>
      <w:r>
        <w:fldChar w:fldCharType="begin"/>
      </w:r>
      <w:r>
        <w:instrText xml:space="preserve"> PAGEREF _Toc4138 \h </w:instrText>
      </w:r>
      <w:r>
        <w:fldChar w:fldCharType="separate"/>
      </w:r>
      <w:r>
        <w:t>1</w:t>
      </w:r>
      <w:r>
        <w:fldChar w:fldCharType="end"/>
      </w:r>
      <w:r>
        <w:rPr>
          <w:bCs/>
          <w:color w:val="auto"/>
          <w:highlight w:val="none"/>
          <w:lang w:val="zh-CN"/>
        </w:rPr>
        <w:fldChar w:fldCharType="end"/>
      </w:r>
    </w:p>
    <w:p w14:paraId="5C6DB021">
      <w:pPr>
        <w:pStyle w:val="8"/>
        <w:tabs>
          <w:tab w:val="right" w:leader="dot" w:pos="8290"/>
        </w:tabs>
      </w:pPr>
      <w:r>
        <w:rPr>
          <w:bCs/>
          <w:color w:val="auto"/>
          <w:highlight w:val="none"/>
          <w:lang w:val="zh-CN"/>
        </w:rPr>
        <w:fldChar w:fldCharType="begin"/>
      </w:r>
      <w:r>
        <w:rPr>
          <w:bCs/>
          <w:highlight w:val="none"/>
          <w:lang w:val="zh-CN"/>
        </w:rPr>
        <w:instrText xml:space="preserve"> HYPERLINK \l _Toc6014 </w:instrText>
      </w:r>
      <w:r>
        <w:rPr>
          <w:bCs/>
          <w:highlight w:val="none"/>
          <w:lang w:val="zh-CN"/>
        </w:rPr>
        <w:fldChar w:fldCharType="separate"/>
      </w:r>
      <w:r>
        <w:rPr>
          <w:rFonts w:ascii="Times New Roman" w:hAnsi="Times New Roman" w:eastAsia="黑体" w:cs="宋体"/>
          <w:szCs w:val="20"/>
          <w:highlight w:val="none"/>
        </w:rPr>
        <w:t>1.13工程量清单错误的修正</w:t>
      </w:r>
      <w:r>
        <w:tab/>
      </w:r>
      <w:r>
        <w:fldChar w:fldCharType="begin"/>
      </w:r>
      <w:r>
        <w:instrText xml:space="preserve"> PAGEREF _Toc6014 \h </w:instrText>
      </w:r>
      <w:r>
        <w:fldChar w:fldCharType="separate"/>
      </w:r>
      <w:r>
        <w:t>1</w:t>
      </w:r>
      <w:r>
        <w:fldChar w:fldCharType="end"/>
      </w:r>
      <w:r>
        <w:rPr>
          <w:bCs/>
          <w:color w:val="auto"/>
          <w:highlight w:val="none"/>
          <w:lang w:val="zh-CN"/>
        </w:rPr>
        <w:fldChar w:fldCharType="end"/>
      </w:r>
    </w:p>
    <w:p w14:paraId="7B839CED">
      <w:pPr>
        <w:pStyle w:val="13"/>
        <w:tabs>
          <w:tab w:val="right" w:leader="dot" w:pos="8290"/>
        </w:tabs>
      </w:pPr>
      <w:r>
        <w:rPr>
          <w:bCs/>
          <w:color w:val="auto"/>
          <w:highlight w:val="none"/>
          <w:lang w:val="zh-CN"/>
        </w:rPr>
        <w:fldChar w:fldCharType="begin"/>
      </w:r>
      <w:r>
        <w:rPr>
          <w:bCs/>
          <w:highlight w:val="none"/>
          <w:lang w:val="zh-CN"/>
        </w:rPr>
        <w:instrText xml:space="preserve"> HYPERLINK \l _Toc25387 </w:instrText>
      </w:r>
      <w:r>
        <w:rPr>
          <w:bCs/>
          <w:highlight w:val="none"/>
          <w:lang w:val="zh-CN"/>
        </w:rPr>
        <w:fldChar w:fldCharType="separate"/>
      </w:r>
      <w:r>
        <w:rPr>
          <w:rFonts w:ascii="Times New Roman" w:hAnsi="Times New Roman" w:eastAsia="黑体" w:cs="宋体"/>
          <w:szCs w:val="20"/>
          <w:highlight w:val="none"/>
        </w:rPr>
        <w:t>2. 发包人</w:t>
      </w:r>
      <w:r>
        <w:tab/>
      </w:r>
      <w:r>
        <w:fldChar w:fldCharType="begin"/>
      </w:r>
      <w:r>
        <w:instrText xml:space="preserve"> PAGEREF _Toc25387 \h </w:instrText>
      </w:r>
      <w:r>
        <w:fldChar w:fldCharType="separate"/>
      </w:r>
      <w:r>
        <w:t>1</w:t>
      </w:r>
      <w:r>
        <w:fldChar w:fldCharType="end"/>
      </w:r>
      <w:r>
        <w:rPr>
          <w:bCs/>
          <w:color w:val="auto"/>
          <w:highlight w:val="none"/>
          <w:lang w:val="zh-CN"/>
        </w:rPr>
        <w:fldChar w:fldCharType="end"/>
      </w:r>
    </w:p>
    <w:p w14:paraId="4B537647">
      <w:pPr>
        <w:pStyle w:val="8"/>
        <w:tabs>
          <w:tab w:val="right" w:leader="dot" w:pos="8290"/>
        </w:tabs>
      </w:pPr>
      <w:r>
        <w:rPr>
          <w:bCs/>
          <w:color w:val="auto"/>
          <w:highlight w:val="none"/>
          <w:lang w:val="zh-CN"/>
        </w:rPr>
        <w:fldChar w:fldCharType="begin"/>
      </w:r>
      <w:r>
        <w:rPr>
          <w:bCs/>
          <w:highlight w:val="none"/>
          <w:lang w:val="zh-CN"/>
        </w:rPr>
        <w:instrText xml:space="preserve"> HYPERLINK \l _Toc31518 </w:instrText>
      </w:r>
      <w:r>
        <w:rPr>
          <w:bCs/>
          <w:highlight w:val="none"/>
          <w:lang w:val="zh-CN"/>
        </w:rPr>
        <w:fldChar w:fldCharType="separate"/>
      </w:r>
      <w:r>
        <w:rPr>
          <w:rFonts w:ascii="Times New Roman" w:hAnsi="Times New Roman" w:eastAsia="黑体" w:cs="宋体"/>
          <w:szCs w:val="20"/>
          <w:highlight w:val="none"/>
        </w:rPr>
        <w:t>2.2 发包人代表</w:t>
      </w:r>
      <w:r>
        <w:tab/>
      </w:r>
      <w:r>
        <w:fldChar w:fldCharType="begin"/>
      </w:r>
      <w:r>
        <w:instrText xml:space="preserve"> PAGEREF _Toc31518 \h </w:instrText>
      </w:r>
      <w:r>
        <w:fldChar w:fldCharType="separate"/>
      </w:r>
      <w:r>
        <w:t>1</w:t>
      </w:r>
      <w:r>
        <w:fldChar w:fldCharType="end"/>
      </w:r>
      <w:r>
        <w:rPr>
          <w:bCs/>
          <w:color w:val="auto"/>
          <w:highlight w:val="none"/>
          <w:lang w:val="zh-CN"/>
        </w:rPr>
        <w:fldChar w:fldCharType="end"/>
      </w:r>
    </w:p>
    <w:p w14:paraId="03A2C02D">
      <w:pPr>
        <w:pStyle w:val="8"/>
        <w:tabs>
          <w:tab w:val="right" w:leader="dot" w:pos="8290"/>
        </w:tabs>
      </w:pPr>
      <w:r>
        <w:rPr>
          <w:bCs/>
          <w:color w:val="auto"/>
          <w:highlight w:val="none"/>
          <w:lang w:val="zh-CN"/>
        </w:rPr>
        <w:fldChar w:fldCharType="begin"/>
      </w:r>
      <w:r>
        <w:rPr>
          <w:bCs/>
          <w:highlight w:val="none"/>
          <w:lang w:val="zh-CN"/>
        </w:rPr>
        <w:instrText xml:space="preserve"> HYPERLINK \l _Toc8837 </w:instrText>
      </w:r>
      <w:r>
        <w:rPr>
          <w:bCs/>
          <w:highlight w:val="none"/>
          <w:lang w:val="zh-CN"/>
        </w:rPr>
        <w:fldChar w:fldCharType="separate"/>
      </w:r>
      <w:r>
        <w:rPr>
          <w:rFonts w:ascii="Times New Roman" w:hAnsi="Times New Roman" w:eastAsia="黑体" w:cs="宋体"/>
          <w:szCs w:val="20"/>
          <w:highlight w:val="none"/>
        </w:rPr>
        <w:t>2.4 施工现场、施工条件和基础资料的提供</w:t>
      </w:r>
      <w:r>
        <w:tab/>
      </w:r>
      <w:r>
        <w:fldChar w:fldCharType="begin"/>
      </w:r>
      <w:r>
        <w:instrText xml:space="preserve"> PAGEREF _Toc8837 \h </w:instrText>
      </w:r>
      <w:r>
        <w:fldChar w:fldCharType="separate"/>
      </w:r>
      <w:r>
        <w:t>1</w:t>
      </w:r>
      <w:r>
        <w:fldChar w:fldCharType="end"/>
      </w:r>
      <w:r>
        <w:rPr>
          <w:bCs/>
          <w:color w:val="auto"/>
          <w:highlight w:val="none"/>
          <w:lang w:val="zh-CN"/>
        </w:rPr>
        <w:fldChar w:fldCharType="end"/>
      </w:r>
    </w:p>
    <w:p w14:paraId="61286F46">
      <w:pPr>
        <w:pStyle w:val="8"/>
        <w:tabs>
          <w:tab w:val="right" w:leader="dot" w:pos="8290"/>
        </w:tabs>
      </w:pPr>
      <w:r>
        <w:rPr>
          <w:bCs/>
          <w:color w:val="auto"/>
          <w:highlight w:val="none"/>
          <w:lang w:val="zh-CN"/>
        </w:rPr>
        <w:fldChar w:fldCharType="begin"/>
      </w:r>
      <w:r>
        <w:rPr>
          <w:bCs/>
          <w:highlight w:val="none"/>
          <w:lang w:val="zh-CN"/>
        </w:rPr>
        <w:instrText xml:space="preserve"> HYPERLINK \l _Toc32252 </w:instrText>
      </w:r>
      <w:r>
        <w:rPr>
          <w:bCs/>
          <w:highlight w:val="none"/>
          <w:lang w:val="zh-CN"/>
        </w:rPr>
        <w:fldChar w:fldCharType="separate"/>
      </w:r>
      <w:r>
        <w:rPr>
          <w:rFonts w:ascii="Times New Roman" w:hAnsi="Times New Roman" w:eastAsia="黑体" w:cs="宋体"/>
          <w:szCs w:val="20"/>
          <w:highlight w:val="none"/>
        </w:rPr>
        <w:t>2.5 资金来源证明及支付担保</w:t>
      </w:r>
      <w:r>
        <w:tab/>
      </w:r>
      <w:r>
        <w:fldChar w:fldCharType="begin"/>
      </w:r>
      <w:r>
        <w:instrText xml:space="preserve"> PAGEREF _Toc32252 \h </w:instrText>
      </w:r>
      <w:r>
        <w:fldChar w:fldCharType="separate"/>
      </w:r>
      <w:r>
        <w:t>1</w:t>
      </w:r>
      <w:r>
        <w:fldChar w:fldCharType="end"/>
      </w:r>
      <w:r>
        <w:rPr>
          <w:bCs/>
          <w:color w:val="auto"/>
          <w:highlight w:val="none"/>
          <w:lang w:val="zh-CN"/>
        </w:rPr>
        <w:fldChar w:fldCharType="end"/>
      </w:r>
    </w:p>
    <w:p w14:paraId="4D8E71F8">
      <w:pPr>
        <w:pStyle w:val="13"/>
        <w:tabs>
          <w:tab w:val="right" w:leader="dot" w:pos="8290"/>
        </w:tabs>
      </w:pPr>
      <w:r>
        <w:rPr>
          <w:bCs/>
          <w:color w:val="auto"/>
          <w:highlight w:val="none"/>
          <w:lang w:val="zh-CN"/>
        </w:rPr>
        <w:fldChar w:fldCharType="begin"/>
      </w:r>
      <w:r>
        <w:rPr>
          <w:bCs/>
          <w:highlight w:val="none"/>
          <w:lang w:val="zh-CN"/>
        </w:rPr>
        <w:instrText xml:space="preserve"> HYPERLINK \l _Toc22594 </w:instrText>
      </w:r>
      <w:r>
        <w:rPr>
          <w:bCs/>
          <w:highlight w:val="none"/>
          <w:lang w:val="zh-CN"/>
        </w:rPr>
        <w:fldChar w:fldCharType="separate"/>
      </w:r>
      <w:r>
        <w:rPr>
          <w:rFonts w:ascii="Times New Roman" w:hAnsi="Times New Roman" w:eastAsia="黑体" w:cs="宋体"/>
          <w:szCs w:val="20"/>
          <w:highlight w:val="none"/>
        </w:rPr>
        <w:t>3. 承包人</w:t>
      </w:r>
      <w:r>
        <w:tab/>
      </w:r>
      <w:r>
        <w:fldChar w:fldCharType="begin"/>
      </w:r>
      <w:r>
        <w:instrText xml:space="preserve"> PAGEREF _Toc22594 \h </w:instrText>
      </w:r>
      <w:r>
        <w:fldChar w:fldCharType="separate"/>
      </w:r>
      <w:r>
        <w:t>1</w:t>
      </w:r>
      <w:r>
        <w:fldChar w:fldCharType="end"/>
      </w:r>
      <w:r>
        <w:rPr>
          <w:bCs/>
          <w:color w:val="auto"/>
          <w:highlight w:val="none"/>
          <w:lang w:val="zh-CN"/>
        </w:rPr>
        <w:fldChar w:fldCharType="end"/>
      </w:r>
    </w:p>
    <w:p w14:paraId="6E92FEA8">
      <w:pPr>
        <w:pStyle w:val="8"/>
        <w:tabs>
          <w:tab w:val="right" w:leader="dot" w:pos="8290"/>
        </w:tabs>
      </w:pPr>
      <w:r>
        <w:rPr>
          <w:bCs/>
          <w:color w:val="auto"/>
          <w:highlight w:val="none"/>
          <w:lang w:val="zh-CN"/>
        </w:rPr>
        <w:fldChar w:fldCharType="begin"/>
      </w:r>
      <w:r>
        <w:rPr>
          <w:bCs/>
          <w:highlight w:val="none"/>
          <w:lang w:val="zh-CN"/>
        </w:rPr>
        <w:instrText xml:space="preserve"> HYPERLINK \l _Toc7779 </w:instrText>
      </w:r>
      <w:r>
        <w:rPr>
          <w:bCs/>
          <w:highlight w:val="none"/>
          <w:lang w:val="zh-CN"/>
        </w:rPr>
        <w:fldChar w:fldCharType="separate"/>
      </w:r>
      <w:r>
        <w:rPr>
          <w:rFonts w:ascii="Times New Roman" w:hAnsi="Times New Roman" w:eastAsia="黑体" w:cs="宋体"/>
          <w:szCs w:val="20"/>
          <w:highlight w:val="none"/>
        </w:rPr>
        <w:t>3.1 承包人的一般义务</w:t>
      </w:r>
      <w:r>
        <w:tab/>
      </w:r>
      <w:r>
        <w:fldChar w:fldCharType="begin"/>
      </w:r>
      <w:r>
        <w:instrText xml:space="preserve"> PAGEREF _Toc7779 \h </w:instrText>
      </w:r>
      <w:r>
        <w:fldChar w:fldCharType="separate"/>
      </w:r>
      <w:r>
        <w:t>1</w:t>
      </w:r>
      <w:r>
        <w:fldChar w:fldCharType="end"/>
      </w:r>
      <w:r>
        <w:rPr>
          <w:bCs/>
          <w:color w:val="auto"/>
          <w:highlight w:val="none"/>
          <w:lang w:val="zh-CN"/>
        </w:rPr>
        <w:fldChar w:fldCharType="end"/>
      </w:r>
    </w:p>
    <w:p w14:paraId="413B6364">
      <w:pPr>
        <w:pStyle w:val="8"/>
        <w:tabs>
          <w:tab w:val="right" w:leader="dot" w:pos="8290"/>
        </w:tabs>
      </w:pPr>
      <w:r>
        <w:rPr>
          <w:bCs/>
          <w:color w:val="auto"/>
          <w:highlight w:val="none"/>
          <w:lang w:val="zh-CN"/>
        </w:rPr>
        <w:fldChar w:fldCharType="begin"/>
      </w:r>
      <w:r>
        <w:rPr>
          <w:bCs/>
          <w:highlight w:val="none"/>
          <w:lang w:val="zh-CN"/>
        </w:rPr>
        <w:instrText xml:space="preserve"> HYPERLINK \l _Toc15449 </w:instrText>
      </w:r>
      <w:r>
        <w:rPr>
          <w:bCs/>
          <w:highlight w:val="none"/>
          <w:lang w:val="zh-CN"/>
        </w:rPr>
        <w:fldChar w:fldCharType="separate"/>
      </w:r>
      <w:r>
        <w:rPr>
          <w:rFonts w:ascii="Times New Roman" w:hAnsi="Times New Roman" w:eastAsia="黑体" w:cs="宋体"/>
          <w:szCs w:val="20"/>
          <w:highlight w:val="none"/>
        </w:rPr>
        <w:t>3.2 项目经理</w:t>
      </w:r>
      <w:r>
        <w:tab/>
      </w:r>
      <w:r>
        <w:fldChar w:fldCharType="begin"/>
      </w:r>
      <w:r>
        <w:instrText xml:space="preserve"> PAGEREF _Toc15449 \h </w:instrText>
      </w:r>
      <w:r>
        <w:fldChar w:fldCharType="separate"/>
      </w:r>
      <w:r>
        <w:t>1</w:t>
      </w:r>
      <w:r>
        <w:fldChar w:fldCharType="end"/>
      </w:r>
      <w:r>
        <w:rPr>
          <w:bCs/>
          <w:color w:val="auto"/>
          <w:highlight w:val="none"/>
          <w:lang w:val="zh-CN"/>
        </w:rPr>
        <w:fldChar w:fldCharType="end"/>
      </w:r>
    </w:p>
    <w:p w14:paraId="3474D4B9">
      <w:pPr>
        <w:pStyle w:val="8"/>
        <w:tabs>
          <w:tab w:val="right" w:leader="dot" w:pos="8290"/>
        </w:tabs>
      </w:pPr>
      <w:r>
        <w:rPr>
          <w:bCs/>
          <w:color w:val="auto"/>
          <w:highlight w:val="none"/>
          <w:lang w:val="zh-CN"/>
        </w:rPr>
        <w:fldChar w:fldCharType="begin"/>
      </w:r>
      <w:r>
        <w:rPr>
          <w:bCs/>
          <w:highlight w:val="none"/>
          <w:lang w:val="zh-CN"/>
        </w:rPr>
        <w:instrText xml:space="preserve"> HYPERLINK \l _Toc985 </w:instrText>
      </w:r>
      <w:r>
        <w:rPr>
          <w:bCs/>
          <w:highlight w:val="none"/>
          <w:lang w:val="zh-CN"/>
        </w:rPr>
        <w:fldChar w:fldCharType="separate"/>
      </w:r>
      <w:r>
        <w:rPr>
          <w:rFonts w:ascii="Times New Roman" w:hAnsi="Times New Roman" w:eastAsia="黑体" w:cs="宋体"/>
          <w:szCs w:val="20"/>
          <w:highlight w:val="none"/>
        </w:rPr>
        <w:t>3.3 承包人人员</w:t>
      </w:r>
      <w:r>
        <w:tab/>
      </w:r>
      <w:r>
        <w:fldChar w:fldCharType="begin"/>
      </w:r>
      <w:r>
        <w:instrText xml:space="preserve"> PAGEREF _Toc985 \h </w:instrText>
      </w:r>
      <w:r>
        <w:fldChar w:fldCharType="separate"/>
      </w:r>
      <w:r>
        <w:t>1</w:t>
      </w:r>
      <w:r>
        <w:fldChar w:fldCharType="end"/>
      </w:r>
      <w:r>
        <w:rPr>
          <w:bCs/>
          <w:color w:val="auto"/>
          <w:highlight w:val="none"/>
          <w:lang w:val="zh-CN"/>
        </w:rPr>
        <w:fldChar w:fldCharType="end"/>
      </w:r>
    </w:p>
    <w:p w14:paraId="4254355A">
      <w:pPr>
        <w:pStyle w:val="8"/>
        <w:tabs>
          <w:tab w:val="right" w:leader="dot" w:pos="8290"/>
        </w:tabs>
      </w:pPr>
      <w:r>
        <w:rPr>
          <w:bCs/>
          <w:color w:val="auto"/>
          <w:highlight w:val="none"/>
          <w:lang w:val="zh-CN"/>
        </w:rPr>
        <w:fldChar w:fldCharType="begin"/>
      </w:r>
      <w:r>
        <w:rPr>
          <w:bCs/>
          <w:highlight w:val="none"/>
          <w:lang w:val="zh-CN"/>
        </w:rPr>
        <w:instrText xml:space="preserve"> HYPERLINK \l _Toc12770 </w:instrText>
      </w:r>
      <w:r>
        <w:rPr>
          <w:bCs/>
          <w:highlight w:val="none"/>
          <w:lang w:val="zh-CN"/>
        </w:rPr>
        <w:fldChar w:fldCharType="separate"/>
      </w:r>
      <w:r>
        <w:rPr>
          <w:rFonts w:ascii="Times New Roman" w:hAnsi="Times New Roman" w:eastAsia="黑体" w:cs="宋体"/>
          <w:szCs w:val="20"/>
          <w:highlight w:val="none"/>
        </w:rPr>
        <w:t>3.5 分包</w:t>
      </w:r>
      <w:r>
        <w:tab/>
      </w:r>
      <w:r>
        <w:fldChar w:fldCharType="begin"/>
      </w:r>
      <w:r>
        <w:instrText xml:space="preserve"> PAGEREF _Toc12770 \h </w:instrText>
      </w:r>
      <w:r>
        <w:fldChar w:fldCharType="separate"/>
      </w:r>
      <w:r>
        <w:t>1</w:t>
      </w:r>
      <w:r>
        <w:fldChar w:fldCharType="end"/>
      </w:r>
      <w:r>
        <w:rPr>
          <w:bCs/>
          <w:color w:val="auto"/>
          <w:highlight w:val="none"/>
          <w:lang w:val="zh-CN"/>
        </w:rPr>
        <w:fldChar w:fldCharType="end"/>
      </w:r>
    </w:p>
    <w:p w14:paraId="49531D00">
      <w:pPr>
        <w:pStyle w:val="8"/>
        <w:tabs>
          <w:tab w:val="right" w:leader="dot" w:pos="8290"/>
        </w:tabs>
      </w:pPr>
      <w:r>
        <w:rPr>
          <w:bCs/>
          <w:color w:val="auto"/>
          <w:highlight w:val="none"/>
          <w:lang w:val="zh-CN"/>
        </w:rPr>
        <w:fldChar w:fldCharType="begin"/>
      </w:r>
      <w:r>
        <w:rPr>
          <w:bCs/>
          <w:highlight w:val="none"/>
          <w:lang w:val="zh-CN"/>
        </w:rPr>
        <w:instrText xml:space="preserve"> HYPERLINK \l _Toc8219 </w:instrText>
      </w:r>
      <w:r>
        <w:rPr>
          <w:bCs/>
          <w:highlight w:val="none"/>
          <w:lang w:val="zh-CN"/>
        </w:rPr>
        <w:fldChar w:fldCharType="separate"/>
      </w:r>
      <w:r>
        <w:rPr>
          <w:rFonts w:ascii="Times New Roman" w:hAnsi="Times New Roman" w:eastAsia="黑体" w:cs="宋体"/>
          <w:szCs w:val="20"/>
          <w:highlight w:val="none"/>
        </w:rPr>
        <w:t>3.6 工程照管与成品、半成品保护</w:t>
      </w:r>
      <w:r>
        <w:tab/>
      </w:r>
      <w:r>
        <w:fldChar w:fldCharType="begin"/>
      </w:r>
      <w:r>
        <w:instrText xml:space="preserve"> PAGEREF _Toc8219 \h </w:instrText>
      </w:r>
      <w:r>
        <w:fldChar w:fldCharType="separate"/>
      </w:r>
      <w:r>
        <w:t>1</w:t>
      </w:r>
      <w:r>
        <w:fldChar w:fldCharType="end"/>
      </w:r>
      <w:r>
        <w:rPr>
          <w:bCs/>
          <w:color w:val="auto"/>
          <w:highlight w:val="none"/>
          <w:lang w:val="zh-CN"/>
        </w:rPr>
        <w:fldChar w:fldCharType="end"/>
      </w:r>
    </w:p>
    <w:p w14:paraId="0A233D88">
      <w:pPr>
        <w:pStyle w:val="8"/>
        <w:tabs>
          <w:tab w:val="right" w:leader="dot" w:pos="8290"/>
        </w:tabs>
      </w:pPr>
      <w:r>
        <w:rPr>
          <w:bCs/>
          <w:color w:val="auto"/>
          <w:highlight w:val="none"/>
          <w:lang w:val="zh-CN"/>
        </w:rPr>
        <w:fldChar w:fldCharType="begin"/>
      </w:r>
      <w:r>
        <w:rPr>
          <w:bCs/>
          <w:highlight w:val="none"/>
          <w:lang w:val="zh-CN"/>
        </w:rPr>
        <w:instrText xml:space="preserve"> HYPERLINK \l _Toc6815 </w:instrText>
      </w:r>
      <w:r>
        <w:rPr>
          <w:bCs/>
          <w:highlight w:val="none"/>
          <w:lang w:val="zh-CN"/>
        </w:rPr>
        <w:fldChar w:fldCharType="separate"/>
      </w:r>
      <w:r>
        <w:rPr>
          <w:rFonts w:ascii="Times New Roman" w:hAnsi="Times New Roman" w:eastAsia="黑体" w:cs="宋体"/>
          <w:szCs w:val="20"/>
          <w:highlight w:val="none"/>
        </w:rPr>
        <w:t>3.7 履约担保</w:t>
      </w:r>
      <w:r>
        <w:tab/>
      </w:r>
      <w:r>
        <w:fldChar w:fldCharType="begin"/>
      </w:r>
      <w:r>
        <w:instrText xml:space="preserve"> PAGEREF _Toc6815 \h </w:instrText>
      </w:r>
      <w:r>
        <w:fldChar w:fldCharType="separate"/>
      </w:r>
      <w:r>
        <w:t>1</w:t>
      </w:r>
      <w:r>
        <w:fldChar w:fldCharType="end"/>
      </w:r>
      <w:r>
        <w:rPr>
          <w:bCs/>
          <w:color w:val="auto"/>
          <w:highlight w:val="none"/>
          <w:lang w:val="zh-CN"/>
        </w:rPr>
        <w:fldChar w:fldCharType="end"/>
      </w:r>
    </w:p>
    <w:p w14:paraId="0FF2380E">
      <w:pPr>
        <w:pStyle w:val="13"/>
        <w:tabs>
          <w:tab w:val="right" w:leader="dot" w:pos="8290"/>
        </w:tabs>
      </w:pPr>
      <w:r>
        <w:rPr>
          <w:bCs/>
          <w:color w:val="auto"/>
          <w:highlight w:val="none"/>
          <w:lang w:val="zh-CN"/>
        </w:rPr>
        <w:fldChar w:fldCharType="begin"/>
      </w:r>
      <w:r>
        <w:rPr>
          <w:bCs/>
          <w:highlight w:val="none"/>
          <w:lang w:val="zh-CN"/>
        </w:rPr>
        <w:instrText xml:space="preserve"> HYPERLINK \l _Toc4343 </w:instrText>
      </w:r>
      <w:r>
        <w:rPr>
          <w:bCs/>
          <w:highlight w:val="none"/>
          <w:lang w:val="zh-CN"/>
        </w:rPr>
        <w:fldChar w:fldCharType="separate"/>
      </w:r>
      <w:r>
        <w:rPr>
          <w:rFonts w:ascii="Times New Roman" w:hAnsi="Times New Roman" w:eastAsia="黑体" w:cs="宋体"/>
          <w:szCs w:val="20"/>
          <w:highlight w:val="none"/>
        </w:rPr>
        <w:t>4. 监理人</w:t>
      </w:r>
      <w:r>
        <w:tab/>
      </w:r>
      <w:r>
        <w:fldChar w:fldCharType="begin"/>
      </w:r>
      <w:r>
        <w:instrText xml:space="preserve"> PAGEREF _Toc4343 \h </w:instrText>
      </w:r>
      <w:r>
        <w:fldChar w:fldCharType="separate"/>
      </w:r>
      <w:r>
        <w:t>1</w:t>
      </w:r>
      <w:r>
        <w:fldChar w:fldCharType="end"/>
      </w:r>
      <w:r>
        <w:rPr>
          <w:bCs/>
          <w:color w:val="auto"/>
          <w:highlight w:val="none"/>
          <w:lang w:val="zh-CN"/>
        </w:rPr>
        <w:fldChar w:fldCharType="end"/>
      </w:r>
    </w:p>
    <w:p w14:paraId="5B63C476">
      <w:pPr>
        <w:pStyle w:val="8"/>
        <w:tabs>
          <w:tab w:val="right" w:leader="dot" w:pos="8290"/>
        </w:tabs>
      </w:pPr>
      <w:r>
        <w:rPr>
          <w:bCs/>
          <w:color w:val="auto"/>
          <w:highlight w:val="none"/>
          <w:lang w:val="zh-CN"/>
        </w:rPr>
        <w:fldChar w:fldCharType="begin"/>
      </w:r>
      <w:r>
        <w:rPr>
          <w:bCs/>
          <w:highlight w:val="none"/>
          <w:lang w:val="zh-CN"/>
        </w:rPr>
        <w:instrText xml:space="preserve"> HYPERLINK \l _Toc7154 </w:instrText>
      </w:r>
      <w:r>
        <w:rPr>
          <w:bCs/>
          <w:highlight w:val="none"/>
          <w:lang w:val="zh-CN"/>
        </w:rPr>
        <w:fldChar w:fldCharType="separate"/>
      </w:r>
      <w:r>
        <w:rPr>
          <w:rFonts w:ascii="Times New Roman" w:hAnsi="Times New Roman" w:eastAsia="黑体" w:cs="宋体"/>
          <w:szCs w:val="20"/>
          <w:highlight w:val="none"/>
        </w:rPr>
        <w:t>4.1监理人的一般规定</w:t>
      </w:r>
      <w:r>
        <w:tab/>
      </w:r>
      <w:r>
        <w:fldChar w:fldCharType="begin"/>
      </w:r>
      <w:r>
        <w:instrText xml:space="preserve"> PAGEREF _Toc7154 \h </w:instrText>
      </w:r>
      <w:r>
        <w:fldChar w:fldCharType="separate"/>
      </w:r>
      <w:r>
        <w:t>1</w:t>
      </w:r>
      <w:r>
        <w:fldChar w:fldCharType="end"/>
      </w:r>
      <w:r>
        <w:rPr>
          <w:bCs/>
          <w:color w:val="auto"/>
          <w:highlight w:val="none"/>
          <w:lang w:val="zh-CN"/>
        </w:rPr>
        <w:fldChar w:fldCharType="end"/>
      </w:r>
    </w:p>
    <w:p w14:paraId="59756C99">
      <w:pPr>
        <w:pStyle w:val="8"/>
        <w:tabs>
          <w:tab w:val="right" w:leader="dot" w:pos="8290"/>
        </w:tabs>
      </w:pPr>
      <w:r>
        <w:rPr>
          <w:bCs/>
          <w:color w:val="auto"/>
          <w:highlight w:val="none"/>
          <w:lang w:val="zh-CN"/>
        </w:rPr>
        <w:fldChar w:fldCharType="begin"/>
      </w:r>
      <w:r>
        <w:rPr>
          <w:bCs/>
          <w:highlight w:val="none"/>
          <w:lang w:val="zh-CN"/>
        </w:rPr>
        <w:instrText xml:space="preserve"> HYPERLINK \l _Toc4584 </w:instrText>
      </w:r>
      <w:r>
        <w:rPr>
          <w:bCs/>
          <w:highlight w:val="none"/>
          <w:lang w:val="zh-CN"/>
        </w:rPr>
        <w:fldChar w:fldCharType="separate"/>
      </w:r>
      <w:r>
        <w:rPr>
          <w:rFonts w:ascii="Times New Roman" w:hAnsi="Times New Roman" w:eastAsia="黑体" w:cs="宋体"/>
          <w:szCs w:val="20"/>
          <w:highlight w:val="none"/>
        </w:rPr>
        <w:t>4.2 监理人员</w:t>
      </w:r>
      <w:r>
        <w:tab/>
      </w:r>
      <w:r>
        <w:fldChar w:fldCharType="begin"/>
      </w:r>
      <w:r>
        <w:instrText xml:space="preserve"> PAGEREF _Toc4584 \h </w:instrText>
      </w:r>
      <w:r>
        <w:fldChar w:fldCharType="separate"/>
      </w:r>
      <w:r>
        <w:t>1</w:t>
      </w:r>
      <w:r>
        <w:fldChar w:fldCharType="end"/>
      </w:r>
      <w:r>
        <w:rPr>
          <w:bCs/>
          <w:color w:val="auto"/>
          <w:highlight w:val="none"/>
          <w:lang w:val="zh-CN"/>
        </w:rPr>
        <w:fldChar w:fldCharType="end"/>
      </w:r>
    </w:p>
    <w:p w14:paraId="5A846A6B">
      <w:pPr>
        <w:pStyle w:val="8"/>
        <w:tabs>
          <w:tab w:val="right" w:leader="dot" w:pos="8290"/>
        </w:tabs>
      </w:pPr>
      <w:r>
        <w:rPr>
          <w:bCs/>
          <w:color w:val="auto"/>
          <w:highlight w:val="none"/>
          <w:lang w:val="zh-CN"/>
        </w:rPr>
        <w:fldChar w:fldCharType="begin"/>
      </w:r>
      <w:r>
        <w:rPr>
          <w:bCs/>
          <w:highlight w:val="none"/>
          <w:lang w:val="zh-CN"/>
        </w:rPr>
        <w:instrText xml:space="preserve"> HYPERLINK \l _Toc2181 </w:instrText>
      </w:r>
      <w:r>
        <w:rPr>
          <w:bCs/>
          <w:highlight w:val="none"/>
          <w:lang w:val="zh-CN"/>
        </w:rPr>
        <w:fldChar w:fldCharType="separate"/>
      </w:r>
      <w:r>
        <w:rPr>
          <w:rFonts w:ascii="Times New Roman" w:hAnsi="Times New Roman" w:eastAsia="黑体" w:cs="宋体"/>
          <w:szCs w:val="20"/>
          <w:highlight w:val="none"/>
        </w:rPr>
        <w:t>4.4 商定或确定</w:t>
      </w:r>
      <w:r>
        <w:tab/>
      </w:r>
      <w:r>
        <w:fldChar w:fldCharType="begin"/>
      </w:r>
      <w:r>
        <w:instrText xml:space="preserve"> PAGEREF _Toc2181 \h </w:instrText>
      </w:r>
      <w:r>
        <w:fldChar w:fldCharType="separate"/>
      </w:r>
      <w:r>
        <w:t>1</w:t>
      </w:r>
      <w:r>
        <w:fldChar w:fldCharType="end"/>
      </w:r>
      <w:r>
        <w:rPr>
          <w:bCs/>
          <w:color w:val="auto"/>
          <w:highlight w:val="none"/>
          <w:lang w:val="zh-CN"/>
        </w:rPr>
        <w:fldChar w:fldCharType="end"/>
      </w:r>
    </w:p>
    <w:p w14:paraId="0BC78BC7">
      <w:pPr>
        <w:pStyle w:val="13"/>
        <w:tabs>
          <w:tab w:val="right" w:leader="dot" w:pos="8290"/>
        </w:tabs>
      </w:pPr>
      <w:r>
        <w:rPr>
          <w:bCs/>
          <w:color w:val="auto"/>
          <w:highlight w:val="none"/>
          <w:lang w:val="zh-CN"/>
        </w:rPr>
        <w:fldChar w:fldCharType="begin"/>
      </w:r>
      <w:r>
        <w:rPr>
          <w:bCs/>
          <w:highlight w:val="none"/>
          <w:lang w:val="zh-CN"/>
        </w:rPr>
        <w:instrText xml:space="preserve"> HYPERLINK \l _Toc927 </w:instrText>
      </w:r>
      <w:r>
        <w:rPr>
          <w:bCs/>
          <w:highlight w:val="none"/>
          <w:lang w:val="zh-CN"/>
        </w:rPr>
        <w:fldChar w:fldCharType="separate"/>
      </w:r>
      <w:r>
        <w:rPr>
          <w:rFonts w:ascii="Times New Roman" w:hAnsi="Times New Roman" w:eastAsia="黑体" w:cs="宋体"/>
          <w:szCs w:val="20"/>
          <w:highlight w:val="none"/>
        </w:rPr>
        <w:t>5. 工程质量</w:t>
      </w:r>
      <w:r>
        <w:tab/>
      </w:r>
      <w:r>
        <w:fldChar w:fldCharType="begin"/>
      </w:r>
      <w:r>
        <w:instrText xml:space="preserve"> PAGEREF _Toc927 \h </w:instrText>
      </w:r>
      <w:r>
        <w:fldChar w:fldCharType="separate"/>
      </w:r>
      <w:r>
        <w:t>1</w:t>
      </w:r>
      <w:r>
        <w:fldChar w:fldCharType="end"/>
      </w:r>
      <w:r>
        <w:rPr>
          <w:bCs/>
          <w:color w:val="auto"/>
          <w:highlight w:val="none"/>
          <w:lang w:val="zh-CN"/>
        </w:rPr>
        <w:fldChar w:fldCharType="end"/>
      </w:r>
    </w:p>
    <w:p w14:paraId="0509E90C">
      <w:pPr>
        <w:pStyle w:val="8"/>
        <w:tabs>
          <w:tab w:val="right" w:leader="dot" w:pos="8290"/>
        </w:tabs>
      </w:pPr>
      <w:r>
        <w:rPr>
          <w:bCs/>
          <w:color w:val="auto"/>
          <w:highlight w:val="none"/>
          <w:lang w:val="zh-CN"/>
        </w:rPr>
        <w:fldChar w:fldCharType="begin"/>
      </w:r>
      <w:r>
        <w:rPr>
          <w:bCs/>
          <w:highlight w:val="none"/>
          <w:lang w:val="zh-CN"/>
        </w:rPr>
        <w:instrText xml:space="preserve"> HYPERLINK \l _Toc31788 </w:instrText>
      </w:r>
      <w:r>
        <w:rPr>
          <w:bCs/>
          <w:highlight w:val="none"/>
          <w:lang w:val="zh-CN"/>
        </w:rPr>
        <w:fldChar w:fldCharType="separate"/>
      </w:r>
      <w:r>
        <w:rPr>
          <w:rFonts w:ascii="Times New Roman" w:hAnsi="Times New Roman" w:eastAsia="黑体" w:cs="宋体"/>
          <w:szCs w:val="20"/>
          <w:highlight w:val="none"/>
        </w:rPr>
        <w:t>5.1 质量要求</w:t>
      </w:r>
      <w:r>
        <w:tab/>
      </w:r>
      <w:r>
        <w:fldChar w:fldCharType="begin"/>
      </w:r>
      <w:r>
        <w:instrText xml:space="preserve"> PAGEREF _Toc31788 \h </w:instrText>
      </w:r>
      <w:r>
        <w:fldChar w:fldCharType="separate"/>
      </w:r>
      <w:r>
        <w:t>1</w:t>
      </w:r>
      <w:r>
        <w:fldChar w:fldCharType="end"/>
      </w:r>
      <w:r>
        <w:rPr>
          <w:bCs/>
          <w:color w:val="auto"/>
          <w:highlight w:val="none"/>
          <w:lang w:val="zh-CN"/>
        </w:rPr>
        <w:fldChar w:fldCharType="end"/>
      </w:r>
    </w:p>
    <w:p w14:paraId="06A8BEE3">
      <w:pPr>
        <w:pStyle w:val="8"/>
        <w:tabs>
          <w:tab w:val="right" w:leader="dot" w:pos="8290"/>
        </w:tabs>
      </w:pPr>
      <w:r>
        <w:rPr>
          <w:bCs/>
          <w:color w:val="auto"/>
          <w:highlight w:val="none"/>
          <w:lang w:val="zh-CN"/>
        </w:rPr>
        <w:fldChar w:fldCharType="begin"/>
      </w:r>
      <w:r>
        <w:rPr>
          <w:bCs/>
          <w:highlight w:val="none"/>
          <w:lang w:val="zh-CN"/>
        </w:rPr>
        <w:instrText xml:space="preserve"> HYPERLINK \l _Toc231 </w:instrText>
      </w:r>
      <w:r>
        <w:rPr>
          <w:bCs/>
          <w:highlight w:val="none"/>
          <w:lang w:val="zh-CN"/>
        </w:rPr>
        <w:fldChar w:fldCharType="separate"/>
      </w:r>
      <w:r>
        <w:rPr>
          <w:rFonts w:ascii="Times New Roman" w:hAnsi="Times New Roman" w:eastAsia="黑体" w:cs="宋体"/>
          <w:szCs w:val="20"/>
          <w:highlight w:val="none"/>
        </w:rPr>
        <w:t>5.3 隐蔽工程检查</w:t>
      </w:r>
      <w:r>
        <w:tab/>
      </w:r>
      <w:r>
        <w:fldChar w:fldCharType="begin"/>
      </w:r>
      <w:r>
        <w:instrText xml:space="preserve"> PAGEREF _Toc231 \h </w:instrText>
      </w:r>
      <w:r>
        <w:fldChar w:fldCharType="separate"/>
      </w:r>
      <w:r>
        <w:t>1</w:t>
      </w:r>
      <w:r>
        <w:fldChar w:fldCharType="end"/>
      </w:r>
      <w:r>
        <w:rPr>
          <w:bCs/>
          <w:color w:val="auto"/>
          <w:highlight w:val="none"/>
          <w:lang w:val="zh-CN"/>
        </w:rPr>
        <w:fldChar w:fldCharType="end"/>
      </w:r>
    </w:p>
    <w:p w14:paraId="5CCE9ED4">
      <w:pPr>
        <w:pStyle w:val="13"/>
        <w:tabs>
          <w:tab w:val="right" w:leader="dot" w:pos="8290"/>
        </w:tabs>
      </w:pPr>
      <w:r>
        <w:rPr>
          <w:bCs/>
          <w:color w:val="auto"/>
          <w:highlight w:val="none"/>
          <w:lang w:val="zh-CN"/>
        </w:rPr>
        <w:fldChar w:fldCharType="begin"/>
      </w:r>
      <w:r>
        <w:rPr>
          <w:bCs/>
          <w:highlight w:val="none"/>
          <w:lang w:val="zh-CN"/>
        </w:rPr>
        <w:instrText xml:space="preserve"> HYPERLINK \l _Toc25538 </w:instrText>
      </w:r>
      <w:r>
        <w:rPr>
          <w:bCs/>
          <w:highlight w:val="none"/>
          <w:lang w:val="zh-CN"/>
        </w:rPr>
        <w:fldChar w:fldCharType="separate"/>
      </w:r>
      <w:r>
        <w:rPr>
          <w:rFonts w:ascii="Times New Roman" w:hAnsi="Times New Roman" w:eastAsia="黑体" w:cs="宋体"/>
          <w:szCs w:val="20"/>
          <w:highlight w:val="none"/>
        </w:rPr>
        <w:t>6. 安全文明施工与环境保护</w:t>
      </w:r>
      <w:r>
        <w:tab/>
      </w:r>
      <w:r>
        <w:fldChar w:fldCharType="begin"/>
      </w:r>
      <w:r>
        <w:instrText xml:space="preserve"> PAGEREF _Toc25538 \h </w:instrText>
      </w:r>
      <w:r>
        <w:fldChar w:fldCharType="separate"/>
      </w:r>
      <w:r>
        <w:t>1</w:t>
      </w:r>
      <w:r>
        <w:fldChar w:fldCharType="end"/>
      </w:r>
      <w:r>
        <w:rPr>
          <w:bCs/>
          <w:color w:val="auto"/>
          <w:highlight w:val="none"/>
          <w:lang w:val="zh-CN"/>
        </w:rPr>
        <w:fldChar w:fldCharType="end"/>
      </w:r>
    </w:p>
    <w:p w14:paraId="5648B9FA">
      <w:pPr>
        <w:pStyle w:val="8"/>
        <w:tabs>
          <w:tab w:val="right" w:leader="dot" w:pos="8290"/>
        </w:tabs>
      </w:pPr>
      <w:r>
        <w:rPr>
          <w:bCs/>
          <w:color w:val="auto"/>
          <w:highlight w:val="none"/>
          <w:lang w:val="zh-CN"/>
        </w:rPr>
        <w:fldChar w:fldCharType="begin"/>
      </w:r>
      <w:r>
        <w:rPr>
          <w:bCs/>
          <w:highlight w:val="none"/>
          <w:lang w:val="zh-CN"/>
        </w:rPr>
        <w:instrText xml:space="preserve"> HYPERLINK \l _Toc29566 </w:instrText>
      </w:r>
      <w:r>
        <w:rPr>
          <w:bCs/>
          <w:highlight w:val="none"/>
          <w:lang w:val="zh-CN"/>
        </w:rPr>
        <w:fldChar w:fldCharType="separate"/>
      </w:r>
      <w:r>
        <w:rPr>
          <w:rFonts w:ascii="Times New Roman" w:hAnsi="Times New Roman" w:eastAsia="黑体" w:cs="宋体"/>
          <w:szCs w:val="20"/>
          <w:highlight w:val="none"/>
        </w:rPr>
        <w:t>6.1安全文明施工</w:t>
      </w:r>
      <w:r>
        <w:tab/>
      </w:r>
      <w:r>
        <w:fldChar w:fldCharType="begin"/>
      </w:r>
      <w:r>
        <w:instrText xml:space="preserve"> PAGEREF _Toc29566 \h </w:instrText>
      </w:r>
      <w:r>
        <w:fldChar w:fldCharType="separate"/>
      </w:r>
      <w:r>
        <w:t>1</w:t>
      </w:r>
      <w:r>
        <w:fldChar w:fldCharType="end"/>
      </w:r>
      <w:r>
        <w:rPr>
          <w:bCs/>
          <w:color w:val="auto"/>
          <w:highlight w:val="none"/>
          <w:lang w:val="zh-CN"/>
        </w:rPr>
        <w:fldChar w:fldCharType="end"/>
      </w:r>
    </w:p>
    <w:p w14:paraId="4B794F14">
      <w:pPr>
        <w:pStyle w:val="13"/>
        <w:tabs>
          <w:tab w:val="right" w:leader="dot" w:pos="8290"/>
        </w:tabs>
      </w:pPr>
      <w:r>
        <w:rPr>
          <w:bCs/>
          <w:color w:val="auto"/>
          <w:highlight w:val="none"/>
          <w:lang w:val="zh-CN"/>
        </w:rPr>
        <w:fldChar w:fldCharType="begin"/>
      </w:r>
      <w:r>
        <w:rPr>
          <w:bCs/>
          <w:highlight w:val="none"/>
          <w:lang w:val="zh-CN"/>
        </w:rPr>
        <w:instrText xml:space="preserve"> HYPERLINK \l _Toc14614 </w:instrText>
      </w:r>
      <w:r>
        <w:rPr>
          <w:bCs/>
          <w:highlight w:val="none"/>
          <w:lang w:val="zh-CN"/>
        </w:rPr>
        <w:fldChar w:fldCharType="separate"/>
      </w:r>
      <w:r>
        <w:rPr>
          <w:rFonts w:ascii="Times New Roman" w:hAnsi="Times New Roman" w:eastAsia="黑体" w:cs="宋体"/>
          <w:szCs w:val="20"/>
          <w:highlight w:val="none"/>
        </w:rPr>
        <w:t>7. 工期和进度</w:t>
      </w:r>
      <w:r>
        <w:tab/>
      </w:r>
      <w:r>
        <w:fldChar w:fldCharType="begin"/>
      </w:r>
      <w:r>
        <w:instrText xml:space="preserve"> PAGEREF _Toc14614 \h </w:instrText>
      </w:r>
      <w:r>
        <w:fldChar w:fldCharType="separate"/>
      </w:r>
      <w:r>
        <w:t>1</w:t>
      </w:r>
      <w:r>
        <w:fldChar w:fldCharType="end"/>
      </w:r>
      <w:r>
        <w:rPr>
          <w:bCs/>
          <w:color w:val="auto"/>
          <w:highlight w:val="none"/>
          <w:lang w:val="zh-CN"/>
        </w:rPr>
        <w:fldChar w:fldCharType="end"/>
      </w:r>
    </w:p>
    <w:p w14:paraId="3EA55007">
      <w:pPr>
        <w:pStyle w:val="8"/>
        <w:tabs>
          <w:tab w:val="right" w:leader="dot" w:pos="8290"/>
        </w:tabs>
      </w:pPr>
      <w:r>
        <w:rPr>
          <w:bCs/>
          <w:color w:val="auto"/>
          <w:highlight w:val="none"/>
          <w:lang w:val="zh-CN"/>
        </w:rPr>
        <w:fldChar w:fldCharType="begin"/>
      </w:r>
      <w:r>
        <w:rPr>
          <w:bCs/>
          <w:highlight w:val="none"/>
          <w:lang w:val="zh-CN"/>
        </w:rPr>
        <w:instrText xml:space="preserve"> HYPERLINK \l _Toc28888 </w:instrText>
      </w:r>
      <w:r>
        <w:rPr>
          <w:bCs/>
          <w:highlight w:val="none"/>
          <w:lang w:val="zh-CN"/>
        </w:rPr>
        <w:fldChar w:fldCharType="separate"/>
      </w:r>
      <w:r>
        <w:rPr>
          <w:rFonts w:ascii="Times New Roman" w:hAnsi="Times New Roman" w:eastAsia="黑体" w:cs="宋体"/>
          <w:szCs w:val="20"/>
          <w:highlight w:val="none"/>
        </w:rPr>
        <w:t>7.1 施工组织设计</w:t>
      </w:r>
      <w:r>
        <w:tab/>
      </w:r>
      <w:r>
        <w:fldChar w:fldCharType="begin"/>
      </w:r>
      <w:r>
        <w:instrText xml:space="preserve"> PAGEREF _Toc28888 \h </w:instrText>
      </w:r>
      <w:r>
        <w:fldChar w:fldCharType="separate"/>
      </w:r>
      <w:r>
        <w:t>1</w:t>
      </w:r>
      <w:r>
        <w:fldChar w:fldCharType="end"/>
      </w:r>
      <w:r>
        <w:rPr>
          <w:bCs/>
          <w:color w:val="auto"/>
          <w:highlight w:val="none"/>
          <w:lang w:val="zh-CN"/>
        </w:rPr>
        <w:fldChar w:fldCharType="end"/>
      </w:r>
    </w:p>
    <w:p w14:paraId="0699FA9C">
      <w:pPr>
        <w:pStyle w:val="8"/>
        <w:tabs>
          <w:tab w:val="right" w:leader="dot" w:pos="8290"/>
        </w:tabs>
      </w:pPr>
      <w:r>
        <w:rPr>
          <w:bCs/>
          <w:color w:val="auto"/>
          <w:highlight w:val="none"/>
          <w:lang w:val="zh-CN"/>
        </w:rPr>
        <w:fldChar w:fldCharType="begin"/>
      </w:r>
      <w:r>
        <w:rPr>
          <w:bCs/>
          <w:highlight w:val="none"/>
          <w:lang w:val="zh-CN"/>
        </w:rPr>
        <w:instrText xml:space="preserve"> HYPERLINK \l _Toc15142 </w:instrText>
      </w:r>
      <w:r>
        <w:rPr>
          <w:bCs/>
          <w:highlight w:val="none"/>
          <w:lang w:val="zh-CN"/>
        </w:rPr>
        <w:fldChar w:fldCharType="separate"/>
      </w:r>
      <w:r>
        <w:rPr>
          <w:rFonts w:ascii="Times New Roman" w:hAnsi="Times New Roman" w:eastAsia="黑体" w:cs="宋体"/>
          <w:szCs w:val="20"/>
          <w:highlight w:val="none"/>
        </w:rPr>
        <w:t>7.2 施工进度计划</w:t>
      </w:r>
      <w:r>
        <w:tab/>
      </w:r>
      <w:r>
        <w:fldChar w:fldCharType="begin"/>
      </w:r>
      <w:r>
        <w:instrText xml:space="preserve"> PAGEREF _Toc15142 \h </w:instrText>
      </w:r>
      <w:r>
        <w:fldChar w:fldCharType="separate"/>
      </w:r>
      <w:r>
        <w:t>1</w:t>
      </w:r>
      <w:r>
        <w:fldChar w:fldCharType="end"/>
      </w:r>
      <w:r>
        <w:rPr>
          <w:bCs/>
          <w:color w:val="auto"/>
          <w:highlight w:val="none"/>
          <w:lang w:val="zh-CN"/>
        </w:rPr>
        <w:fldChar w:fldCharType="end"/>
      </w:r>
    </w:p>
    <w:p w14:paraId="4DC5E70E">
      <w:pPr>
        <w:pStyle w:val="8"/>
        <w:tabs>
          <w:tab w:val="right" w:leader="dot" w:pos="8290"/>
        </w:tabs>
      </w:pPr>
      <w:r>
        <w:rPr>
          <w:bCs/>
          <w:color w:val="auto"/>
          <w:highlight w:val="none"/>
          <w:lang w:val="zh-CN"/>
        </w:rPr>
        <w:fldChar w:fldCharType="begin"/>
      </w:r>
      <w:r>
        <w:rPr>
          <w:bCs/>
          <w:highlight w:val="none"/>
          <w:lang w:val="zh-CN"/>
        </w:rPr>
        <w:instrText xml:space="preserve"> HYPERLINK \l _Toc9709 </w:instrText>
      </w:r>
      <w:r>
        <w:rPr>
          <w:bCs/>
          <w:highlight w:val="none"/>
          <w:lang w:val="zh-CN"/>
        </w:rPr>
        <w:fldChar w:fldCharType="separate"/>
      </w:r>
      <w:r>
        <w:rPr>
          <w:rFonts w:ascii="Times New Roman" w:hAnsi="Times New Roman" w:eastAsia="黑体" w:cs="宋体"/>
          <w:szCs w:val="20"/>
          <w:highlight w:val="none"/>
        </w:rPr>
        <w:t>7.3 开工</w:t>
      </w:r>
      <w:r>
        <w:tab/>
      </w:r>
      <w:r>
        <w:fldChar w:fldCharType="begin"/>
      </w:r>
      <w:r>
        <w:instrText xml:space="preserve"> PAGEREF _Toc9709 \h </w:instrText>
      </w:r>
      <w:r>
        <w:fldChar w:fldCharType="separate"/>
      </w:r>
      <w:r>
        <w:t>1</w:t>
      </w:r>
      <w:r>
        <w:fldChar w:fldCharType="end"/>
      </w:r>
      <w:r>
        <w:rPr>
          <w:bCs/>
          <w:color w:val="auto"/>
          <w:highlight w:val="none"/>
          <w:lang w:val="zh-CN"/>
        </w:rPr>
        <w:fldChar w:fldCharType="end"/>
      </w:r>
    </w:p>
    <w:p w14:paraId="0FA4AA5F">
      <w:pPr>
        <w:pStyle w:val="8"/>
        <w:tabs>
          <w:tab w:val="right" w:leader="dot" w:pos="8290"/>
        </w:tabs>
      </w:pPr>
      <w:r>
        <w:rPr>
          <w:bCs/>
          <w:color w:val="auto"/>
          <w:highlight w:val="none"/>
          <w:lang w:val="zh-CN"/>
        </w:rPr>
        <w:fldChar w:fldCharType="begin"/>
      </w:r>
      <w:r>
        <w:rPr>
          <w:bCs/>
          <w:highlight w:val="none"/>
          <w:lang w:val="zh-CN"/>
        </w:rPr>
        <w:instrText xml:space="preserve"> HYPERLINK \l _Toc27955 </w:instrText>
      </w:r>
      <w:r>
        <w:rPr>
          <w:bCs/>
          <w:highlight w:val="none"/>
          <w:lang w:val="zh-CN"/>
        </w:rPr>
        <w:fldChar w:fldCharType="separate"/>
      </w:r>
      <w:r>
        <w:rPr>
          <w:rFonts w:ascii="Times New Roman" w:hAnsi="Times New Roman" w:eastAsia="黑体" w:cs="宋体"/>
          <w:szCs w:val="20"/>
          <w:highlight w:val="none"/>
        </w:rPr>
        <w:t>7.4 测量放线</w:t>
      </w:r>
      <w:r>
        <w:tab/>
      </w:r>
      <w:r>
        <w:fldChar w:fldCharType="begin"/>
      </w:r>
      <w:r>
        <w:instrText xml:space="preserve"> PAGEREF _Toc27955 \h </w:instrText>
      </w:r>
      <w:r>
        <w:fldChar w:fldCharType="separate"/>
      </w:r>
      <w:r>
        <w:t>1</w:t>
      </w:r>
      <w:r>
        <w:fldChar w:fldCharType="end"/>
      </w:r>
      <w:r>
        <w:rPr>
          <w:bCs/>
          <w:color w:val="auto"/>
          <w:highlight w:val="none"/>
          <w:lang w:val="zh-CN"/>
        </w:rPr>
        <w:fldChar w:fldCharType="end"/>
      </w:r>
    </w:p>
    <w:p w14:paraId="6B774E49">
      <w:pPr>
        <w:pStyle w:val="8"/>
        <w:tabs>
          <w:tab w:val="right" w:leader="dot" w:pos="8290"/>
        </w:tabs>
      </w:pPr>
      <w:r>
        <w:rPr>
          <w:bCs/>
          <w:color w:val="auto"/>
          <w:highlight w:val="none"/>
          <w:lang w:val="zh-CN"/>
        </w:rPr>
        <w:fldChar w:fldCharType="begin"/>
      </w:r>
      <w:r>
        <w:rPr>
          <w:bCs/>
          <w:highlight w:val="none"/>
          <w:lang w:val="zh-CN"/>
        </w:rPr>
        <w:instrText xml:space="preserve"> HYPERLINK \l _Toc4735 </w:instrText>
      </w:r>
      <w:r>
        <w:rPr>
          <w:bCs/>
          <w:highlight w:val="none"/>
          <w:lang w:val="zh-CN"/>
        </w:rPr>
        <w:fldChar w:fldCharType="separate"/>
      </w:r>
      <w:r>
        <w:rPr>
          <w:rFonts w:ascii="Times New Roman" w:hAnsi="Times New Roman" w:eastAsia="黑体" w:cs="宋体"/>
          <w:szCs w:val="20"/>
          <w:highlight w:val="none"/>
        </w:rPr>
        <w:t>7.5 工期延误</w:t>
      </w:r>
      <w:r>
        <w:tab/>
      </w:r>
      <w:r>
        <w:fldChar w:fldCharType="begin"/>
      </w:r>
      <w:r>
        <w:instrText xml:space="preserve"> PAGEREF _Toc4735 \h </w:instrText>
      </w:r>
      <w:r>
        <w:fldChar w:fldCharType="separate"/>
      </w:r>
      <w:r>
        <w:t>1</w:t>
      </w:r>
      <w:r>
        <w:fldChar w:fldCharType="end"/>
      </w:r>
      <w:r>
        <w:rPr>
          <w:bCs/>
          <w:color w:val="auto"/>
          <w:highlight w:val="none"/>
          <w:lang w:val="zh-CN"/>
        </w:rPr>
        <w:fldChar w:fldCharType="end"/>
      </w:r>
    </w:p>
    <w:p w14:paraId="52D3EFF2">
      <w:pPr>
        <w:pStyle w:val="8"/>
        <w:tabs>
          <w:tab w:val="right" w:leader="dot" w:pos="8290"/>
        </w:tabs>
      </w:pPr>
      <w:r>
        <w:rPr>
          <w:bCs/>
          <w:color w:val="auto"/>
          <w:highlight w:val="none"/>
          <w:lang w:val="zh-CN"/>
        </w:rPr>
        <w:fldChar w:fldCharType="begin"/>
      </w:r>
      <w:r>
        <w:rPr>
          <w:bCs/>
          <w:highlight w:val="none"/>
          <w:lang w:val="zh-CN"/>
        </w:rPr>
        <w:instrText xml:space="preserve"> HYPERLINK \l _Toc15221 </w:instrText>
      </w:r>
      <w:r>
        <w:rPr>
          <w:bCs/>
          <w:highlight w:val="none"/>
          <w:lang w:val="zh-CN"/>
        </w:rPr>
        <w:fldChar w:fldCharType="separate"/>
      </w:r>
      <w:r>
        <w:rPr>
          <w:rFonts w:ascii="Times New Roman" w:hAnsi="Times New Roman" w:eastAsia="黑体" w:cs="宋体"/>
          <w:szCs w:val="20"/>
          <w:highlight w:val="none"/>
        </w:rPr>
        <w:t>7.6 不利物质条件</w:t>
      </w:r>
      <w:r>
        <w:tab/>
      </w:r>
      <w:r>
        <w:fldChar w:fldCharType="begin"/>
      </w:r>
      <w:r>
        <w:instrText xml:space="preserve"> PAGEREF _Toc15221 \h </w:instrText>
      </w:r>
      <w:r>
        <w:fldChar w:fldCharType="separate"/>
      </w:r>
      <w:r>
        <w:t>1</w:t>
      </w:r>
      <w:r>
        <w:fldChar w:fldCharType="end"/>
      </w:r>
      <w:r>
        <w:rPr>
          <w:bCs/>
          <w:color w:val="auto"/>
          <w:highlight w:val="none"/>
          <w:lang w:val="zh-CN"/>
        </w:rPr>
        <w:fldChar w:fldCharType="end"/>
      </w:r>
    </w:p>
    <w:p w14:paraId="2150EC59">
      <w:pPr>
        <w:pStyle w:val="8"/>
        <w:tabs>
          <w:tab w:val="right" w:leader="dot" w:pos="8290"/>
        </w:tabs>
      </w:pPr>
      <w:r>
        <w:rPr>
          <w:bCs/>
          <w:color w:val="auto"/>
          <w:highlight w:val="none"/>
          <w:lang w:val="zh-CN"/>
        </w:rPr>
        <w:fldChar w:fldCharType="begin"/>
      </w:r>
      <w:r>
        <w:rPr>
          <w:bCs/>
          <w:highlight w:val="none"/>
          <w:lang w:val="zh-CN"/>
        </w:rPr>
        <w:instrText xml:space="preserve"> HYPERLINK \l _Toc6006 </w:instrText>
      </w:r>
      <w:r>
        <w:rPr>
          <w:bCs/>
          <w:highlight w:val="none"/>
          <w:lang w:val="zh-CN"/>
        </w:rPr>
        <w:fldChar w:fldCharType="separate"/>
      </w:r>
      <w:r>
        <w:rPr>
          <w:rFonts w:ascii="Times New Roman" w:hAnsi="Times New Roman" w:eastAsia="黑体" w:cs="宋体"/>
          <w:szCs w:val="20"/>
          <w:highlight w:val="none"/>
        </w:rPr>
        <w:t>7.7异常恶劣的气候条件</w:t>
      </w:r>
      <w:r>
        <w:tab/>
      </w:r>
      <w:r>
        <w:fldChar w:fldCharType="begin"/>
      </w:r>
      <w:r>
        <w:instrText xml:space="preserve"> PAGEREF _Toc6006 \h </w:instrText>
      </w:r>
      <w:r>
        <w:fldChar w:fldCharType="separate"/>
      </w:r>
      <w:r>
        <w:t>1</w:t>
      </w:r>
      <w:r>
        <w:fldChar w:fldCharType="end"/>
      </w:r>
      <w:r>
        <w:rPr>
          <w:bCs/>
          <w:color w:val="auto"/>
          <w:highlight w:val="none"/>
          <w:lang w:val="zh-CN"/>
        </w:rPr>
        <w:fldChar w:fldCharType="end"/>
      </w:r>
    </w:p>
    <w:p w14:paraId="4247C9E9">
      <w:pPr>
        <w:pStyle w:val="8"/>
        <w:tabs>
          <w:tab w:val="right" w:leader="dot" w:pos="8290"/>
        </w:tabs>
      </w:pPr>
      <w:r>
        <w:rPr>
          <w:bCs/>
          <w:color w:val="auto"/>
          <w:highlight w:val="none"/>
          <w:lang w:val="zh-CN"/>
        </w:rPr>
        <w:fldChar w:fldCharType="begin"/>
      </w:r>
      <w:r>
        <w:rPr>
          <w:bCs/>
          <w:highlight w:val="none"/>
          <w:lang w:val="zh-CN"/>
        </w:rPr>
        <w:instrText xml:space="preserve"> HYPERLINK \l _Toc23162 </w:instrText>
      </w:r>
      <w:r>
        <w:rPr>
          <w:bCs/>
          <w:highlight w:val="none"/>
          <w:lang w:val="zh-CN"/>
        </w:rPr>
        <w:fldChar w:fldCharType="separate"/>
      </w:r>
      <w:r>
        <w:rPr>
          <w:rFonts w:ascii="Times New Roman" w:hAnsi="Times New Roman" w:eastAsia="黑体" w:cs="宋体"/>
          <w:szCs w:val="20"/>
          <w:highlight w:val="none"/>
        </w:rPr>
        <w:t>7.9 提前竣工的奖励</w:t>
      </w:r>
      <w:r>
        <w:tab/>
      </w:r>
      <w:r>
        <w:fldChar w:fldCharType="begin"/>
      </w:r>
      <w:r>
        <w:instrText xml:space="preserve"> PAGEREF _Toc23162 \h </w:instrText>
      </w:r>
      <w:r>
        <w:fldChar w:fldCharType="separate"/>
      </w:r>
      <w:r>
        <w:t>1</w:t>
      </w:r>
      <w:r>
        <w:fldChar w:fldCharType="end"/>
      </w:r>
      <w:r>
        <w:rPr>
          <w:bCs/>
          <w:color w:val="auto"/>
          <w:highlight w:val="none"/>
          <w:lang w:val="zh-CN"/>
        </w:rPr>
        <w:fldChar w:fldCharType="end"/>
      </w:r>
    </w:p>
    <w:p w14:paraId="151B5D88">
      <w:pPr>
        <w:pStyle w:val="13"/>
        <w:tabs>
          <w:tab w:val="right" w:leader="dot" w:pos="8290"/>
        </w:tabs>
      </w:pPr>
      <w:r>
        <w:rPr>
          <w:bCs/>
          <w:color w:val="auto"/>
          <w:highlight w:val="none"/>
          <w:lang w:val="zh-CN"/>
        </w:rPr>
        <w:fldChar w:fldCharType="begin"/>
      </w:r>
      <w:r>
        <w:rPr>
          <w:bCs/>
          <w:highlight w:val="none"/>
          <w:lang w:val="zh-CN"/>
        </w:rPr>
        <w:instrText xml:space="preserve"> HYPERLINK \l _Toc14665 </w:instrText>
      </w:r>
      <w:r>
        <w:rPr>
          <w:bCs/>
          <w:highlight w:val="none"/>
          <w:lang w:val="zh-CN"/>
        </w:rPr>
        <w:fldChar w:fldCharType="separate"/>
      </w:r>
      <w:r>
        <w:rPr>
          <w:rFonts w:ascii="Times New Roman" w:hAnsi="Times New Roman" w:eastAsia="黑体" w:cs="宋体"/>
          <w:szCs w:val="20"/>
          <w:highlight w:val="none"/>
        </w:rPr>
        <w:t>8. 材料与设备</w:t>
      </w:r>
      <w:r>
        <w:tab/>
      </w:r>
      <w:r>
        <w:fldChar w:fldCharType="begin"/>
      </w:r>
      <w:r>
        <w:instrText xml:space="preserve"> PAGEREF _Toc14665 \h </w:instrText>
      </w:r>
      <w:r>
        <w:fldChar w:fldCharType="separate"/>
      </w:r>
      <w:r>
        <w:t>1</w:t>
      </w:r>
      <w:r>
        <w:fldChar w:fldCharType="end"/>
      </w:r>
      <w:r>
        <w:rPr>
          <w:bCs/>
          <w:color w:val="auto"/>
          <w:highlight w:val="none"/>
          <w:lang w:val="zh-CN"/>
        </w:rPr>
        <w:fldChar w:fldCharType="end"/>
      </w:r>
    </w:p>
    <w:p w14:paraId="60B28705">
      <w:pPr>
        <w:pStyle w:val="8"/>
        <w:tabs>
          <w:tab w:val="right" w:leader="dot" w:pos="8290"/>
        </w:tabs>
      </w:pPr>
      <w:r>
        <w:rPr>
          <w:bCs/>
          <w:color w:val="auto"/>
          <w:highlight w:val="none"/>
          <w:lang w:val="zh-CN"/>
        </w:rPr>
        <w:fldChar w:fldCharType="begin"/>
      </w:r>
      <w:r>
        <w:rPr>
          <w:bCs/>
          <w:highlight w:val="none"/>
          <w:lang w:val="zh-CN"/>
        </w:rPr>
        <w:instrText xml:space="preserve"> HYPERLINK \l _Toc24181 </w:instrText>
      </w:r>
      <w:r>
        <w:rPr>
          <w:bCs/>
          <w:highlight w:val="none"/>
          <w:lang w:val="zh-CN"/>
        </w:rPr>
        <w:fldChar w:fldCharType="separate"/>
      </w:r>
      <w:r>
        <w:rPr>
          <w:rFonts w:ascii="Times New Roman" w:hAnsi="Times New Roman" w:eastAsia="黑体" w:cs="宋体"/>
          <w:szCs w:val="20"/>
          <w:highlight w:val="none"/>
        </w:rPr>
        <w:t>8.4材料与工程设备的保管与使用</w:t>
      </w:r>
      <w:r>
        <w:tab/>
      </w:r>
      <w:r>
        <w:fldChar w:fldCharType="begin"/>
      </w:r>
      <w:r>
        <w:instrText xml:space="preserve"> PAGEREF _Toc24181 \h </w:instrText>
      </w:r>
      <w:r>
        <w:fldChar w:fldCharType="separate"/>
      </w:r>
      <w:r>
        <w:t>1</w:t>
      </w:r>
      <w:r>
        <w:fldChar w:fldCharType="end"/>
      </w:r>
      <w:r>
        <w:rPr>
          <w:bCs/>
          <w:color w:val="auto"/>
          <w:highlight w:val="none"/>
          <w:lang w:val="zh-CN"/>
        </w:rPr>
        <w:fldChar w:fldCharType="end"/>
      </w:r>
    </w:p>
    <w:p w14:paraId="48FD4072">
      <w:pPr>
        <w:pStyle w:val="8"/>
        <w:tabs>
          <w:tab w:val="right" w:leader="dot" w:pos="8290"/>
        </w:tabs>
      </w:pPr>
      <w:r>
        <w:rPr>
          <w:bCs/>
          <w:color w:val="auto"/>
          <w:highlight w:val="none"/>
          <w:lang w:val="zh-CN"/>
        </w:rPr>
        <w:fldChar w:fldCharType="begin"/>
      </w:r>
      <w:r>
        <w:rPr>
          <w:bCs/>
          <w:highlight w:val="none"/>
          <w:lang w:val="zh-CN"/>
        </w:rPr>
        <w:instrText xml:space="preserve"> HYPERLINK \l _Toc16019 </w:instrText>
      </w:r>
      <w:r>
        <w:rPr>
          <w:bCs/>
          <w:highlight w:val="none"/>
          <w:lang w:val="zh-CN"/>
        </w:rPr>
        <w:fldChar w:fldCharType="separate"/>
      </w:r>
      <w:r>
        <w:rPr>
          <w:rFonts w:ascii="Times New Roman" w:hAnsi="Times New Roman" w:eastAsia="黑体" w:cs="宋体"/>
          <w:szCs w:val="20"/>
          <w:highlight w:val="none"/>
        </w:rPr>
        <w:t>8.6 样品</w:t>
      </w:r>
      <w:r>
        <w:tab/>
      </w:r>
      <w:r>
        <w:fldChar w:fldCharType="begin"/>
      </w:r>
      <w:r>
        <w:instrText xml:space="preserve"> PAGEREF _Toc16019 \h </w:instrText>
      </w:r>
      <w:r>
        <w:fldChar w:fldCharType="separate"/>
      </w:r>
      <w:r>
        <w:t>1</w:t>
      </w:r>
      <w:r>
        <w:fldChar w:fldCharType="end"/>
      </w:r>
      <w:r>
        <w:rPr>
          <w:bCs/>
          <w:color w:val="auto"/>
          <w:highlight w:val="none"/>
          <w:lang w:val="zh-CN"/>
        </w:rPr>
        <w:fldChar w:fldCharType="end"/>
      </w:r>
    </w:p>
    <w:p w14:paraId="21408692">
      <w:pPr>
        <w:pStyle w:val="8"/>
        <w:tabs>
          <w:tab w:val="right" w:leader="dot" w:pos="8290"/>
        </w:tabs>
      </w:pPr>
      <w:r>
        <w:rPr>
          <w:bCs/>
          <w:color w:val="auto"/>
          <w:highlight w:val="none"/>
          <w:lang w:val="zh-CN"/>
        </w:rPr>
        <w:fldChar w:fldCharType="begin"/>
      </w:r>
      <w:r>
        <w:rPr>
          <w:bCs/>
          <w:highlight w:val="none"/>
          <w:lang w:val="zh-CN"/>
        </w:rPr>
        <w:instrText xml:space="preserve"> HYPERLINK \l _Toc12807 </w:instrText>
      </w:r>
      <w:r>
        <w:rPr>
          <w:bCs/>
          <w:highlight w:val="none"/>
          <w:lang w:val="zh-CN"/>
        </w:rPr>
        <w:fldChar w:fldCharType="separate"/>
      </w:r>
      <w:r>
        <w:rPr>
          <w:rFonts w:ascii="Times New Roman" w:hAnsi="Times New Roman" w:eastAsia="黑体" w:cs="宋体"/>
          <w:szCs w:val="20"/>
          <w:highlight w:val="none"/>
        </w:rPr>
        <w:t>8.8 施工设备和临时设施</w:t>
      </w:r>
      <w:r>
        <w:tab/>
      </w:r>
      <w:r>
        <w:fldChar w:fldCharType="begin"/>
      </w:r>
      <w:r>
        <w:instrText xml:space="preserve"> PAGEREF _Toc12807 \h </w:instrText>
      </w:r>
      <w:r>
        <w:fldChar w:fldCharType="separate"/>
      </w:r>
      <w:r>
        <w:t>1</w:t>
      </w:r>
      <w:r>
        <w:fldChar w:fldCharType="end"/>
      </w:r>
      <w:r>
        <w:rPr>
          <w:bCs/>
          <w:color w:val="auto"/>
          <w:highlight w:val="none"/>
          <w:lang w:val="zh-CN"/>
        </w:rPr>
        <w:fldChar w:fldCharType="end"/>
      </w:r>
    </w:p>
    <w:p w14:paraId="5AFBC472">
      <w:pPr>
        <w:pStyle w:val="13"/>
        <w:tabs>
          <w:tab w:val="right" w:leader="dot" w:pos="8290"/>
        </w:tabs>
      </w:pPr>
      <w:r>
        <w:rPr>
          <w:bCs/>
          <w:color w:val="auto"/>
          <w:highlight w:val="none"/>
          <w:lang w:val="zh-CN"/>
        </w:rPr>
        <w:fldChar w:fldCharType="begin"/>
      </w:r>
      <w:r>
        <w:rPr>
          <w:bCs/>
          <w:highlight w:val="none"/>
          <w:lang w:val="zh-CN"/>
        </w:rPr>
        <w:instrText xml:space="preserve"> HYPERLINK \l _Toc21555 </w:instrText>
      </w:r>
      <w:r>
        <w:rPr>
          <w:bCs/>
          <w:highlight w:val="none"/>
          <w:lang w:val="zh-CN"/>
        </w:rPr>
        <w:fldChar w:fldCharType="separate"/>
      </w:r>
      <w:r>
        <w:rPr>
          <w:rFonts w:ascii="Times New Roman" w:hAnsi="Times New Roman" w:eastAsia="黑体" w:cs="宋体"/>
          <w:szCs w:val="20"/>
          <w:highlight w:val="none"/>
        </w:rPr>
        <w:t>9. 试验与检验</w:t>
      </w:r>
      <w:r>
        <w:tab/>
      </w:r>
      <w:r>
        <w:fldChar w:fldCharType="begin"/>
      </w:r>
      <w:r>
        <w:instrText xml:space="preserve"> PAGEREF _Toc21555 \h </w:instrText>
      </w:r>
      <w:r>
        <w:fldChar w:fldCharType="separate"/>
      </w:r>
      <w:r>
        <w:t>1</w:t>
      </w:r>
      <w:r>
        <w:fldChar w:fldCharType="end"/>
      </w:r>
      <w:r>
        <w:rPr>
          <w:bCs/>
          <w:color w:val="auto"/>
          <w:highlight w:val="none"/>
          <w:lang w:val="zh-CN"/>
        </w:rPr>
        <w:fldChar w:fldCharType="end"/>
      </w:r>
    </w:p>
    <w:p w14:paraId="4BC466E6">
      <w:pPr>
        <w:pStyle w:val="8"/>
        <w:tabs>
          <w:tab w:val="right" w:leader="dot" w:pos="8290"/>
        </w:tabs>
      </w:pPr>
      <w:r>
        <w:rPr>
          <w:bCs/>
          <w:color w:val="auto"/>
          <w:highlight w:val="none"/>
          <w:lang w:val="zh-CN"/>
        </w:rPr>
        <w:fldChar w:fldCharType="begin"/>
      </w:r>
      <w:r>
        <w:rPr>
          <w:bCs/>
          <w:highlight w:val="none"/>
          <w:lang w:val="zh-CN"/>
        </w:rPr>
        <w:instrText xml:space="preserve"> HYPERLINK \l _Toc4166 </w:instrText>
      </w:r>
      <w:r>
        <w:rPr>
          <w:bCs/>
          <w:highlight w:val="none"/>
          <w:lang w:val="zh-CN"/>
        </w:rPr>
        <w:fldChar w:fldCharType="separate"/>
      </w:r>
      <w:r>
        <w:rPr>
          <w:rFonts w:ascii="Times New Roman" w:hAnsi="Times New Roman" w:eastAsia="黑体" w:cs="宋体"/>
          <w:szCs w:val="20"/>
          <w:highlight w:val="none"/>
        </w:rPr>
        <w:t>9.1试验设备与试验人员</w:t>
      </w:r>
      <w:r>
        <w:tab/>
      </w:r>
      <w:r>
        <w:fldChar w:fldCharType="begin"/>
      </w:r>
      <w:r>
        <w:instrText xml:space="preserve"> PAGEREF _Toc4166 \h </w:instrText>
      </w:r>
      <w:r>
        <w:fldChar w:fldCharType="separate"/>
      </w:r>
      <w:r>
        <w:t>1</w:t>
      </w:r>
      <w:r>
        <w:fldChar w:fldCharType="end"/>
      </w:r>
      <w:r>
        <w:rPr>
          <w:bCs/>
          <w:color w:val="auto"/>
          <w:highlight w:val="none"/>
          <w:lang w:val="zh-CN"/>
        </w:rPr>
        <w:fldChar w:fldCharType="end"/>
      </w:r>
    </w:p>
    <w:p w14:paraId="712B224C">
      <w:pPr>
        <w:pStyle w:val="8"/>
        <w:tabs>
          <w:tab w:val="right" w:leader="dot" w:pos="8290"/>
        </w:tabs>
      </w:pPr>
      <w:r>
        <w:rPr>
          <w:bCs/>
          <w:color w:val="auto"/>
          <w:highlight w:val="none"/>
          <w:lang w:val="zh-CN"/>
        </w:rPr>
        <w:fldChar w:fldCharType="begin"/>
      </w:r>
      <w:r>
        <w:rPr>
          <w:bCs/>
          <w:highlight w:val="none"/>
          <w:lang w:val="zh-CN"/>
        </w:rPr>
        <w:instrText xml:space="preserve"> HYPERLINK \l _Toc27576 </w:instrText>
      </w:r>
      <w:r>
        <w:rPr>
          <w:bCs/>
          <w:highlight w:val="none"/>
          <w:lang w:val="zh-CN"/>
        </w:rPr>
        <w:fldChar w:fldCharType="separate"/>
      </w:r>
      <w:r>
        <w:rPr>
          <w:rFonts w:ascii="Times New Roman" w:hAnsi="Times New Roman" w:eastAsia="黑体" w:cs="宋体"/>
          <w:szCs w:val="20"/>
          <w:highlight w:val="none"/>
        </w:rPr>
        <w:t>9.4 现场工艺试验</w:t>
      </w:r>
      <w:r>
        <w:tab/>
      </w:r>
      <w:r>
        <w:fldChar w:fldCharType="begin"/>
      </w:r>
      <w:r>
        <w:instrText xml:space="preserve"> PAGEREF _Toc27576 \h </w:instrText>
      </w:r>
      <w:r>
        <w:fldChar w:fldCharType="separate"/>
      </w:r>
      <w:r>
        <w:t>1</w:t>
      </w:r>
      <w:r>
        <w:fldChar w:fldCharType="end"/>
      </w:r>
      <w:r>
        <w:rPr>
          <w:bCs/>
          <w:color w:val="auto"/>
          <w:highlight w:val="none"/>
          <w:lang w:val="zh-CN"/>
        </w:rPr>
        <w:fldChar w:fldCharType="end"/>
      </w:r>
    </w:p>
    <w:p w14:paraId="746FE311">
      <w:pPr>
        <w:pStyle w:val="13"/>
        <w:tabs>
          <w:tab w:val="right" w:leader="dot" w:pos="8290"/>
        </w:tabs>
      </w:pPr>
      <w:r>
        <w:rPr>
          <w:bCs/>
          <w:color w:val="auto"/>
          <w:highlight w:val="none"/>
          <w:lang w:val="zh-CN"/>
        </w:rPr>
        <w:fldChar w:fldCharType="begin"/>
      </w:r>
      <w:r>
        <w:rPr>
          <w:bCs/>
          <w:highlight w:val="none"/>
          <w:lang w:val="zh-CN"/>
        </w:rPr>
        <w:instrText xml:space="preserve"> HYPERLINK \l _Toc1041 </w:instrText>
      </w:r>
      <w:r>
        <w:rPr>
          <w:bCs/>
          <w:highlight w:val="none"/>
          <w:lang w:val="zh-CN"/>
        </w:rPr>
        <w:fldChar w:fldCharType="separate"/>
      </w:r>
      <w:r>
        <w:rPr>
          <w:rFonts w:ascii="Times New Roman" w:hAnsi="Times New Roman" w:eastAsia="黑体" w:cs="宋体"/>
          <w:szCs w:val="20"/>
          <w:highlight w:val="none"/>
        </w:rPr>
        <w:t>10. 变更</w:t>
      </w:r>
      <w:r>
        <w:tab/>
      </w:r>
      <w:r>
        <w:fldChar w:fldCharType="begin"/>
      </w:r>
      <w:r>
        <w:instrText xml:space="preserve"> PAGEREF _Toc1041 \h </w:instrText>
      </w:r>
      <w:r>
        <w:fldChar w:fldCharType="separate"/>
      </w:r>
      <w:r>
        <w:t>1</w:t>
      </w:r>
      <w:r>
        <w:fldChar w:fldCharType="end"/>
      </w:r>
      <w:r>
        <w:rPr>
          <w:bCs/>
          <w:color w:val="auto"/>
          <w:highlight w:val="none"/>
          <w:lang w:val="zh-CN"/>
        </w:rPr>
        <w:fldChar w:fldCharType="end"/>
      </w:r>
    </w:p>
    <w:p w14:paraId="3D43F55C">
      <w:pPr>
        <w:pStyle w:val="8"/>
        <w:tabs>
          <w:tab w:val="right" w:leader="dot" w:pos="8290"/>
        </w:tabs>
      </w:pPr>
      <w:r>
        <w:rPr>
          <w:bCs/>
          <w:color w:val="auto"/>
          <w:highlight w:val="none"/>
          <w:lang w:val="zh-CN"/>
        </w:rPr>
        <w:fldChar w:fldCharType="begin"/>
      </w:r>
      <w:r>
        <w:rPr>
          <w:bCs/>
          <w:highlight w:val="none"/>
          <w:lang w:val="zh-CN"/>
        </w:rPr>
        <w:instrText xml:space="preserve"> HYPERLINK \l _Toc28136 </w:instrText>
      </w:r>
      <w:r>
        <w:rPr>
          <w:bCs/>
          <w:highlight w:val="none"/>
          <w:lang w:val="zh-CN"/>
        </w:rPr>
        <w:fldChar w:fldCharType="separate"/>
      </w:r>
      <w:r>
        <w:rPr>
          <w:rFonts w:ascii="Times New Roman" w:hAnsi="Times New Roman" w:eastAsia="黑体" w:cs="宋体"/>
          <w:szCs w:val="20"/>
          <w:highlight w:val="none"/>
        </w:rPr>
        <w:t>10.1变更的范围</w:t>
      </w:r>
      <w:r>
        <w:tab/>
      </w:r>
      <w:r>
        <w:fldChar w:fldCharType="begin"/>
      </w:r>
      <w:r>
        <w:instrText xml:space="preserve"> PAGEREF _Toc28136 \h </w:instrText>
      </w:r>
      <w:r>
        <w:fldChar w:fldCharType="separate"/>
      </w:r>
      <w:r>
        <w:t>1</w:t>
      </w:r>
      <w:r>
        <w:fldChar w:fldCharType="end"/>
      </w:r>
      <w:r>
        <w:rPr>
          <w:bCs/>
          <w:color w:val="auto"/>
          <w:highlight w:val="none"/>
          <w:lang w:val="zh-CN"/>
        </w:rPr>
        <w:fldChar w:fldCharType="end"/>
      </w:r>
    </w:p>
    <w:p w14:paraId="3C203C95">
      <w:pPr>
        <w:pStyle w:val="8"/>
        <w:tabs>
          <w:tab w:val="right" w:leader="dot" w:pos="8290"/>
        </w:tabs>
      </w:pPr>
      <w:r>
        <w:rPr>
          <w:bCs/>
          <w:color w:val="auto"/>
          <w:highlight w:val="none"/>
          <w:lang w:val="zh-CN"/>
        </w:rPr>
        <w:fldChar w:fldCharType="begin"/>
      </w:r>
      <w:r>
        <w:rPr>
          <w:bCs/>
          <w:highlight w:val="none"/>
          <w:lang w:val="zh-CN"/>
        </w:rPr>
        <w:instrText xml:space="preserve"> HYPERLINK \l _Toc16114 </w:instrText>
      </w:r>
      <w:r>
        <w:rPr>
          <w:bCs/>
          <w:highlight w:val="none"/>
          <w:lang w:val="zh-CN"/>
        </w:rPr>
        <w:fldChar w:fldCharType="separate"/>
      </w:r>
      <w:r>
        <w:rPr>
          <w:rFonts w:ascii="Times New Roman" w:hAnsi="Times New Roman" w:eastAsia="黑体" w:cs="宋体"/>
          <w:szCs w:val="20"/>
          <w:highlight w:val="none"/>
        </w:rPr>
        <w:t>10.4 变更估价</w:t>
      </w:r>
      <w:r>
        <w:tab/>
      </w:r>
      <w:r>
        <w:fldChar w:fldCharType="begin"/>
      </w:r>
      <w:r>
        <w:instrText xml:space="preserve"> PAGEREF _Toc16114 \h </w:instrText>
      </w:r>
      <w:r>
        <w:fldChar w:fldCharType="separate"/>
      </w:r>
      <w:r>
        <w:t>1</w:t>
      </w:r>
      <w:r>
        <w:fldChar w:fldCharType="end"/>
      </w:r>
      <w:r>
        <w:rPr>
          <w:bCs/>
          <w:color w:val="auto"/>
          <w:highlight w:val="none"/>
          <w:lang w:val="zh-CN"/>
        </w:rPr>
        <w:fldChar w:fldCharType="end"/>
      </w:r>
    </w:p>
    <w:p w14:paraId="31249E0C">
      <w:pPr>
        <w:pStyle w:val="8"/>
        <w:tabs>
          <w:tab w:val="right" w:leader="dot" w:pos="8290"/>
        </w:tabs>
      </w:pPr>
      <w:r>
        <w:rPr>
          <w:bCs/>
          <w:color w:val="auto"/>
          <w:highlight w:val="none"/>
          <w:lang w:val="zh-CN"/>
        </w:rPr>
        <w:fldChar w:fldCharType="begin"/>
      </w:r>
      <w:r>
        <w:rPr>
          <w:bCs/>
          <w:highlight w:val="none"/>
          <w:lang w:val="zh-CN"/>
        </w:rPr>
        <w:instrText xml:space="preserve"> HYPERLINK \l _Toc27284 </w:instrText>
      </w:r>
      <w:r>
        <w:rPr>
          <w:bCs/>
          <w:highlight w:val="none"/>
          <w:lang w:val="zh-CN"/>
        </w:rPr>
        <w:fldChar w:fldCharType="separate"/>
      </w:r>
      <w:r>
        <w:rPr>
          <w:rFonts w:ascii="Times New Roman" w:hAnsi="Times New Roman" w:eastAsia="黑体" w:cs="宋体"/>
          <w:szCs w:val="20"/>
          <w:highlight w:val="none"/>
        </w:rPr>
        <w:t>10.5承包人的合理化建议</w:t>
      </w:r>
      <w:r>
        <w:tab/>
      </w:r>
      <w:r>
        <w:fldChar w:fldCharType="begin"/>
      </w:r>
      <w:r>
        <w:instrText xml:space="preserve"> PAGEREF _Toc27284 \h </w:instrText>
      </w:r>
      <w:r>
        <w:fldChar w:fldCharType="separate"/>
      </w:r>
      <w:r>
        <w:t>1</w:t>
      </w:r>
      <w:r>
        <w:fldChar w:fldCharType="end"/>
      </w:r>
      <w:r>
        <w:rPr>
          <w:bCs/>
          <w:color w:val="auto"/>
          <w:highlight w:val="none"/>
          <w:lang w:val="zh-CN"/>
        </w:rPr>
        <w:fldChar w:fldCharType="end"/>
      </w:r>
    </w:p>
    <w:p w14:paraId="5EC16321">
      <w:pPr>
        <w:pStyle w:val="8"/>
        <w:tabs>
          <w:tab w:val="right" w:leader="dot" w:pos="8290"/>
        </w:tabs>
      </w:pPr>
      <w:r>
        <w:rPr>
          <w:bCs/>
          <w:color w:val="auto"/>
          <w:highlight w:val="none"/>
          <w:lang w:val="zh-CN"/>
        </w:rPr>
        <w:fldChar w:fldCharType="begin"/>
      </w:r>
      <w:r>
        <w:rPr>
          <w:bCs/>
          <w:highlight w:val="none"/>
          <w:lang w:val="zh-CN"/>
        </w:rPr>
        <w:instrText xml:space="preserve"> HYPERLINK \l _Toc27676 </w:instrText>
      </w:r>
      <w:r>
        <w:rPr>
          <w:bCs/>
          <w:highlight w:val="none"/>
          <w:lang w:val="zh-CN"/>
        </w:rPr>
        <w:fldChar w:fldCharType="separate"/>
      </w:r>
      <w:r>
        <w:rPr>
          <w:rFonts w:ascii="Times New Roman" w:hAnsi="Times New Roman" w:eastAsia="黑体" w:cs="宋体"/>
          <w:szCs w:val="20"/>
          <w:highlight w:val="none"/>
        </w:rPr>
        <w:t>10.7 暂估价</w:t>
      </w:r>
      <w:r>
        <w:tab/>
      </w:r>
      <w:r>
        <w:fldChar w:fldCharType="begin"/>
      </w:r>
      <w:r>
        <w:instrText xml:space="preserve"> PAGEREF _Toc27676 \h </w:instrText>
      </w:r>
      <w:r>
        <w:fldChar w:fldCharType="separate"/>
      </w:r>
      <w:r>
        <w:t>1</w:t>
      </w:r>
      <w:r>
        <w:fldChar w:fldCharType="end"/>
      </w:r>
      <w:r>
        <w:rPr>
          <w:bCs/>
          <w:color w:val="auto"/>
          <w:highlight w:val="none"/>
          <w:lang w:val="zh-CN"/>
        </w:rPr>
        <w:fldChar w:fldCharType="end"/>
      </w:r>
    </w:p>
    <w:p w14:paraId="2F293871">
      <w:pPr>
        <w:pStyle w:val="8"/>
        <w:tabs>
          <w:tab w:val="right" w:leader="dot" w:pos="8290"/>
        </w:tabs>
      </w:pPr>
      <w:r>
        <w:rPr>
          <w:bCs/>
          <w:color w:val="auto"/>
          <w:highlight w:val="none"/>
          <w:lang w:val="zh-CN"/>
        </w:rPr>
        <w:fldChar w:fldCharType="begin"/>
      </w:r>
      <w:r>
        <w:rPr>
          <w:bCs/>
          <w:highlight w:val="none"/>
          <w:lang w:val="zh-CN"/>
        </w:rPr>
        <w:instrText xml:space="preserve"> HYPERLINK \l _Toc30761 </w:instrText>
      </w:r>
      <w:r>
        <w:rPr>
          <w:bCs/>
          <w:highlight w:val="none"/>
          <w:lang w:val="zh-CN"/>
        </w:rPr>
        <w:fldChar w:fldCharType="separate"/>
      </w:r>
      <w:r>
        <w:rPr>
          <w:rFonts w:ascii="Times New Roman" w:hAnsi="Times New Roman" w:eastAsia="黑体" w:cs="宋体"/>
          <w:szCs w:val="20"/>
          <w:highlight w:val="none"/>
        </w:rPr>
        <w:t>10.8 暂列金额</w:t>
      </w:r>
      <w:r>
        <w:tab/>
      </w:r>
      <w:r>
        <w:fldChar w:fldCharType="begin"/>
      </w:r>
      <w:r>
        <w:instrText xml:space="preserve"> PAGEREF _Toc30761 \h </w:instrText>
      </w:r>
      <w:r>
        <w:fldChar w:fldCharType="separate"/>
      </w:r>
      <w:r>
        <w:t>1</w:t>
      </w:r>
      <w:r>
        <w:fldChar w:fldCharType="end"/>
      </w:r>
      <w:r>
        <w:rPr>
          <w:bCs/>
          <w:color w:val="auto"/>
          <w:highlight w:val="none"/>
          <w:lang w:val="zh-CN"/>
        </w:rPr>
        <w:fldChar w:fldCharType="end"/>
      </w:r>
    </w:p>
    <w:p w14:paraId="5C28EEC7">
      <w:pPr>
        <w:pStyle w:val="13"/>
        <w:tabs>
          <w:tab w:val="right" w:leader="dot" w:pos="8290"/>
        </w:tabs>
      </w:pPr>
      <w:r>
        <w:rPr>
          <w:bCs/>
          <w:color w:val="auto"/>
          <w:highlight w:val="none"/>
          <w:lang w:val="zh-CN"/>
        </w:rPr>
        <w:fldChar w:fldCharType="begin"/>
      </w:r>
      <w:r>
        <w:rPr>
          <w:bCs/>
          <w:highlight w:val="none"/>
          <w:lang w:val="zh-CN"/>
        </w:rPr>
        <w:instrText xml:space="preserve"> HYPERLINK \l _Toc2117 </w:instrText>
      </w:r>
      <w:r>
        <w:rPr>
          <w:bCs/>
          <w:highlight w:val="none"/>
          <w:lang w:val="zh-CN"/>
        </w:rPr>
        <w:fldChar w:fldCharType="separate"/>
      </w:r>
      <w:r>
        <w:rPr>
          <w:rFonts w:ascii="Times New Roman" w:hAnsi="Times New Roman" w:eastAsia="黑体" w:cs="宋体"/>
          <w:szCs w:val="20"/>
          <w:highlight w:val="none"/>
        </w:rPr>
        <w:t>11. 价格调整</w:t>
      </w:r>
      <w:r>
        <w:tab/>
      </w:r>
      <w:r>
        <w:fldChar w:fldCharType="begin"/>
      </w:r>
      <w:r>
        <w:instrText xml:space="preserve"> PAGEREF _Toc2117 \h </w:instrText>
      </w:r>
      <w:r>
        <w:fldChar w:fldCharType="separate"/>
      </w:r>
      <w:r>
        <w:t>1</w:t>
      </w:r>
      <w:r>
        <w:fldChar w:fldCharType="end"/>
      </w:r>
      <w:r>
        <w:rPr>
          <w:bCs/>
          <w:color w:val="auto"/>
          <w:highlight w:val="none"/>
          <w:lang w:val="zh-CN"/>
        </w:rPr>
        <w:fldChar w:fldCharType="end"/>
      </w:r>
    </w:p>
    <w:p w14:paraId="03DD610A">
      <w:pPr>
        <w:pStyle w:val="8"/>
        <w:tabs>
          <w:tab w:val="right" w:leader="dot" w:pos="8290"/>
        </w:tabs>
      </w:pPr>
      <w:r>
        <w:rPr>
          <w:bCs/>
          <w:color w:val="auto"/>
          <w:highlight w:val="none"/>
          <w:lang w:val="zh-CN"/>
        </w:rPr>
        <w:fldChar w:fldCharType="begin"/>
      </w:r>
      <w:r>
        <w:rPr>
          <w:bCs/>
          <w:highlight w:val="none"/>
          <w:lang w:val="zh-CN"/>
        </w:rPr>
        <w:instrText xml:space="preserve"> HYPERLINK \l _Toc18581 </w:instrText>
      </w:r>
      <w:r>
        <w:rPr>
          <w:bCs/>
          <w:highlight w:val="none"/>
          <w:lang w:val="zh-CN"/>
        </w:rPr>
        <w:fldChar w:fldCharType="separate"/>
      </w:r>
      <w:r>
        <w:rPr>
          <w:rFonts w:ascii="Times New Roman" w:hAnsi="Times New Roman" w:eastAsia="黑体" w:cs="宋体"/>
          <w:szCs w:val="20"/>
          <w:highlight w:val="none"/>
        </w:rPr>
        <w:t>11.1 市场价格波动引起的调整</w:t>
      </w:r>
      <w:r>
        <w:tab/>
      </w:r>
      <w:r>
        <w:fldChar w:fldCharType="begin"/>
      </w:r>
      <w:r>
        <w:instrText xml:space="preserve"> PAGEREF _Toc18581 \h </w:instrText>
      </w:r>
      <w:r>
        <w:fldChar w:fldCharType="separate"/>
      </w:r>
      <w:r>
        <w:t>1</w:t>
      </w:r>
      <w:r>
        <w:fldChar w:fldCharType="end"/>
      </w:r>
      <w:r>
        <w:rPr>
          <w:bCs/>
          <w:color w:val="auto"/>
          <w:highlight w:val="none"/>
          <w:lang w:val="zh-CN"/>
        </w:rPr>
        <w:fldChar w:fldCharType="end"/>
      </w:r>
    </w:p>
    <w:p w14:paraId="69AFDA0E">
      <w:pPr>
        <w:pStyle w:val="13"/>
        <w:tabs>
          <w:tab w:val="right" w:leader="dot" w:pos="8290"/>
        </w:tabs>
      </w:pPr>
      <w:r>
        <w:rPr>
          <w:bCs/>
          <w:color w:val="auto"/>
          <w:highlight w:val="none"/>
          <w:lang w:val="zh-CN"/>
        </w:rPr>
        <w:fldChar w:fldCharType="begin"/>
      </w:r>
      <w:r>
        <w:rPr>
          <w:bCs/>
          <w:highlight w:val="none"/>
          <w:lang w:val="zh-CN"/>
        </w:rPr>
        <w:instrText xml:space="preserve"> HYPERLINK \l _Toc19823 </w:instrText>
      </w:r>
      <w:r>
        <w:rPr>
          <w:bCs/>
          <w:highlight w:val="none"/>
          <w:lang w:val="zh-CN"/>
        </w:rPr>
        <w:fldChar w:fldCharType="separate"/>
      </w:r>
      <w:r>
        <w:rPr>
          <w:rFonts w:ascii="Times New Roman" w:hAnsi="Times New Roman" w:eastAsia="黑体" w:cs="宋体"/>
          <w:szCs w:val="20"/>
          <w:highlight w:val="none"/>
        </w:rPr>
        <w:t>12. 合同价格、计量与支付</w:t>
      </w:r>
      <w:r>
        <w:tab/>
      </w:r>
      <w:r>
        <w:fldChar w:fldCharType="begin"/>
      </w:r>
      <w:r>
        <w:instrText xml:space="preserve"> PAGEREF _Toc19823 \h </w:instrText>
      </w:r>
      <w:r>
        <w:fldChar w:fldCharType="separate"/>
      </w:r>
      <w:r>
        <w:t>1</w:t>
      </w:r>
      <w:r>
        <w:fldChar w:fldCharType="end"/>
      </w:r>
      <w:r>
        <w:rPr>
          <w:bCs/>
          <w:color w:val="auto"/>
          <w:highlight w:val="none"/>
          <w:lang w:val="zh-CN"/>
        </w:rPr>
        <w:fldChar w:fldCharType="end"/>
      </w:r>
    </w:p>
    <w:p w14:paraId="3D33BE4C">
      <w:pPr>
        <w:pStyle w:val="8"/>
        <w:tabs>
          <w:tab w:val="right" w:leader="dot" w:pos="8290"/>
        </w:tabs>
      </w:pPr>
      <w:r>
        <w:rPr>
          <w:bCs/>
          <w:color w:val="auto"/>
          <w:highlight w:val="none"/>
          <w:lang w:val="zh-CN"/>
        </w:rPr>
        <w:fldChar w:fldCharType="begin"/>
      </w:r>
      <w:r>
        <w:rPr>
          <w:bCs/>
          <w:highlight w:val="none"/>
          <w:lang w:val="zh-CN"/>
        </w:rPr>
        <w:instrText xml:space="preserve"> HYPERLINK \l _Toc26226 </w:instrText>
      </w:r>
      <w:r>
        <w:rPr>
          <w:bCs/>
          <w:highlight w:val="none"/>
          <w:lang w:val="zh-CN"/>
        </w:rPr>
        <w:fldChar w:fldCharType="separate"/>
      </w:r>
      <w:r>
        <w:rPr>
          <w:rFonts w:ascii="Times New Roman" w:hAnsi="Times New Roman" w:eastAsia="黑体" w:cs="宋体"/>
          <w:szCs w:val="20"/>
          <w:highlight w:val="none"/>
        </w:rPr>
        <w:t>12.1 合同价格形式</w:t>
      </w:r>
      <w:r>
        <w:tab/>
      </w:r>
      <w:r>
        <w:fldChar w:fldCharType="begin"/>
      </w:r>
      <w:r>
        <w:instrText xml:space="preserve"> PAGEREF _Toc26226 \h </w:instrText>
      </w:r>
      <w:r>
        <w:fldChar w:fldCharType="separate"/>
      </w:r>
      <w:r>
        <w:t>1</w:t>
      </w:r>
      <w:r>
        <w:fldChar w:fldCharType="end"/>
      </w:r>
      <w:r>
        <w:rPr>
          <w:bCs/>
          <w:color w:val="auto"/>
          <w:highlight w:val="none"/>
          <w:lang w:val="zh-CN"/>
        </w:rPr>
        <w:fldChar w:fldCharType="end"/>
      </w:r>
    </w:p>
    <w:p w14:paraId="0EC3BF75">
      <w:pPr>
        <w:pStyle w:val="8"/>
        <w:tabs>
          <w:tab w:val="right" w:leader="dot" w:pos="8290"/>
        </w:tabs>
      </w:pPr>
      <w:r>
        <w:rPr>
          <w:bCs/>
          <w:color w:val="auto"/>
          <w:highlight w:val="none"/>
          <w:lang w:val="zh-CN"/>
        </w:rPr>
        <w:fldChar w:fldCharType="begin"/>
      </w:r>
      <w:r>
        <w:rPr>
          <w:bCs/>
          <w:highlight w:val="none"/>
          <w:lang w:val="zh-CN"/>
        </w:rPr>
        <w:instrText xml:space="preserve"> HYPERLINK \l _Toc31199 </w:instrText>
      </w:r>
      <w:r>
        <w:rPr>
          <w:bCs/>
          <w:highlight w:val="none"/>
          <w:lang w:val="zh-CN"/>
        </w:rPr>
        <w:fldChar w:fldCharType="separate"/>
      </w:r>
      <w:r>
        <w:rPr>
          <w:rFonts w:ascii="Times New Roman" w:hAnsi="Times New Roman" w:eastAsia="黑体" w:cs="宋体"/>
          <w:szCs w:val="20"/>
          <w:highlight w:val="none"/>
        </w:rPr>
        <w:t>12.2 预付款</w:t>
      </w:r>
      <w:r>
        <w:tab/>
      </w:r>
      <w:r>
        <w:fldChar w:fldCharType="begin"/>
      </w:r>
      <w:r>
        <w:instrText xml:space="preserve"> PAGEREF _Toc31199 \h </w:instrText>
      </w:r>
      <w:r>
        <w:fldChar w:fldCharType="separate"/>
      </w:r>
      <w:r>
        <w:t>1</w:t>
      </w:r>
      <w:r>
        <w:fldChar w:fldCharType="end"/>
      </w:r>
      <w:r>
        <w:rPr>
          <w:bCs/>
          <w:color w:val="auto"/>
          <w:highlight w:val="none"/>
          <w:lang w:val="zh-CN"/>
        </w:rPr>
        <w:fldChar w:fldCharType="end"/>
      </w:r>
    </w:p>
    <w:p w14:paraId="7B637B12">
      <w:pPr>
        <w:pStyle w:val="8"/>
        <w:tabs>
          <w:tab w:val="right" w:leader="dot" w:pos="8290"/>
        </w:tabs>
      </w:pPr>
      <w:r>
        <w:rPr>
          <w:bCs/>
          <w:color w:val="auto"/>
          <w:highlight w:val="none"/>
          <w:lang w:val="zh-CN"/>
        </w:rPr>
        <w:fldChar w:fldCharType="begin"/>
      </w:r>
      <w:r>
        <w:rPr>
          <w:bCs/>
          <w:highlight w:val="none"/>
          <w:lang w:val="zh-CN"/>
        </w:rPr>
        <w:instrText xml:space="preserve"> HYPERLINK \l _Toc25770 </w:instrText>
      </w:r>
      <w:r>
        <w:rPr>
          <w:bCs/>
          <w:highlight w:val="none"/>
          <w:lang w:val="zh-CN"/>
        </w:rPr>
        <w:fldChar w:fldCharType="separate"/>
      </w:r>
      <w:r>
        <w:rPr>
          <w:rFonts w:ascii="Times New Roman" w:hAnsi="Times New Roman" w:eastAsia="黑体" w:cs="宋体"/>
          <w:szCs w:val="20"/>
          <w:highlight w:val="none"/>
        </w:rPr>
        <w:t>12.3 计量</w:t>
      </w:r>
      <w:r>
        <w:tab/>
      </w:r>
      <w:r>
        <w:fldChar w:fldCharType="begin"/>
      </w:r>
      <w:r>
        <w:instrText xml:space="preserve"> PAGEREF _Toc25770 \h </w:instrText>
      </w:r>
      <w:r>
        <w:fldChar w:fldCharType="separate"/>
      </w:r>
      <w:r>
        <w:t>1</w:t>
      </w:r>
      <w:r>
        <w:fldChar w:fldCharType="end"/>
      </w:r>
      <w:r>
        <w:rPr>
          <w:bCs/>
          <w:color w:val="auto"/>
          <w:highlight w:val="none"/>
          <w:lang w:val="zh-CN"/>
        </w:rPr>
        <w:fldChar w:fldCharType="end"/>
      </w:r>
    </w:p>
    <w:p w14:paraId="10B4360C">
      <w:pPr>
        <w:pStyle w:val="8"/>
        <w:tabs>
          <w:tab w:val="right" w:leader="dot" w:pos="8290"/>
        </w:tabs>
      </w:pPr>
      <w:r>
        <w:rPr>
          <w:bCs/>
          <w:color w:val="auto"/>
          <w:highlight w:val="none"/>
          <w:lang w:val="zh-CN"/>
        </w:rPr>
        <w:fldChar w:fldCharType="begin"/>
      </w:r>
      <w:r>
        <w:rPr>
          <w:bCs/>
          <w:highlight w:val="none"/>
          <w:lang w:val="zh-CN"/>
        </w:rPr>
        <w:instrText xml:space="preserve"> HYPERLINK \l _Toc13257 </w:instrText>
      </w:r>
      <w:r>
        <w:rPr>
          <w:bCs/>
          <w:highlight w:val="none"/>
          <w:lang w:val="zh-CN"/>
        </w:rPr>
        <w:fldChar w:fldCharType="separate"/>
      </w:r>
      <w:r>
        <w:rPr>
          <w:rFonts w:ascii="Times New Roman" w:hAnsi="Times New Roman" w:eastAsia="黑体" w:cs="宋体"/>
          <w:szCs w:val="20"/>
          <w:highlight w:val="none"/>
        </w:rPr>
        <w:t>12.4 工程进度款支付</w:t>
      </w:r>
      <w:r>
        <w:tab/>
      </w:r>
      <w:r>
        <w:fldChar w:fldCharType="begin"/>
      </w:r>
      <w:r>
        <w:instrText xml:space="preserve"> PAGEREF _Toc13257 \h </w:instrText>
      </w:r>
      <w:r>
        <w:fldChar w:fldCharType="separate"/>
      </w:r>
      <w:r>
        <w:t>1</w:t>
      </w:r>
      <w:r>
        <w:fldChar w:fldCharType="end"/>
      </w:r>
      <w:r>
        <w:rPr>
          <w:bCs/>
          <w:color w:val="auto"/>
          <w:highlight w:val="none"/>
          <w:lang w:val="zh-CN"/>
        </w:rPr>
        <w:fldChar w:fldCharType="end"/>
      </w:r>
    </w:p>
    <w:p w14:paraId="62971097">
      <w:pPr>
        <w:pStyle w:val="13"/>
        <w:tabs>
          <w:tab w:val="right" w:leader="dot" w:pos="8290"/>
        </w:tabs>
      </w:pPr>
      <w:r>
        <w:rPr>
          <w:bCs/>
          <w:color w:val="auto"/>
          <w:highlight w:val="none"/>
          <w:lang w:val="zh-CN"/>
        </w:rPr>
        <w:fldChar w:fldCharType="begin"/>
      </w:r>
      <w:r>
        <w:rPr>
          <w:bCs/>
          <w:highlight w:val="none"/>
          <w:lang w:val="zh-CN"/>
        </w:rPr>
        <w:instrText xml:space="preserve"> HYPERLINK \l _Toc23515 </w:instrText>
      </w:r>
      <w:r>
        <w:rPr>
          <w:bCs/>
          <w:highlight w:val="none"/>
          <w:lang w:val="zh-CN"/>
        </w:rPr>
        <w:fldChar w:fldCharType="separate"/>
      </w:r>
      <w:r>
        <w:rPr>
          <w:rFonts w:ascii="Times New Roman" w:hAnsi="Times New Roman" w:eastAsia="黑体" w:cs="宋体"/>
          <w:szCs w:val="20"/>
          <w:highlight w:val="none"/>
        </w:rPr>
        <w:t>13.</w:t>
      </w:r>
      <w:r>
        <w:rPr>
          <w:rFonts w:hint="eastAsia" w:ascii="Times New Roman" w:hAnsi="Times New Roman" w:eastAsia="黑体" w:cs="宋体"/>
          <w:szCs w:val="20"/>
          <w:highlight w:val="none"/>
        </w:rPr>
        <w:t xml:space="preserve"> </w:t>
      </w:r>
      <w:r>
        <w:rPr>
          <w:rFonts w:ascii="Times New Roman" w:hAnsi="Times New Roman" w:eastAsia="黑体" w:cs="宋体"/>
          <w:szCs w:val="20"/>
          <w:highlight w:val="none"/>
        </w:rPr>
        <w:t>验收和工程试车</w:t>
      </w:r>
      <w:r>
        <w:tab/>
      </w:r>
      <w:r>
        <w:fldChar w:fldCharType="begin"/>
      </w:r>
      <w:r>
        <w:instrText xml:space="preserve"> PAGEREF _Toc23515 \h </w:instrText>
      </w:r>
      <w:r>
        <w:fldChar w:fldCharType="separate"/>
      </w:r>
      <w:r>
        <w:t>1</w:t>
      </w:r>
      <w:r>
        <w:fldChar w:fldCharType="end"/>
      </w:r>
      <w:r>
        <w:rPr>
          <w:bCs/>
          <w:color w:val="auto"/>
          <w:highlight w:val="none"/>
          <w:lang w:val="zh-CN"/>
        </w:rPr>
        <w:fldChar w:fldCharType="end"/>
      </w:r>
    </w:p>
    <w:p w14:paraId="04C56066">
      <w:pPr>
        <w:pStyle w:val="8"/>
        <w:tabs>
          <w:tab w:val="right" w:leader="dot" w:pos="8290"/>
        </w:tabs>
      </w:pPr>
      <w:r>
        <w:rPr>
          <w:bCs/>
          <w:color w:val="auto"/>
          <w:highlight w:val="none"/>
          <w:lang w:val="zh-CN"/>
        </w:rPr>
        <w:fldChar w:fldCharType="begin"/>
      </w:r>
      <w:r>
        <w:rPr>
          <w:bCs/>
          <w:highlight w:val="none"/>
          <w:lang w:val="zh-CN"/>
        </w:rPr>
        <w:instrText xml:space="preserve"> HYPERLINK \l _Toc6023 </w:instrText>
      </w:r>
      <w:r>
        <w:rPr>
          <w:bCs/>
          <w:highlight w:val="none"/>
          <w:lang w:val="zh-CN"/>
        </w:rPr>
        <w:fldChar w:fldCharType="separate"/>
      </w:r>
      <w:r>
        <w:rPr>
          <w:rFonts w:ascii="Times New Roman" w:hAnsi="Times New Roman" w:eastAsia="黑体" w:cs="宋体"/>
          <w:szCs w:val="20"/>
          <w:highlight w:val="none"/>
        </w:rPr>
        <w:t>13.1 分部分项工程验收</w:t>
      </w:r>
      <w:r>
        <w:tab/>
      </w:r>
      <w:r>
        <w:fldChar w:fldCharType="begin"/>
      </w:r>
      <w:r>
        <w:instrText xml:space="preserve"> PAGEREF _Toc6023 \h </w:instrText>
      </w:r>
      <w:r>
        <w:fldChar w:fldCharType="separate"/>
      </w:r>
      <w:r>
        <w:t>1</w:t>
      </w:r>
      <w:r>
        <w:fldChar w:fldCharType="end"/>
      </w:r>
      <w:r>
        <w:rPr>
          <w:bCs/>
          <w:color w:val="auto"/>
          <w:highlight w:val="none"/>
          <w:lang w:val="zh-CN"/>
        </w:rPr>
        <w:fldChar w:fldCharType="end"/>
      </w:r>
    </w:p>
    <w:p w14:paraId="2B19F932">
      <w:pPr>
        <w:pStyle w:val="8"/>
        <w:tabs>
          <w:tab w:val="right" w:leader="dot" w:pos="8290"/>
        </w:tabs>
      </w:pPr>
      <w:r>
        <w:rPr>
          <w:bCs/>
          <w:color w:val="auto"/>
          <w:highlight w:val="none"/>
          <w:lang w:val="zh-CN"/>
        </w:rPr>
        <w:fldChar w:fldCharType="begin"/>
      </w:r>
      <w:r>
        <w:rPr>
          <w:bCs/>
          <w:highlight w:val="none"/>
          <w:lang w:val="zh-CN"/>
        </w:rPr>
        <w:instrText xml:space="preserve"> HYPERLINK \l _Toc11340 </w:instrText>
      </w:r>
      <w:r>
        <w:rPr>
          <w:bCs/>
          <w:highlight w:val="none"/>
          <w:lang w:val="zh-CN"/>
        </w:rPr>
        <w:fldChar w:fldCharType="separate"/>
      </w:r>
      <w:r>
        <w:rPr>
          <w:rFonts w:ascii="Times New Roman" w:hAnsi="Times New Roman" w:eastAsia="黑体" w:cs="宋体"/>
          <w:szCs w:val="20"/>
          <w:highlight w:val="none"/>
        </w:rPr>
        <w:t>13.2 竣工验收</w:t>
      </w:r>
      <w:r>
        <w:tab/>
      </w:r>
      <w:r>
        <w:fldChar w:fldCharType="begin"/>
      </w:r>
      <w:r>
        <w:instrText xml:space="preserve"> PAGEREF _Toc11340 \h </w:instrText>
      </w:r>
      <w:r>
        <w:fldChar w:fldCharType="separate"/>
      </w:r>
      <w:r>
        <w:t>1</w:t>
      </w:r>
      <w:r>
        <w:fldChar w:fldCharType="end"/>
      </w:r>
      <w:r>
        <w:rPr>
          <w:bCs/>
          <w:color w:val="auto"/>
          <w:highlight w:val="none"/>
          <w:lang w:val="zh-CN"/>
        </w:rPr>
        <w:fldChar w:fldCharType="end"/>
      </w:r>
    </w:p>
    <w:p w14:paraId="522C6797">
      <w:pPr>
        <w:pStyle w:val="8"/>
        <w:tabs>
          <w:tab w:val="right" w:leader="dot" w:pos="8290"/>
        </w:tabs>
      </w:pPr>
      <w:r>
        <w:rPr>
          <w:bCs/>
          <w:color w:val="auto"/>
          <w:highlight w:val="none"/>
          <w:lang w:val="zh-CN"/>
        </w:rPr>
        <w:fldChar w:fldCharType="begin"/>
      </w:r>
      <w:r>
        <w:rPr>
          <w:bCs/>
          <w:highlight w:val="none"/>
          <w:lang w:val="zh-CN"/>
        </w:rPr>
        <w:instrText xml:space="preserve"> HYPERLINK \l _Toc11344 </w:instrText>
      </w:r>
      <w:r>
        <w:rPr>
          <w:bCs/>
          <w:highlight w:val="none"/>
          <w:lang w:val="zh-CN"/>
        </w:rPr>
        <w:fldChar w:fldCharType="separate"/>
      </w:r>
      <w:r>
        <w:rPr>
          <w:rFonts w:ascii="Times New Roman" w:hAnsi="Times New Roman" w:eastAsia="黑体" w:cs="宋体"/>
          <w:szCs w:val="20"/>
          <w:highlight w:val="none"/>
        </w:rPr>
        <w:t>13.3 工程试车</w:t>
      </w:r>
      <w:r>
        <w:tab/>
      </w:r>
      <w:r>
        <w:fldChar w:fldCharType="begin"/>
      </w:r>
      <w:r>
        <w:instrText xml:space="preserve"> PAGEREF _Toc11344 \h </w:instrText>
      </w:r>
      <w:r>
        <w:fldChar w:fldCharType="separate"/>
      </w:r>
      <w:r>
        <w:t>1</w:t>
      </w:r>
      <w:r>
        <w:fldChar w:fldCharType="end"/>
      </w:r>
      <w:r>
        <w:rPr>
          <w:bCs/>
          <w:color w:val="auto"/>
          <w:highlight w:val="none"/>
          <w:lang w:val="zh-CN"/>
        </w:rPr>
        <w:fldChar w:fldCharType="end"/>
      </w:r>
    </w:p>
    <w:p w14:paraId="3B692D2C">
      <w:pPr>
        <w:pStyle w:val="8"/>
        <w:tabs>
          <w:tab w:val="right" w:leader="dot" w:pos="8290"/>
        </w:tabs>
      </w:pPr>
      <w:r>
        <w:rPr>
          <w:bCs/>
          <w:color w:val="auto"/>
          <w:highlight w:val="none"/>
          <w:lang w:val="zh-CN"/>
        </w:rPr>
        <w:fldChar w:fldCharType="begin"/>
      </w:r>
      <w:r>
        <w:rPr>
          <w:bCs/>
          <w:highlight w:val="none"/>
          <w:lang w:val="zh-CN"/>
        </w:rPr>
        <w:instrText xml:space="preserve"> HYPERLINK \l _Toc28732 </w:instrText>
      </w:r>
      <w:r>
        <w:rPr>
          <w:bCs/>
          <w:highlight w:val="none"/>
          <w:lang w:val="zh-CN"/>
        </w:rPr>
        <w:fldChar w:fldCharType="separate"/>
      </w:r>
      <w:r>
        <w:rPr>
          <w:rFonts w:ascii="Times New Roman" w:hAnsi="Times New Roman" w:eastAsia="黑体" w:cs="宋体"/>
          <w:szCs w:val="20"/>
          <w:highlight w:val="none"/>
        </w:rPr>
        <w:t>13.6 竣工退场</w:t>
      </w:r>
      <w:r>
        <w:tab/>
      </w:r>
      <w:r>
        <w:fldChar w:fldCharType="begin"/>
      </w:r>
      <w:r>
        <w:instrText xml:space="preserve"> PAGEREF _Toc28732 \h </w:instrText>
      </w:r>
      <w:r>
        <w:fldChar w:fldCharType="separate"/>
      </w:r>
      <w:r>
        <w:t>1</w:t>
      </w:r>
      <w:r>
        <w:fldChar w:fldCharType="end"/>
      </w:r>
      <w:r>
        <w:rPr>
          <w:bCs/>
          <w:color w:val="auto"/>
          <w:highlight w:val="none"/>
          <w:lang w:val="zh-CN"/>
        </w:rPr>
        <w:fldChar w:fldCharType="end"/>
      </w:r>
    </w:p>
    <w:p w14:paraId="04A09E55">
      <w:pPr>
        <w:pStyle w:val="13"/>
        <w:tabs>
          <w:tab w:val="right" w:leader="dot" w:pos="8290"/>
        </w:tabs>
      </w:pPr>
      <w:r>
        <w:rPr>
          <w:bCs/>
          <w:color w:val="auto"/>
          <w:highlight w:val="none"/>
          <w:lang w:val="zh-CN"/>
        </w:rPr>
        <w:fldChar w:fldCharType="begin"/>
      </w:r>
      <w:r>
        <w:rPr>
          <w:bCs/>
          <w:highlight w:val="none"/>
          <w:lang w:val="zh-CN"/>
        </w:rPr>
        <w:instrText xml:space="preserve"> HYPERLINK \l _Toc7106 </w:instrText>
      </w:r>
      <w:r>
        <w:rPr>
          <w:bCs/>
          <w:highlight w:val="none"/>
          <w:lang w:val="zh-CN"/>
        </w:rPr>
        <w:fldChar w:fldCharType="separate"/>
      </w:r>
      <w:r>
        <w:rPr>
          <w:rFonts w:ascii="Times New Roman" w:hAnsi="Times New Roman" w:eastAsia="黑体" w:cs="宋体"/>
          <w:szCs w:val="20"/>
          <w:highlight w:val="none"/>
        </w:rPr>
        <w:t>14. 竣工结算</w:t>
      </w:r>
      <w:r>
        <w:tab/>
      </w:r>
      <w:r>
        <w:fldChar w:fldCharType="begin"/>
      </w:r>
      <w:r>
        <w:instrText xml:space="preserve"> PAGEREF _Toc7106 \h </w:instrText>
      </w:r>
      <w:r>
        <w:fldChar w:fldCharType="separate"/>
      </w:r>
      <w:r>
        <w:t>1</w:t>
      </w:r>
      <w:r>
        <w:fldChar w:fldCharType="end"/>
      </w:r>
      <w:r>
        <w:rPr>
          <w:bCs/>
          <w:color w:val="auto"/>
          <w:highlight w:val="none"/>
          <w:lang w:val="zh-CN"/>
        </w:rPr>
        <w:fldChar w:fldCharType="end"/>
      </w:r>
    </w:p>
    <w:p w14:paraId="7D466C9F">
      <w:pPr>
        <w:pStyle w:val="8"/>
        <w:tabs>
          <w:tab w:val="right" w:leader="dot" w:pos="8290"/>
        </w:tabs>
      </w:pPr>
      <w:r>
        <w:rPr>
          <w:bCs/>
          <w:color w:val="auto"/>
          <w:highlight w:val="none"/>
          <w:lang w:val="zh-CN"/>
        </w:rPr>
        <w:fldChar w:fldCharType="begin"/>
      </w:r>
      <w:r>
        <w:rPr>
          <w:bCs/>
          <w:highlight w:val="none"/>
          <w:lang w:val="zh-CN"/>
        </w:rPr>
        <w:instrText xml:space="preserve"> HYPERLINK \l _Toc10687 </w:instrText>
      </w:r>
      <w:r>
        <w:rPr>
          <w:bCs/>
          <w:highlight w:val="none"/>
          <w:lang w:val="zh-CN"/>
        </w:rPr>
        <w:fldChar w:fldCharType="separate"/>
      </w:r>
      <w:r>
        <w:rPr>
          <w:rFonts w:ascii="Times New Roman" w:hAnsi="Times New Roman" w:eastAsia="黑体" w:cs="宋体"/>
          <w:szCs w:val="20"/>
          <w:highlight w:val="none"/>
        </w:rPr>
        <w:t>14.1 竣工</w:t>
      </w:r>
      <w:r>
        <w:rPr>
          <w:rFonts w:hint="eastAsia" w:ascii="Times New Roman" w:hAnsi="Times New Roman" w:eastAsia="黑体" w:cs="宋体"/>
          <w:szCs w:val="20"/>
          <w:highlight w:val="none"/>
        </w:rPr>
        <w:t>结算</w:t>
      </w:r>
      <w:r>
        <w:rPr>
          <w:rFonts w:ascii="Times New Roman" w:hAnsi="Times New Roman" w:eastAsia="黑体" w:cs="宋体"/>
          <w:szCs w:val="20"/>
          <w:highlight w:val="none"/>
        </w:rPr>
        <w:t>申请</w:t>
      </w:r>
      <w:r>
        <w:tab/>
      </w:r>
      <w:r>
        <w:fldChar w:fldCharType="begin"/>
      </w:r>
      <w:r>
        <w:instrText xml:space="preserve"> PAGEREF _Toc10687 \h </w:instrText>
      </w:r>
      <w:r>
        <w:fldChar w:fldCharType="separate"/>
      </w:r>
      <w:r>
        <w:t>1</w:t>
      </w:r>
      <w:r>
        <w:fldChar w:fldCharType="end"/>
      </w:r>
      <w:r>
        <w:rPr>
          <w:bCs/>
          <w:color w:val="auto"/>
          <w:highlight w:val="none"/>
          <w:lang w:val="zh-CN"/>
        </w:rPr>
        <w:fldChar w:fldCharType="end"/>
      </w:r>
    </w:p>
    <w:p w14:paraId="772B1448">
      <w:pPr>
        <w:pStyle w:val="8"/>
        <w:tabs>
          <w:tab w:val="right" w:leader="dot" w:pos="8290"/>
        </w:tabs>
      </w:pPr>
      <w:r>
        <w:rPr>
          <w:bCs/>
          <w:color w:val="auto"/>
          <w:highlight w:val="none"/>
          <w:lang w:val="zh-CN"/>
        </w:rPr>
        <w:fldChar w:fldCharType="begin"/>
      </w:r>
      <w:r>
        <w:rPr>
          <w:bCs/>
          <w:highlight w:val="none"/>
          <w:lang w:val="zh-CN"/>
        </w:rPr>
        <w:instrText xml:space="preserve"> HYPERLINK \l _Toc10954 </w:instrText>
      </w:r>
      <w:r>
        <w:rPr>
          <w:bCs/>
          <w:highlight w:val="none"/>
          <w:lang w:val="zh-CN"/>
        </w:rPr>
        <w:fldChar w:fldCharType="separate"/>
      </w:r>
      <w:r>
        <w:rPr>
          <w:rFonts w:ascii="Times New Roman" w:hAnsi="Times New Roman" w:eastAsia="黑体" w:cs="宋体"/>
          <w:szCs w:val="20"/>
          <w:highlight w:val="none"/>
        </w:rPr>
        <w:t>14.2 竣工结算审核</w:t>
      </w:r>
      <w:r>
        <w:tab/>
      </w:r>
      <w:r>
        <w:fldChar w:fldCharType="begin"/>
      </w:r>
      <w:r>
        <w:instrText xml:space="preserve"> PAGEREF _Toc10954 \h </w:instrText>
      </w:r>
      <w:r>
        <w:fldChar w:fldCharType="separate"/>
      </w:r>
      <w:r>
        <w:t>1</w:t>
      </w:r>
      <w:r>
        <w:fldChar w:fldCharType="end"/>
      </w:r>
      <w:r>
        <w:rPr>
          <w:bCs/>
          <w:color w:val="auto"/>
          <w:highlight w:val="none"/>
          <w:lang w:val="zh-CN"/>
        </w:rPr>
        <w:fldChar w:fldCharType="end"/>
      </w:r>
    </w:p>
    <w:p w14:paraId="48713703">
      <w:pPr>
        <w:pStyle w:val="8"/>
        <w:tabs>
          <w:tab w:val="right" w:leader="dot" w:pos="8290"/>
        </w:tabs>
      </w:pPr>
      <w:r>
        <w:rPr>
          <w:bCs/>
          <w:color w:val="auto"/>
          <w:highlight w:val="none"/>
          <w:lang w:val="zh-CN"/>
        </w:rPr>
        <w:fldChar w:fldCharType="begin"/>
      </w:r>
      <w:r>
        <w:rPr>
          <w:bCs/>
          <w:highlight w:val="none"/>
          <w:lang w:val="zh-CN"/>
        </w:rPr>
        <w:instrText xml:space="preserve"> HYPERLINK \l _Toc20628 </w:instrText>
      </w:r>
      <w:r>
        <w:rPr>
          <w:bCs/>
          <w:highlight w:val="none"/>
          <w:lang w:val="zh-CN"/>
        </w:rPr>
        <w:fldChar w:fldCharType="separate"/>
      </w:r>
      <w:r>
        <w:rPr>
          <w:rFonts w:ascii="Times New Roman" w:hAnsi="Times New Roman" w:eastAsia="黑体" w:cs="宋体"/>
          <w:szCs w:val="20"/>
          <w:highlight w:val="none"/>
        </w:rPr>
        <w:t>14.4 最终结清</w:t>
      </w:r>
      <w:r>
        <w:tab/>
      </w:r>
      <w:r>
        <w:fldChar w:fldCharType="begin"/>
      </w:r>
      <w:r>
        <w:instrText xml:space="preserve"> PAGEREF _Toc20628 \h </w:instrText>
      </w:r>
      <w:r>
        <w:fldChar w:fldCharType="separate"/>
      </w:r>
      <w:r>
        <w:t>1</w:t>
      </w:r>
      <w:r>
        <w:fldChar w:fldCharType="end"/>
      </w:r>
      <w:r>
        <w:rPr>
          <w:bCs/>
          <w:color w:val="auto"/>
          <w:highlight w:val="none"/>
          <w:lang w:val="zh-CN"/>
        </w:rPr>
        <w:fldChar w:fldCharType="end"/>
      </w:r>
    </w:p>
    <w:p w14:paraId="2F96C624">
      <w:pPr>
        <w:pStyle w:val="13"/>
        <w:tabs>
          <w:tab w:val="right" w:leader="dot" w:pos="8290"/>
        </w:tabs>
      </w:pPr>
      <w:r>
        <w:rPr>
          <w:bCs/>
          <w:color w:val="auto"/>
          <w:highlight w:val="none"/>
          <w:lang w:val="zh-CN"/>
        </w:rPr>
        <w:fldChar w:fldCharType="begin"/>
      </w:r>
      <w:r>
        <w:rPr>
          <w:bCs/>
          <w:highlight w:val="none"/>
          <w:lang w:val="zh-CN"/>
        </w:rPr>
        <w:instrText xml:space="preserve"> HYPERLINK \l _Toc9892 </w:instrText>
      </w:r>
      <w:r>
        <w:rPr>
          <w:bCs/>
          <w:highlight w:val="none"/>
          <w:lang w:val="zh-CN"/>
        </w:rPr>
        <w:fldChar w:fldCharType="separate"/>
      </w:r>
      <w:r>
        <w:rPr>
          <w:rFonts w:ascii="Times New Roman" w:hAnsi="Times New Roman" w:eastAsia="黑体" w:cs="宋体"/>
          <w:szCs w:val="20"/>
          <w:highlight w:val="none"/>
        </w:rPr>
        <w:t>15. 缺陷责任期与保修</w:t>
      </w:r>
      <w:r>
        <w:tab/>
      </w:r>
      <w:r>
        <w:fldChar w:fldCharType="begin"/>
      </w:r>
      <w:r>
        <w:instrText xml:space="preserve"> PAGEREF _Toc9892 \h </w:instrText>
      </w:r>
      <w:r>
        <w:fldChar w:fldCharType="separate"/>
      </w:r>
      <w:r>
        <w:t>1</w:t>
      </w:r>
      <w:r>
        <w:fldChar w:fldCharType="end"/>
      </w:r>
      <w:r>
        <w:rPr>
          <w:bCs/>
          <w:color w:val="auto"/>
          <w:highlight w:val="none"/>
          <w:lang w:val="zh-CN"/>
        </w:rPr>
        <w:fldChar w:fldCharType="end"/>
      </w:r>
    </w:p>
    <w:p w14:paraId="1941D1A6">
      <w:pPr>
        <w:pStyle w:val="8"/>
        <w:tabs>
          <w:tab w:val="right" w:leader="dot" w:pos="8290"/>
        </w:tabs>
      </w:pPr>
      <w:r>
        <w:rPr>
          <w:bCs/>
          <w:color w:val="auto"/>
          <w:highlight w:val="none"/>
          <w:lang w:val="zh-CN"/>
        </w:rPr>
        <w:fldChar w:fldCharType="begin"/>
      </w:r>
      <w:r>
        <w:rPr>
          <w:bCs/>
          <w:highlight w:val="none"/>
          <w:lang w:val="zh-CN"/>
        </w:rPr>
        <w:instrText xml:space="preserve"> HYPERLINK \l _Toc18325 </w:instrText>
      </w:r>
      <w:r>
        <w:rPr>
          <w:bCs/>
          <w:highlight w:val="none"/>
          <w:lang w:val="zh-CN"/>
        </w:rPr>
        <w:fldChar w:fldCharType="separate"/>
      </w:r>
      <w:r>
        <w:rPr>
          <w:rFonts w:ascii="Times New Roman" w:hAnsi="Times New Roman" w:eastAsia="黑体" w:cs="宋体"/>
          <w:szCs w:val="20"/>
          <w:highlight w:val="none"/>
        </w:rPr>
        <w:t>15.2缺陷责任期</w:t>
      </w:r>
      <w:r>
        <w:tab/>
      </w:r>
      <w:r>
        <w:fldChar w:fldCharType="begin"/>
      </w:r>
      <w:r>
        <w:instrText xml:space="preserve"> PAGEREF _Toc18325 \h </w:instrText>
      </w:r>
      <w:r>
        <w:fldChar w:fldCharType="separate"/>
      </w:r>
      <w:r>
        <w:t>1</w:t>
      </w:r>
      <w:r>
        <w:fldChar w:fldCharType="end"/>
      </w:r>
      <w:r>
        <w:rPr>
          <w:bCs/>
          <w:color w:val="auto"/>
          <w:highlight w:val="none"/>
          <w:lang w:val="zh-CN"/>
        </w:rPr>
        <w:fldChar w:fldCharType="end"/>
      </w:r>
    </w:p>
    <w:p w14:paraId="749A8E7D">
      <w:pPr>
        <w:pStyle w:val="8"/>
        <w:tabs>
          <w:tab w:val="right" w:leader="dot" w:pos="8290"/>
        </w:tabs>
      </w:pPr>
      <w:r>
        <w:rPr>
          <w:bCs/>
          <w:color w:val="auto"/>
          <w:highlight w:val="none"/>
          <w:lang w:val="zh-CN"/>
        </w:rPr>
        <w:fldChar w:fldCharType="begin"/>
      </w:r>
      <w:r>
        <w:rPr>
          <w:bCs/>
          <w:highlight w:val="none"/>
          <w:lang w:val="zh-CN"/>
        </w:rPr>
        <w:instrText xml:space="preserve"> HYPERLINK \l _Toc20239 </w:instrText>
      </w:r>
      <w:r>
        <w:rPr>
          <w:bCs/>
          <w:highlight w:val="none"/>
          <w:lang w:val="zh-CN"/>
        </w:rPr>
        <w:fldChar w:fldCharType="separate"/>
      </w:r>
      <w:r>
        <w:rPr>
          <w:rFonts w:ascii="Times New Roman" w:hAnsi="Times New Roman" w:eastAsia="黑体" w:cs="宋体"/>
          <w:szCs w:val="20"/>
          <w:highlight w:val="none"/>
        </w:rPr>
        <w:t>15.3 质量保证金</w:t>
      </w:r>
      <w:r>
        <w:tab/>
      </w:r>
      <w:r>
        <w:fldChar w:fldCharType="begin"/>
      </w:r>
      <w:r>
        <w:instrText xml:space="preserve"> PAGEREF _Toc20239 \h </w:instrText>
      </w:r>
      <w:r>
        <w:fldChar w:fldCharType="separate"/>
      </w:r>
      <w:r>
        <w:t>1</w:t>
      </w:r>
      <w:r>
        <w:fldChar w:fldCharType="end"/>
      </w:r>
      <w:r>
        <w:rPr>
          <w:bCs/>
          <w:color w:val="auto"/>
          <w:highlight w:val="none"/>
          <w:lang w:val="zh-CN"/>
        </w:rPr>
        <w:fldChar w:fldCharType="end"/>
      </w:r>
    </w:p>
    <w:p w14:paraId="1FC22006">
      <w:pPr>
        <w:pStyle w:val="8"/>
        <w:tabs>
          <w:tab w:val="right" w:leader="dot" w:pos="8290"/>
        </w:tabs>
      </w:pPr>
      <w:r>
        <w:rPr>
          <w:bCs/>
          <w:color w:val="auto"/>
          <w:highlight w:val="none"/>
          <w:lang w:val="zh-CN"/>
        </w:rPr>
        <w:fldChar w:fldCharType="begin"/>
      </w:r>
      <w:r>
        <w:rPr>
          <w:bCs/>
          <w:highlight w:val="none"/>
          <w:lang w:val="zh-CN"/>
        </w:rPr>
        <w:instrText xml:space="preserve"> HYPERLINK \l _Toc16044 </w:instrText>
      </w:r>
      <w:r>
        <w:rPr>
          <w:bCs/>
          <w:highlight w:val="none"/>
          <w:lang w:val="zh-CN"/>
        </w:rPr>
        <w:fldChar w:fldCharType="separate"/>
      </w:r>
      <w:r>
        <w:rPr>
          <w:rFonts w:ascii="Times New Roman" w:hAnsi="Times New Roman" w:eastAsia="黑体" w:cs="宋体"/>
          <w:szCs w:val="20"/>
          <w:highlight w:val="none"/>
        </w:rPr>
        <w:t>15.4保修</w:t>
      </w:r>
      <w:r>
        <w:tab/>
      </w:r>
      <w:r>
        <w:fldChar w:fldCharType="begin"/>
      </w:r>
      <w:r>
        <w:instrText xml:space="preserve"> PAGEREF _Toc16044 \h </w:instrText>
      </w:r>
      <w:r>
        <w:fldChar w:fldCharType="separate"/>
      </w:r>
      <w:r>
        <w:t>1</w:t>
      </w:r>
      <w:r>
        <w:fldChar w:fldCharType="end"/>
      </w:r>
      <w:r>
        <w:rPr>
          <w:bCs/>
          <w:color w:val="auto"/>
          <w:highlight w:val="none"/>
          <w:lang w:val="zh-CN"/>
        </w:rPr>
        <w:fldChar w:fldCharType="end"/>
      </w:r>
    </w:p>
    <w:p w14:paraId="1117594A">
      <w:pPr>
        <w:pStyle w:val="13"/>
        <w:tabs>
          <w:tab w:val="right" w:leader="dot" w:pos="8290"/>
        </w:tabs>
      </w:pPr>
      <w:r>
        <w:rPr>
          <w:bCs/>
          <w:color w:val="auto"/>
          <w:highlight w:val="none"/>
          <w:lang w:val="zh-CN"/>
        </w:rPr>
        <w:fldChar w:fldCharType="begin"/>
      </w:r>
      <w:r>
        <w:rPr>
          <w:bCs/>
          <w:highlight w:val="none"/>
          <w:lang w:val="zh-CN"/>
        </w:rPr>
        <w:instrText xml:space="preserve"> HYPERLINK \l _Toc20199 </w:instrText>
      </w:r>
      <w:r>
        <w:rPr>
          <w:bCs/>
          <w:highlight w:val="none"/>
          <w:lang w:val="zh-CN"/>
        </w:rPr>
        <w:fldChar w:fldCharType="separate"/>
      </w:r>
      <w:r>
        <w:rPr>
          <w:rFonts w:ascii="Times New Roman" w:hAnsi="Times New Roman" w:eastAsia="黑体" w:cs="宋体"/>
          <w:szCs w:val="20"/>
          <w:highlight w:val="none"/>
        </w:rPr>
        <w:t>16. 违约</w:t>
      </w:r>
      <w:r>
        <w:tab/>
      </w:r>
      <w:r>
        <w:fldChar w:fldCharType="begin"/>
      </w:r>
      <w:r>
        <w:instrText xml:space="preserve"> PAGEREF _Toc20199 \h </w:instrText>
      </w:r>
      <w:r>
        <w:fldChar w:fldCharType="separate"/>
      </w:r>
      <w:r>
        <w:t>1</w:t>
      </w:r>
      <w:r>
        <w:fldChar w:fldCharType="end"/>
      </w:r>
      <w:r>
        <w:rPr>
          <w:bCs/>
          <w:color w:val="auto"/>
          <w:highlight w:val="none"/>
          <w:lang w:val="zh-CN"/>
        </w:rPr>
        <w:fldChar w:fldCharType="end"/>
      </w:r>
    </w:p>
    <w:p w14:paraId="73DAAD62">
      <w:pPr>
        <w:pStyle w:val="8"/>
        <w:tabs>
          <w:tab w:val="right" w:leader="dot" w:pos="8290"/>
        </w:tabs>
      </w:pPr>
      <w:r>
        <w:rPr>
          <w:bCs/>
          <w:color w:val="auto"/>
          <w:highlight w:val="none"/>
          <w:lang w:val="zh-CN"/>
        </w:rPr>
        <w:fldChar w:fldCharType="begin"/>
      </w:r>
      <w:r>
        <w:rPr>
          <w:bCs/>
          <w:highlight w:val="none"/>
          <w:lang w:val="zh-CN"/>
        </w:rPr>
        <w:instrText xml:space="preserve"> HYPERLINK \l _Toc28021 </w:instrText>
      </w:r>
      <w:r>
        <w:rPr>
          <w:bCs/>
          <w:highlight w:val="none"/>
          <w:lang w:val="zh-CN"/>
        </w:rPr>
        <w:fldChar w:fldCharType="separate"/>
      </w:r>
      <w:r>
        <w:rPr>
          <w:rFonts w:ascii="Times New Roman" w:hAnsi="Times New Roman" w:eastAsia="黑体" w:cs="宋体"/>
          <w:szCs w:val="20"/>
          <w:highlight w:val="none"/>
        </w:rPr>
        <w:t>16.1 发包人违约</w:t>
      </w:r>
      <w:r>
        <w:tab/>
      </w:r>
      <w:r>
        <w:fldChar w:fldCharType="begin"/>
      </w:r>
      <w:r>
        <w:instrText xml:space="preserve"> PAGEREF _Toc28021 \h </w:instrText>
      </w:r>
      <w:r>
        <w:fldChar w:fldCharType="separate"/>
      </w:r>
      <w:r>
        <w:t>1</w:t>
      </w:r>
      <w:r>
        <w:fldChar w:fldCharType="end"/>
      </w:r>
      <w:r>
        <w:rPr>
          <w:bCs/>
          <w:color w:val="auto"/>
          <w:highlight w:val="none"/>
          <w:lang w:val="zh-CN"/>
        </w:rPr>
        <w:fldChar w:fldCharType="end"/>
      </w:r>
    </w:p>
    <w:p w14:paraId="7751EA88">
      <w:pPr>
        <w:pStyle w:val="8"/>
        <w:tabs>
          <w:tab w:val="right" w:leader="dot" w:pos="8290"/>
        </w:tabs>
      </w:pPr>
      <w:r>
        <w:rPr>
          <w:bCs/>
          <w:color w:val="auto"/>
          <w:highlight w:val="none"/>
          <w:lang w:val="zh-CN"/>
        </w:rPr>
        <w:fldChar w:fldCharType="begin"/>
      </w:r>
      <w:r>
        <w:rPr>
          <w:bCs/>
          <w:highlight w:val="none"/>
          <w:lang w:val="zh-CN"/>
        </w:rPr>
        <w:instrText xml:space="preserve"> HYPERLINK \l _Toc7870 </w:instrText>
      </w:r>
      <w:r>
        <w:rPr>
          <w:bCs/>
          <w:highlight w:val="none"/>
          <w:lang w:val="zh-CN"/>
        </w:rPr>
        <w:fldChar w:fldCharType="separate"/>
      </w:r>
      <w:r>
        <w:rPr>
          <w:rFonts w:ascii="Times New Roman" w:hAnsi="Times New Roman" w:eastAsia="黑体" w:cs="宋体"/>
          <w:szCs w:val="20"/>
          <w:highlight w:val="none"/>
        </w:rPr>
        <w:t>16.2 承包人违约</w:t>
      </w:r>
      <w:r>
        <w:tab/>
      </w:r>
      <w:r>
        <w:fldChar w:fldCharType="begin"/>
      </w:r>
      <w:r>
        <w:instrText xml:space="preserve"> PAGEREF _Toc7870 \h </w:instrText>
      </w:r>
      <w:r>
        <w:fldChar w:fldCharType="separate"/>
      </w:r>
      <w:r>
        <w:t>1</w:t>
      </w:r>
      <w:r>
        <w:fldChar w:fldCharType="end"/>
      </w:r>
      <w:r>
        <w:rPr>
          <w:bCs/>
          <w:color w:val="auto"/>
          <w:highlight w:val="none"/>
          <w:lang w:val="zh-CN"/>
        </w:rPr>
        <w:fldChar w:fldCharType="end"/>
      </w:r>
    </w:p>
    <w:p w14:paraId="4DC97D00">
      <w:pPr>
        <w:pStyle w:val="13"/>
        <w:tabs>
          <w:tab w:val="right" w:leader="dot" w:pos="8290"/>
        </w:tabs>
      </w:pPr>
      <w:r>
        <w:rPr>
          <w:bCs/>
          <w:color w:val="auto"/>
          <w:highlight w:val="none"/>
          <w:lang w:val="zh-CN"/>
        </w:rPr>
        <w:fldChar w:fldCharType="begin"/>
      </w:r>
      <w:r>
        <w:rPr>
          <w:bCs/>
          <w:highlight w:val="none"/>
          <w:lang w:val="zh-CN"/>
        </w:rPr>
        <w:instrText xml:space="preserve"> HYPERLINK \l _Toc13303 </w:instrText>
      </w:r>
      <w:r>
        <w:rPr>
          <w:bCs/>
          <w:highlight w:val="none"/>
          <w:lang w:val="zh-CN"/>
        </w:rPr>
        <w:fldChar w:fldCharType="separate"/>
      </w:r>
      <w:r>
        <w:rPr>
          <w:rFonts w:ascii="Times New Roman" w:hAnsi="Times New Roman" w:eastAsia="黑体" w:cs="宋体"/>
          <w:szCs w:val="20"/>
          <w:highlight w:val="none"/>
        </w:rPr>
        <w:t>17. 不可抗力</w:t>
      </w:r>
      <w:r>
        <w:tab/>
      </w:r>
      <w:r>
        <w:fldChar w:fldCharType="begin"/>
      </w:r>
      <w:r>
        <w:instrText xml:space="preserve"> PAGEREF _Toc13303 \h </w:instrText>
      </w:r>
      <w:r>
        <w:fldChar w:fldCharType="separate"/>
      </w:r>
      <w:r>
        <w:t>1</w:t>
      </w:r>
      <w:r>
        <w:fldChar w:fldCharType="end"/>
      </w:r>
      <w:r>
        <w:rPr>
          <w:bCs/>
          <w:color w:val="auto"/>
          <w:highlight w:val="none"/>
          <w:lang w:val="zh-CN"/>
        </w:rPr>
        <w:fldChar w:fldCharType="end"/>
      </w:r>
    </w:p>
    <w:p w14:paraId="008778FD">
      <w:pPr>
        <w:pStyle w:val="8"/>
        <w:tabs>
          <w:tab w:val="right" w:leader="dot" w:pos="8290"/>
        </w:tabs>
      </w:pPr>
      <w:r>
        <w:rPr>
          <w:bCs/>
          <w:color w:val="auto"/>
          <w:highlight w:val="none"/>
          <w:lang w:val="zh-CN"/>
        </w:rPr>
        <w:fldChar w:fldCharType="begin"/>
      </w:r>
      <w:r>
        <w:rPr>
          <w:bCs/>
          <w:highlight w:val="none"/>
          <w:lang w:val="zh-CN"/>
        </w:rPr>
        <w:instrText xml:space="preserve"> HYPERLINK \l _Toc18746 </w:instrText>
      </w:r>
      <w:r>
        <w:rPr>
          <w:bCs/>
          <w:highlight w:val="none"/>
          <w:lang w:val="zh-CN"/>
        </w:rPr>
        <w:fldChar w:fldCharType="separate"/>
      </w:r>
      <w:r>
        <w:rPr>
          <w:rFonts w:ascii="Times New Roman" w:hAnsi="Times New Roman" w:eastAsia="黑体" w:cs="宋体"/>
          <w:szCs w:val="20"/>
          <w:highlight w:val="none"/>
        </w:rPr>
        <w:t>17.1 不可抗力的确认</w:t>
      </w:r>
      <w:r>
        <w:tab/>
      </w:r>
      <w:r>
        <w:fldChar w:fldCharType="begin"/>
      </w:r>
      <w:r>
        <w:instrText xml:space="preserve"> PAGEREF _Toc18746 \h </w:instrText>
      </w:r>
      <w:r>
        <w:fldChar w:fldCharType="separate"/>
      </w:r>
      <w:r>
        <w:t>1</w:t>
      </w:r>
      <w:r>
        <w:fldChar w:fldCharType="end"/>
      </w:r>
      <w:r>
        <w:rPr>
          <w:bCs/>
          <w:color w:val="auto"/>
          <w:highlight w:val="none"/>
          <w:lang w:val="zh-CN"/>
        </w:rPr>
        <w:fldChar w:fldCharType="end"/>
      </w:r>
    </w:p>
    <w:p w14:paraId="4A1F1068">
      <w:pPr>
        <w:pStyle w:val="8"/>
        <w:tabs>
          <w:tab w:val="right" w:leader="dot" w:pos="8290"/>
        </w:tabs>
      </w:pPr>
      <w:r>
        <w:rPr>
          <w:bCs/>
          <w:color w:val="auto"/>
          <w:highlight w:val="none"/>
          <w:lang w:val="zh-CN"/>
        </w:rPr>
        <w:fldChar w:fldCharType="begin"/>
      </w:r>
      <w:r>
        <w:rPr>
          <w:bCs/>
          <w:highlight w:val="none"/>
          <w:lang w:val="zh-CN"/>
        </w:rPr>
        <w:instrText xml:space="preserve"> HYPERLINK \l _Toc23066 </w:instrText>
      </w:r>
      <w:r>
        <w:rPr>
          <w:bCs/>
          <w:highlight w:val="none"/>
          <w:lang w:val="zh-CN"/>
        </w:rPr>
        <w:fldChar w:fldCharType="separate"/>
      </w:r>
      <w:r>
        <w:rPr>
          <w:rFonts w:ascii="Times New Roman" w:hAnsi="Times New Roman" w:eastAsia="黑体" w:cs="宋体"/>
          <w:szCs w:val="20"/>
          <w:highlight w:val="none"/>
        </w:rPr>
        <w:t>17.4 因不可抗力解除合同</w:t>
      </w:r>
      <w:r>
        <w:tab/>
      </w:r>
      <w:r>
        <w:fldChar w:fldCharType="begin"/>
      </w:r>
      <w:r>
        <w:instrText xml:space="preserve"> PAGEREF _Toc23066 \h </w:instrText>
      </w:r>
      <w:r>
        <w:fldChar w:fldCharType="separate"/>
      </w:r>
      <w:r>
        <w:t>1</w:t>
      </w:r>
      <w:r>
        <w:fldChar w:fldCharType="end"/>
      </w:r>
      <w:r>
        <w:rPr>
          <w:bCs/>
          <w:color w:val="auto"/>
          <w:highlight w:val="none"/>
          <w:lang w:val="zh-CN"/>
        </w:rPr>
        <w:fldChar w:fldCharType="end"/>
      </w:r>
    </w:p>
    <w:p w14:paraId="6B62239B">
      <w:pPr>
        <w:pStyle w:val="13"/>
        <w:tabs>
          <w:tab w:val="right" w:leader="dot" w:pos="8290"/>
        </w:tabs>
      </w:pPr>
      <w:r>
        <w:rPr>
          <w:bCs/>
          <w:color w:val="auto"/>
          <w:highlight w:val="none"/>
          <w:lang w:val="zh-CN"/>
        </w:rPr>
        <w:fldChar w:fldCharType="begin"/>
      </w:r>
      <w:r>
        <w:rPr>
          <w:bCs/>
          <w:highlight w:val="none"/>
          <w:lang w:val="zh-CN"/>
        </w:rPr>
        <w:instrText xml:space="preserve"> HYPERLINK \l _Toc1840 </w:instrText>
      </w:r>
      <w:r>
        <w:rPr>
          <w:bCs/>
          <w:highlight w:val="none"/>
          <w:lang w:val="zh-CN"/>
        </w:rPr>
        <w:fldChar w:fldCharType="separate"/>
      </w:r>
      <w:r>
        <w:rPr>
          <w:rFonts w:ascii="Times New Roman" w:hAnsi="Times New Roman" w:eastAsia="黑体" w:cs="宋体"/>
          <w:szCs w:val="20"/>
          <w:highlight w:val="none"/>
        </w:rPr>
        <w:t>18. 保险</w:t>
      </w:r>
      <w:r>
        <w:tab/>
      </w:r>
      <w:r>
        <w:fldChar w:fldCharType="begin"/>
      </w:r>
      <w:r>
        <w:instrText xml:space="preserve"> PAGEREF _Toc1840 \h </w:instrText>
      </w:r>
      <w:r>
        <w:fldChar w:fldCharType="separate"/>
      </w:r>
      <w:r>
        <w:t>1</w:t>
      </w:r>
      <w:r>
        <w:fldChar w:fldCharType="end"/>
      </w:r>
      <w:r>
        <w:rPr>
          <w:bCs/>
          <w:color w:val="auto"/>
          <w:highlight w:val="none"/>
          <w:lang w:val="zh-CN"/>
        </w:rPr>
        <w:fldChar w:fldCharType="end"/>
      </w:r>
    </w:p>
    <w:p w14:paraId="720616C3">
      <w:pPr>
        <w:pStyle w:val="8"/>
        <w:tabs>
          <w:tab w:val="right" w:leader="dot" w:pos="8290"/>
        </w:tabs>
      </w:pPr>
      <w:r>
        <w:rPr>
          <w:bCs/>
          <w:color w:val="auto"/>
          <w:highlight w:val="none"/>
          <w:lang w:val="zh-CN"/>
        </w:rPr>
        <w:fldChar w:fldCharType="begin"/>
      </w:r>
      <w:r>
        <w:rPr>
          <w:bCs/>
          <w:highlight w:val="none"/>
          <w:lang w:val="zh-CN"/>
        </w:rPr>
        <w:instrText xml:space="preserve"> HYPERLINK \l _Toc11197 </w:instrText>
      </w:r>
      <w:r>
        <w:rPr>
          <w:bCs/>
          <w:highlight w:val="none"/>
          <w:lang w:val="zh-CN"/>
        </w:rPr>
        <w:fldChar w:fldCharType="separate"/>
      </w:r>
      <w:r>
        <w:rPr>
          <w:rFonts w:ascii="Times New Roman" w:hAnsi="Times New Roman" w:eastAsia="黑体" w:cs="宋体"/>
          <w:szCs w:val="20"/>
          <w:highlight w:val="none"/>
        </w:rPr>
        <w:t>18.1 工程保险</w:t>
      </w:r>
      <w:r>
        <w:tab/>
      </w:r>
      <w:r>
        <w:fldChar w:fldCharType="begin"/>
      </w:r>
      <w:r>
        <w:instrText xml:space="preserve"> PAGEREF _Toc11197 \h </w:instrText>
      </w:r>
      <w:r>
        <w:fldChar w:fldCharType="separate"/>
      </w:r>
      <w:r>
        <w:t>1</w:t>
      </w:r>
      <w:r>
        <w:fldChar w:fldCharType="end"/>
      </w:r>
      <w:r>
        <w:rPr>
          <w:bCs/>
          <w:color w:val="auto"/>
          <w:highlight w:val="none"/>
          <w:lang w:val="zh-CN"/>
        </w:rPr>
        <w:fldChar w:fldCharType="end"/>
      </w:r>
    </w:p>
    <w:p w14:paraId="0394383E">
      <w:pPr>
        <w:pStyle w:val="8"/>
        <w:tabs>
          <w:tab w:val="right" w:leader="dot" w:pos="8290"/>
        </w:tabs>
      </w:pPr>
      <w:r>
        <w:rPr>
          <w:bCs/>
          <w:color w:val="auto"/>
          <w:highlight w:val="none"/>
          <w:lang w:val="zh-CN"/>
        </w:rPr>
        <w:fldChar w:fldCharType="begin"/>
      </w:r>
      <w:r>
        <w:rPr>
          <w:bCs/>
          <w:highlight w:val="none"/>
          <w:lang w:val="zh-CN"/>
        </w:rPr>
        <w:instrText xml:space="preserve"> HYPERLINK \l _Toc6619 </w:instrText>
      </w:r>
      <w:r>
        <w:rPr>
          <w:bCs/>
          <w:highlight w:val="none"/>
          <w:lang w:val="zh-CN"/>
        </w:rPr>
        <w:fldChar w:fldCharType="separate"/>
      </w:r>
      <w:r>
        <w:rPr>
          <w:rFonts w:ascii="Times New Roman" w:hAnsi="Times New Roman" w:eastAsia="黑体" w:cs="宋体"/>
          <w:szCs w:val="20"/>
          <w:highlight w:val="none"/>
        </w:rPr>
        <w:t>18.3 其他保险</w:t>
      </w:r>
      <w:r>
        <w:tab/>
      </w:r>
      <w:r>
        <w:fldChar w:fldCharType="begin"/>
      </w:r>
      <w:r>
        <w:instrText xml:space="preserve"> PAGEREF _Toc6619 \h </w:instrText>
      </w:r>
      <w:r>
        <w:fldChar w:fldCharType="separate"/>
      </w:r>
      <w:r>
        <w:t>1</w:t>
      </w:r>
      <w:r>
        <w:fldChar w:fldCharType="end"/>
      </w:r>
      <w:r>
        <w:rPr>
          <w:bCs/>
          <w:color w:val="auto"/>
          <w:highlight w:val="none"/>
          <w:lang w:val="zh-CN"/>
        </w:rPr>
        <w:fldChar w:fldCharType="end"/>
      </w:r>
    </w:p>
    <w:p w14:paraId="3ED2BC48">
      <w:pPr>
        <w:pStyle w:val="8"/>
        <w:tabs>
          <w:tab w:val="right" w:leader="dot" w:pos="8290"/>
        </w:tabs>
      </w:pPr>
      <w:r>
        <w:rPr>
          <w:bCs/>
          <w:color w:val="auto"/>
          <w:highlight w:val="none"/>
          <w:lang w:val="zh-CN"/>
        </w:rPr>
        <w:fldChar w:fldCharType="begin"/>
      </w:r>
      <w:r>
        <w:rPr>
          <w:bCs/>
          <w:highlight w:val="none"/>
          <w:lang w:val="zh-CN"/>
        </w:rPr>
        <w:instrText xml:space="preserve"> HYPERLINK \l _Toc24222 </w:instrText>
      </w:r>
      <w:r>
        <w:rPr>
          <w:bCs/>
          <w:highlight w:val="none"/>
          <w:lang w:val="zh-CN"/>
        </w:rPr>
        <w:fldChar w:fldCharType="separate"/>
      </w:r>
      <w:r>
        <w:rPr>
          <w:rFonts w:ascii="Times New Roman" w:hAnsi="Times New Roman" w:eastAsia="黑体" w:cs="宋体"/>
          <w:szCs w:val="20"/>
          <w:highlight w:val="none"/>
        </w:rPr>
        <w:t>18.7 通知义务</w:t>
      </w:r>
      <w:r>
        <w:tab/>
      </w:r>
      <w:r>
        <w:fldChar w:fldCharType="begin"/>
      </w:r>
      <w:r>
        <w:instrText xml:space="preserve"> PAGEREF _Toc24222 \h </w:instrText>
      </w:r>
      <w:r>
        <w:fldChar w:fldCharType="separate"/>
      </w:r>
      <w:r>
        <w:t>1</w:t>
      </w:r>
      <w:r>
        <w:fldChar w:fldCharType="end"/>
      </w:r>
      <w:r>
        <w:rPr>
          <w:bCs/>
          <w:color w:val="auto"/>
          <w:highlight w:val="none"/>
          <w:lang w:val="zh-CN"/>
        </w:rPr>
        <w:fldChar w:fldCharType="end"/>
      </w:r>
    </w:p>
    <w:p w14:paraId="4D427980">
      <w:pPr>
        <w:pStyle w:val="13"/>
        <w:tabs>
          <w:tab w:val="right" w:leader="dot" w:pos="8290"/>
        </w:tabs>
      </w:pPr>
      <w:r>
        <w:rPr>
          <w:bCs/>
          <w:color w:val="auto"/>
          <w:highlight w:val="none"/>
          <w:lang w:val="zh-CN"/>
        </w:rPr>
        <w:fldChar w:fldCharType="begin"/>
      </w:r>
      <w:r>
        <w:rPr>
          <w:bCs/>
          <w:highlight w:val="none"/>
          <w:lang w:val="zh-CN"/>
        </w:rPr>
        <w:instrText xml:space="preserve"> HYPERLINK \l _Toc15274 </w:instrText>
      </w:r>
      <w:r>
        <w:rPr>
          <w:bCs/>
          <w:highlight w:val="none"/>
          <w:lang w:val="zh-CN"/>
        </w:rPr>
        <w:fldChar w:fldCharType="separate"/>
      </w:r>
      <w:r>
        <w:rPr>
          <w:rFonts w:ascii="Times New Roman" w:hAnsi="Times New Roman" w:eastAsia="黑体" w:cs="宋体"/>
          <w:szCs w:val="20"/>
          <w:highlight w:val="none"/>
        </w:rPr>
        <w:t>20. 争议解决</w:t>
      </w:r>
      <w:r>
        <w:tab/>
      </w:r>
      <w:r>
        <w:fldChar w:fldCharType="begin"/>
      </w:r>
      <w:r>
        <w:instrText xml:space="preserve"> PAGEREF _Toc15274 \h </w:instrText>
      </w:r>
      <w:r>
        <w:fldChar w:fldCharType="separate"/>
      </w:r>
      <w:r>
        <w:t>1</w:t>
      </w:r>
      <w:r>
        <w:fldChar w:fldCharType="end"/>
      </w:r>
      <w:r>
        <w:rPr>
          <w:bCs/>
          <w:color w:val="auto"/>
          <w:highlight w:val="none"/>
          <w:lang w:val="zh-CN"/>
        </w:rPr>
        <w:fldChar w:fldCharType="end"/>
      </w:r>
    </w:p>
    <w:p w14:paraId="501A66F8">
      <w:pPr>
        <w:pStyle w:val="8"/>
        <w:tabs>
          <w:tab w:val="right" w:leader="dot" w:pos="8290"/>
        </w:tabs>
      </w:pPr>
      <w:r>
        <w:rPr>
          <w:bCs/>
          <w:color w:val="auto"/>
          <w:highlight w:val="none"/>
          <w:lang w:val="zh-CN"/>
        </w:rPr>
        <w:fldChar w:fldCharType="begin"/>
      </w:r>
      <w:r>
        <w:rPr>
          <w:bCs/>
          <w:highlight w:val="none"/>
          <w:lang w:val="zh-CN"/>
        </w:rPr>
        <w:instrText xml:space="preserve"> HYPERLINK \l _Toc22648 </w:instrText>
      </w:r>
      <w:r>
        <w:rPr>
          <w:bCs/>
          <w:highlight w:val="none"/>
          <w:lang w:val="zh-CN"/>
        </w:rPr>
        <w:fldChar w:fldCharType="separate"/>
      </w:r>
      <w:r>
        <w:rPr>
          <w:rFonts w:ascii="Times New Roman" w:hAnsi="Times New Roman" w:eastAsia="黑体" w:cs="宋体"/>
          <w:szCs w:val="20"/>
          <w:highlight w:val="none"/>
        </w:rPr>
        <w:t>20.3 争议评审</w:t>
      </w:r>
      <w:r>
        <w:tab/>
      </w:r>
      <w:r>
        <w:fldChar w:fldCharType="begin"/>
      </w:r>
      <w:r>
        <w:instrText xml:space="preserve"> PAGEREF _Toc22648 \h </w:instrText>
      </w:r>
      <w:r>
        <w:fldChar w:fldCharType="separate"/>
      </w:r>
      <w:r>
        <w:t>1</w:t>
      </w:r>
      <w:r>
        <w:fldChar w:fldCharType="end"/>
      </w:r>
      <w:r>
        <w:rPr>
          <w:bCs/>
          <w:color w:val="auto"/>
          <w:highlight w:val="none"/>
          <w:lang w:val="zh-CN"/>
        </w:rPr>
        <w:fldChar w:fldCharType="end"/>
      </w:r>
    </w:p>
    <w:p w14:paraId="1D9E14F8">
      <w:pPr>
        <w:pStyle w:val="8"/>
        <w:tabs>
          <w:tab w:val="right" w:leader="dot" w:pos="8290"/>
        </w:tabs>
      </w:pPr>
      <w:r>
        <w:rPr>
          <w:bCs/>
          <w:color w:val="auto"/>
          <w:highlight w:val="none"/>
          <w:lang w:val="zh-CN"/>
        </w:rPr>
        <w:fldChar w:fldCharType="begin"/>
      </w:r>
      <w:r>
        <w:rPr>
          <w:bCs/>
          <w:highlight w:val="none"/>
          <w:lang w:val="zh-CN"/>
        </w:rPr>
        <w:instrText xml:space="preserve"> HYPERLINK \l _Toc1128 </w:instrText>
      </w:r>
      <w:r>
        <w:rPr>
          <w:bCs/>
          <w:highlight w:val="none"/>
          <w:lang w:val="zh-CN"/>
        </w:rPr>
        <w:fldChar w:fldCharType="separate"/>
      </w:r>
      <w:r>
        <w:rPr>
          <w:rFonts w:ascii="Times New Roman" w:hAnsi="Times New Roman" w:eastAsia="黑体" w:cs="宋体"/>
          <w:szCs w:val="20"/>
          <w:highlight w:val="none"/>
        </w:rPr>
        <w:t>20.4仲裁或诉讼</w:t>
      </w:r>
      <w:r>
        <w:tab/>
      </w:r>
      <w:r>
        <w:fldChar w:fldCharType="begin"/>
      </w:r>
      <w:r>
        <w:instrText xml:space="preserve"> PAGEREF _Toc1128 \h </w:instrText>
      </w:r>
      <w:r>
        <w:fldChar w:fldCharType="separate"/>
      </w:r>
      <w:r>
        <w:t>1</w:t>
      </w:r>
      <w:r>
        <w:fldChar w:fldCharType="end"/>
      </w:r>
      <w:r>
        <w:rPr>
          <w:bCs/>
          <w:color w:val="auto"/>
          <w:highlight w:val="none"/>
          <w:lang w:val="zh-CN"/>
        </w:rPr>
        <w:fldChar w:fldCharType="end"/>
      </w:r>
    </w:p>
    <w:p w14:paraId="14238406">
      <w:pPr>
        <w:pStyle w:val="13"/>
        <w:tabs>
          <w:tab w:val="right" w:leader="dot" w:pos="8290"/>
        </w:tabs>
      </w:pPr>
      <w:r>
        <w:rPr>
          <w:bCs/>
          <w:color w:val="auto"/>
          <w:highlight w:val="none"/>
          <w:lang w:val="zh-CN"/>
        </w:rPr>
        <w:fldChar w:fldCharType="begin"/>
      </w:r>
      <w:r>
        <w:rPr>
          <w:bCs/>
          <w:highlight w:val="none"/>
          <w:lang w:val="zh-CN"/>
        </w:rPr>
        <w:instrText xml:space="preserve"> HYPERLINK \l _Toc24313 </w:instrText>
      </w:r>
      <w:r>
        <w:rPr>
          <w:bCs/>
          <w:highlight w:val="none"/>
          <w:lang w:val="zh-CN"/>
        </w:rPr>
        <w:fldChar w:fldCharType="separate"/>
      </w:r>
      <w:r>
        <w:rPr>
          <w:rFonts w:ascii="Times New Roman" w:hAnsi="Times New Roman" w:eastAsia="黑体" w:cs="宋体"/>
          <w:szCs w:val="20"/>
          <w:highlight w:val="none"/>
        </w:rPr>
        <w:t>附件</w:t>
      </w:r>
      <w:r>
        <w:tab/>
      </w:r>
      <w:r>
        <w:fldChar w:fldCharType="begin"/>
      </w:r>
      <w:r>
        <w:instrText xml:space="preserve"> PAGEREF _Toc24313 \h </w:instrText>
      </w:r>
      <w:r>
        <w:fldChar w:fldCharType="separate"/>
      </w:r>
      <w:r>
        <w:t>1</w:t>
      </w:r>
      <w:r>
        <w:fldChar w:fldCharType="end"/>
      </w:r>
      <w:r>
        <w:rPr>
          <w:bCs/>
          <w:color w:val="auto"/>
          <w:highlight w:val="none"/>
          <w:lang w:val="zh-CN"/>
        </w:rPr>
        <w:fldChar w:fldCharType="end"/>
      </w:r>
    </w:p>
    <w:p w14:paraId="0CA51C0A">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_Toc17367 </w:instrText>
      </w:r>
      <w:r>
        <w:rPr>
          <w:bCs/>
          <w:highlight w:val="none"/>
          <w:lang w:val="zh-CN"/>
        </w:rPr>
        <w:fldChar w:fldCharType="separate"/>
      </w:r>
      <w:r>
        <w:rPr>
          <w:rFonts w:hint="eastAsia" w:ascii="黑体" w:hAnsi="宋体" w:eastAsia="黑体"/>
          <w:szCs w:val="32"/>
          <w:highlight w:val="none"/>
        </w:rPr>
        <w:t>第五章  工程量清单</w:t>
      </w:r>
      <w:r>
        <w:tab/>
      </w:r>
      <w:r>
        <w:fldChar w:fldCharType="begin"/>
      </w:r>
      <w:r>
        <w:instrText xml:space="preserve"> PAGEREF _Toc17367 \h </w:instrText>
      </w:r>
      <w:r>
        <w:fldChar w:fldCharType="separate"/>
      </w:r>
      <w:r>
        <w:t>1</w:t>
      </w:r>
      <w:r>
        <w:fldChar w:fldCharType="end"/>
      </w:r>
      <w:r>
        <w:rPr>
          <w:bCs/>
          <w:color w:val="auto"/>
          <w:highlight w:val="none"/>
          <w:lang w:val="zh-CN"/>
        </w:rPr>
        <w:fldChar w:fldCharType="end"/>
      </w:r>
    </w:p>
    <w:p w14:paraId="28442BA6">
      <w:pPr>
        <w:pStyle w:val="13"/>
        <w:tabs>
          <w:tab w:val="right" w:leader="dot" w:pos="8290"/>
        </w:tabs>
      </w:pPr>
      <w:r>
        <w:rPr>
          <w:bCs/>
          <w:color w:val="auto"/>
          <w:highlight w:val="none"/>
          <w:lang w:val="zh-CN"/>
        </w:rPr>
        <w:fldChar w:fldCharType="begin"/>
      </w:r>
      <w:r>
        <w:rPr>
          <w:bCs/>
          <w:highlight w:val="none"/>
          <w:lang w:val="zh-CN"/>
        </w:rPr>
        <w:instrText xml:space="preserve"> HYPERLINK \l _Toc18559 </w:instrText>
      </w:r>
      <w:r>
        <w:rPr>
          <w:bCs/>
          <w:highlight w:val="none"/>
          <w:lang w:val="zh-CN"/>
        </w:rPr>
        <w:fldChar w:fldCharType="separate"/>
      </w:r>
      <w:r>
        <w:rPr>
          <w:szCs w:val="24"/>
          <w:highlight w:val="none"/>
        </w:rPr>
        <w:t>1</w:t>
      </w:r>
      <w:r>
        <w:rPr>
          <w:rFonts w:hint="eastAsia"/>
          <w:szCs w:val="24"/>
          <w:highlight w:val="none"/>
        </w:rPr>
        <w:t>、招标工程量清单说明</w:t>
      </w:r>
      <w:r>
        <w:tab/>
      </w:r>
      <w:r>
        <w:fldChar w:fldCharType="begin"/>
      </w:r>
      <w:r>
        <w:instrText xml:space="preserve"> PAGEREF _Toc18559 \h </w:instrText>
      </w:r>
      <w:r>
        <w:fldChar w:fldCharType="separate"/>
      </w:r>
      <w:r>
        <w:t>1</w:t>
      </w:r>
      <w:r>
        <w:fldChar w:fldCharType="end"/>
      </w:r>
      <w:r>
        <w:rPr>
          <w:bCs/>
          <w:color w:val="auto"/>
          <w:highlight w:val="none"/>
          <w:lang w:val="zh-CN"/>
        </w:rPr>
        <w:fldChar w:fldCharType="end"/>
      </w:r>
    </w:p>
    <w:p w14:paraId="3EFC79F8">
      <w:pPr>
        <w:pStyle w:val="13"/>
        <w:tabs>
          <w:tab w:val="right" w:leader="dot" w:pos="8290"/>
        </w:tabs>
      </w:pPr>
      <w:r>
        <w:rPr>
          <w:bCs/>
          <w:color w:val="auto"/>
          <w:highlight w:val="none"/>
          <w:lang w:val="zh-CN"/>
        </w:rPr>
        <w:fldChar w:fldCharType="begin"/>
      </w:r>
      <w:r>
        <w:rPr>
          <w:bCs/>
          <w:highlight w:val="none"/>
          <w:lang w:val="zh-CN"/>
        </w:rPr>
        <w:instrText xml:space="preserve"> HYPERLINK \l _Toc11763 </w:instrText>
      </w:r>
      <w:r>
        <w:rPr>
          <w:bCs/>
          <w:highlight w:val="none"/>
          <w:lang w:val="zh-CN"/>
        </w:rPr>
        <w:fldChar w:fldCharType="separate"/>
      </w:r>
      <w:r>
        <w:rPr>
          <w:szCs w:val="24"/>
          <w:highlight w:val="none"/>
        </w:rPr>
        <w:t>2</w:t>
      </w:r>
      <w:r>
        <w:rPr>
          <w:rFonts w:hint="eastAsia"/>
          <w:szCs w:val="24"/>
          <w:highlight w:val="none"/>
        </w:rPr>
        <w:t>、投标报价说明</w:t>
      </w:r>
      <w:r>
        <w:tab/>
      </w:r>
      <w:r>
        <w:fldChar w:fldCharType="begin"/>
      </w:r>
      <w:r>
        <w:instrText xml:space="preserve"> PAGEREF _Toc11763 \h </w:instrText>
      </w:r>
      <w:r>
        <w:fldChar w:fldCharType="separate"/>
      </w:r>
      <w:r>
        <w:t>1</w:t>
      </w:r>
      <w:r>
        <w:fldChar w:fldCharType="end"/>
      </w:r>
      <w:r>
        <w:rPr>
          <w:bCs/>
          <w:color w:val="auto"/>
          <w:highlight w:val="none"/>
          <w:lang w:val="zh-CN"/>
        </w:rPr>
        <w:fldChar w:fldCharType="end"/>
      </w:r>
    </w:p>
    <w:p w14:paraId="7FBFB79B">
      <w:pPr>
        <w:pStyle w:val="13"/>
        <w:tabs>
          <w:tab w:val="right" w:leader="dot" w:pos="8290"/>
        </w:tabs>
      </w:pPr>
      <w:r>
        <w:rPr>
          <w:bCs/>
          <w:color w:val="auto"/>
          <w:highlight w:val="none"/>
          <w:lang w:val="zh-CN"/>
        </w:rPr>
        <w:fldChar w:fldCharType="begin"/>
      </w:r>
      <w:r>
        <w:rPr>
          <w:bCs/>
          <w:highlight w:val="none"/>
          <w:lang w:val="zh-CN"/>
        </w:rPr>
        <w:instrText xml:space="preserve"> HYPERLINK \l _Toc15301 </w:instrText>
      </w:r>
      <w:r>
        <w:rPr>
          <w:bCs/>
          <w:highlight w:val="none"/>
          <w:lang w:val="zh-CN"/>
        </w:rPr>
        <w:fldChar w:fldCharType="separate"/>
      </w:r>
      <w:r>
        <w:rPr>
          <w:szCs w:val="24"/>
          <w:highlight w:val="none"/>
        </w:rPr>
        <w:t>3</w:t>
      </w:r>
      <w:r>
        <w:rPr>
          <w:rFonts w:hint="eastAsia"/>
          <w:szCs w:val="24"/>
          <w:highlight w:val="none"/>
        </w:rPr>
        <w:t>、其他说明</w:t>
      </w:r>
      <w:r>
        <w:tab/>
      </w:r>
      <w:r>
        <w:fldChar w:fldCharType="begin"/>
      </w:r>
      <w:r>
        <w:instrText xml:space="preserve"> PAGEREF _Toc15301 \h </w:instrText>
      </w:r>
      <w:r>
        <w:fldChar w:fldCharType="separate"/>
      </w:r>
      <w:r>
        <w:t>1</w:t>
      </w:r>
      <w:r>
        <w:fldChar w:fldCharType="end"/>
      </w:r>
      <w:r>
        <w:rPr>
          <w:bCs/>
          <w:color w:val="auto"/>
          <w:highlight w:val="none"/>
          <w:lang w:val="zh-CN"/>
        </w:rPr>
        <w:fldChar w:fldCharType="end"/>
      </w:r>
    </w:p>
    <w:p w14:paraId="31B5C455">
      <w:pPr>
        <w:pStyle w:val="13"/>
        <w:tabs>
          <w:tab w:val="right" w:leader="dot" w:pos="8290"/>
        </w:tabs>
      </w:pPr>
      <w:r>
        <w:rPr>
          <w:bCs/>
          <w:color w:val="auto"/>
          <w:highlight w:val="none"/>
          <w:lang w:val="zh-CN"/>
        </w:rPr>
        <w:fldChar w:fldCharType="begin"/>
      </w:r>
      <w:r>
        <w:rPr>
          <w:bCs/>
          <w:highlight w:val="none"/>
          <w:lang w:val="zh-CN"/>
        </w:rPr>
        <w:instrText xml:space="preserve"> HYPERLINK \l _Toc20085 </w:instrText>
      </w:r>
      <w:r>
        <w:rPr>
          <w:bCs/>
          <w:highlight w:val="none"/>
          <w:lang w:val="zh-CN"/>
        </w:rPr>
        <w:fldChar w:fldCharType="separate"/>
      </w:r>
      <w:r>
        <w:rPr>
          <w:szCs w:val="28"/>
          <w:highlight w:val="none"/>
        </w:rPr>
        <w:t>4</w:t>
      </w:r>
      <w:r>
        <w:rPr>
          <w:rFonts w:hint="eastAsia"/>
          <w:szCs w:val="28"/>
          <w:highlight w:val="none"/>
        </w:rPr>
        <w:t>、工程量清单与计价表</w:t>
      </w:r>
      <w:r>
        <w:tab/>
      </w:r>
      <w:r>
        <w:fldChar w:fldCharType="begin"/>
      </w:r>
      <w:r>
        <w:instrText xml:space="preserve"> PAGEREF _Toc20085 \h </w:instrText>
      </w:r>
      <w:r>
        <w:fldChar w:fldCharType="separate"/>
      </w:r>
      <w:r>
        <w:t>1</w:t>
      </w:r>
      <w:r>
        <w:fldChar w:fldCharType="end"/>
      </w:r>
      <w:r>
        <w:rPr>
          <w:bCs/>
          <w:color w:val="auto"/>
          <w:highlight w:val="none"/>
          <w:lang w:val="zh-CN"/>
        </w:rPr>
        <w:fldChar w:fldCharType="end"/>
      </w:r>
    </w:p>
    <w:p w14:paraId="0D912D9D">
      <w:pPr>
        <w:pStyle w:val="8"/>
        <w:tabs>
          <w:tab w:val="right" w:leader="dot" w:pos="8290"/>
        </w:tabs>
      </w:pPr>
      <w:r>
        <w:rPr>
          <w:bCs/>
          <w:color w:val="auto"/>
          <w:highlight w:val="none"/>
          <w:lang w:val="zh-CN"/>
        </w:rPr>
        <w:fldChar w:fldCharType="begin"/>
      </w:r>
      <w:r>
        <w:rPr>
          <w:bCs/>
          <w:highlight w:val="none"/>
          <w:lang w:val="zh-CN"/>
        </w:rPr>
        <w:instrText xml:space="preserve"> HYPERLINK \l _Toc15841 </w:instrText>
      </w:r>
      <w:r>
        <w:rPr>
          <w:bCs/>
          <w:highlight w:val="none"/>
          <w:lang w:val="zh-CN"/>
        </w:rPr>
        <w:fldChar w:fldCharType="separate"/>
      </w:r>
      <w:r>
        <w:rPr>
          <w:highlight w:val="none"/>
        </w:rPr>
        <w:t>4.1</w:t>
      </w:r>
      <w:r>
        <w:rPr>
          <w:rFonts w:hint="eastAsia"/>
          <w:highlight w:val="none"/>
        </w:rPr>
        <w:t>招标工程量清单封面</w:t>
      </w:r>
      <w:r>
        <w:tab/>
      </w:r>
      <w:r>
        <w:fldChar w:fldCharType="begin"/>
      </w:r>
      <w:r>
        <w:instrText xml:space="preserve"> PAGEREF _Toc15841 \h </w:instrText>
      </w:r>
      <w:r>
        <w:fldChar w:fldCharType="separate"/>
      </w:r>
      <w:r>
        <w:t>1</w:t>
      </w:r>
      <w:r>
        <w:fldChar w:fldCharType="end"/>
      </w:r>
      <w:r>
        <w:rPr>
          <w:bCs/>
          <w:color w:val="auto"/>
          <w:highlight w:val="none"/>
          <w:lang w:val="zh-CN"/>
        </w:rPr>
        <w:fldChar w:fldCharType="end"/>
      </w:r>
    </w:p>
    <w:p w14:paraId="6D899CEE">
      <w:pPr>
        <w:pStyle w:val="8"/>
        <w:tabs>
          <w:tab w:val="right" w:leader="dot" w:pos="8290"/>
        </w:tabs>
      </w:pPr>
      <w:r>
        <w:rPr>
          <w:bCs/>
          <w:color w:val="auto"/>
          <w:highlight w:val="none"/>
          <w:lang w:val="zh-CN"/>
        </w:rPr>
        <w:fldChar w:fldCharType="begin"/>
      </w:r>
      <w:r>
        <w:rPr>
          <w:bCs/>
          <w:highlight w:val="none"/>
          <w:lang w:val="zh-CN"/>
        </w:rPr>
        <w:instrText xml:space="preserve"> HYPERLINK \l _Toc9556 </w:instrText>
      </w:r>
      <w:r>
        <w:rPr>
          <w:bCs/>
          <w:highlight w:val="none"/>
          <w:lang w:val="zh-CN"/>
        </w:rPr>
        <w:fldChar w:fldCharType="separate"/>
      </w:r>
      <w:r>
        <w:rPr>
          <w:highlight w:val="none"/>
        </w:rPr>
        <w:t>4.2</w:t>
      </w:r>
      <w:r>
        <w:rPr>
          <w:rFonts w:hint="eastAsia"/>
          <w:highlight w:val="none"/>
        </w:rPr>
        <w:t>招标工程量清单扉页</w:t>
      </w:r>
      <w:r>
        <w:tab/>
      </w:r>
      <w:r>
        <w:fldChar w:fldCharType="begin"/>
      </w:r>
      <w:r>
        <w:instrText xml:space="preserve"> PAGEREF _Toc9556 \h </w:instrText>
      </w:r>
      <w:r>
        <w:fldChar w:fldCharType="separate"/>
      </w:r>
      <w:r>
        <w:t>1</w:t>
      </w:r>
      <w:r>
        <w:fldChar w:fldCharType="end"/>
      </w:r>
      <w:r>
        <w:rPr>
          <w:bCs/>
          <w:color w:val="auto"/>
          <w:highlight w:val="none"/>
          <w:lang w:val="zh-CN"/>
        </w:rPr>
        <w:fldChar w:fldCharType="end"/>
      </w:r>
    </w:p>
    <w:p w14:paraId="5712ABE1">
      <w:pPr>
        <w:pStyle w:val="8"/>
        <w:tabs>
          <w:tab w:val="right" w:leader="dot" w:pos="8290"/>
        </w:tabs>
      </w:pPr>
      <w:r>
        <w:rPr>
          <w:bCs/>
          <w:color w:val="auto"/>
          <w:highlight w:val="none"/>
          <w:lang w:val="zh-CN"/>
        </w:rPr>
        <w:fldChar w:fldCharType="begin"/>
      </w:r>
      <w:r>
        <w:rPr>
          <w:bCs/>
          <w:highlight w:val="none"/>
          <w:lang w:val="zh-CN"/>
        </w:rPr>
        <w:instrText xml:space="preserve"> HYPERLINK \l _Toc2372 </w:instrText>
      </w:r>
      <w:r>
        <w:rPr>
          <w:bCs/>
          <w:highlight w:val="none"/>
          <w:lang w:val="zh-CN"/>
        </w:rPr>
        <w:fldChar w:fldCharType="separate"/>
      </w:r>
      <w:r>
        <w:rPr>
          <w:highlight w:val="none"/>
        </w:rPr>
        <w:t>4.3</w:t>
      </w:r>
      <w:r>
        <w:rPr>
          <w:rFonts w:hint="eastAsia"/>
          <w:highlight w:val="none"/>
        </w:rPr>
        <w:t>投标总价封面</w:t>
      </w:r>
      <w:r>
        <w:tab/>
      </w:r>
      <w:r>
        <w:fldChar w:fldCharType="begin"/>
      </w:r>
      <w:r>
        <w:instrText xml:space="preserve"> PAGEREF _Toc2372 \h </w:instrText>
      </w:r>
      <w:r>
        <w:fldChar w:fldCharType="separate"/>
      </w:r>
      <w:r>
        <w:t>1</w:t>
      </w:r>
      <w:r>
        <w:fldChar w:fldCharType="end"/>
      </w:r>
      <w:r>
        <w:rPr>
          <w:bCs/>
          <w:color w:val="auto"/>
          <w:highlight w:val="none"/>
          <w:lang w:val="zh-CN"/>
        </w:rPr>
        <w:fldChar w:fldCharType="end"/>
      </w:r>
    </w:p>
    <w:p w14:paraId="7F7D75DF">
      <w:pPr>
        <w:pStyle w:val="8"/>
        <w:tabs>
          <w:tab w:val="right" w:leader="dot" w:pos="8290"/>
        </w:tabs>
      </w:pPr>
      <w:r>
        <w:rPr>
          <w:bCs/>
          <w:color w:val="auto"/>
          <w:highlight w:val="none"/>
          <w:lang w:val="zh-CN"/>
        </w:rPr>
        <w:fldChar w:fldCharType="begin"/>
      </w:r>
      <w:r>
        <w:rPr>
          <w:bCs/>
          <w:highlight w:val="none"/>
          <w:lang w:val="zh-CN"/>
        </w:rPr>
        <w:instrText xml:space="preserve"> HYPERLINK \l _Toc7246 </w:instrText>
      </w:r>
      <w:r>
        <w:rPr>
          <w:bCs/>
          <w:highlight w:val="none"/>
          <w:lang w:val="zh-CN"/>
        </w:rPr>
        <w:fldChar w:fldCharType="separate"/>
      </w:r>
      <w:r>
        <w:rPr>
          <w:highlight w:val="none"/>
        </w:rPr>
        <w:t>4.4</w:t>
      </w:r>
      <w:r>
        <w:rPr>
          <w:rFonts w:hint="eastAsia"/>
          <w:highlight w:val="none"/>
        </w:rPr>
        <w:t>投标总价扉页</w:t>
      </w:r>
      <w:r>
        <w:tab/>
      </w:r>
      <w:r>
        <w:fldChar w:fldCharType="begin"/>
      </w:r>
      <w:r>
        <w:instrText xml:space="preserve"> PAGEREF _Toc7246 \h </w:instrText>
      </w:r>
      <w:r>
        <w:fldChar w:fldCharType="separate"/>
      </w:r>
      <w:r>
        <w:t>1</w:t>
      </w:r>
      <w:r>
        <w:fldChar w:fldCharType="end"/>
      </w:r>
      <w:r>
        <w:rPr>
          <w:bCs/>
          <w:color w:val="auto"/>
          <w:highlight w:val="none"/>
          <w:lang w:val="zh-CN"/>
        </w:rPr>
        <w:fldChar w:fldCharType="end"/>
      </w:r>
    </w:p>
    <w:p w14:paraId="02E99029">
      <w:pPr>
        <w:pStyle w:val="8"/>
        <w:tabs>
          <w:tab w:val="right" w:leader="dot" w:pos="8290"/>
        </w:tabs>
      </w:pPr>
      <w:r>
        <w:rPr>
          <w:bCs/>
          <w:color w:val="auto"/>
          <w:highlight w:val="none"/>
          <w:lang w:val="zh-CN"/>
        </w:rPr>
        <w:fldChar w:fldCharType="begin"/>
      </w:r>
      <w:r>
        <w:rPr>
          <w:bCs/>
          <w:highlight w:val="none"/>
          <w:lang w:val="zh-CN"/>
        </w:rPr>
        <w:instrText xml:space="preserve"> HYPERLINK \l _Toc15764 </w:instrText>
      </w:r>
      <w:r>
        <w:rPr>
          <w:bCs/>
          <w:highlight w:val="none"/>
          <w:lang w:val="zh-CN"/>
        </w:rPr>
        <w:fldChar w:fldCharType="separate"/>
      </w:r>
      <w:r>
        <w:rPr>
          <w:highlight w:val="none"/>
        </w:rPr>
        <w:t>4.5</w:t>
      </w:r>
      <w:r>
        <w:rPr>
          <w:rFonts w:hint="eastAsia"/>
          <w:highlight w:val="none"/>
        </w:rPr>
        <w:t>总说明表</w:t>
      </w:r>
      <w:r>
        <w:tab/>
      </w:r>
      <w:r>
        <w:fldChar w:fldCharType="begin"/>
      </w:r>
      <w:r>
        <w:instrText xml:space="preserve"> PAGEREF _Toc15764 \h </w:instrText>
      </w:r>
      <w:r>
        <w:fldChar w:fldCharType="separate"/>
      </w:r>
      <w:r>
        <w:t>1</w:t>
      </w:r>
      <w:r>
        <w:fldChar w:fldCharType="end"/>
      </w:r>
      <w:r>
        <w:rPr>
          <w:bCs/>
          <w:color w:val="auto"/>
          <w:highlight w:val="none"/>
          <w:lang w:val="zh-CN"/>
        </w:rPr>
        <w:fldChar w:fldCharType="end"/>
      </w:r>
    </w:p>
    <w:p w14:paraId="1C611DA8">
      <w:pPr>
        <w:pStyle w:val="8"/>
        <w:tabs>
          <w:tab w:val="right" w:leader="dot" w:pos="8290"/>
        </w:tabs>
      </w:pPr>
      <w:r>
        <w:rPr>
          <w:bCs/>
          <w:color w:val="auto"/>
          <w:highlight w:val="none"/>
          <w:lang w:val="zh-CN"/>
        </w:rPr>
        <w:fldChar w:fldCharType="begin"/>
      </w:r>
      <w:r>
        <w:rPr>
          <w:bCs/>
          <w:highlight w:val="none"/>
          <w:lang w:val="zh-CN"/>
        </w:rPr>
        <w:instrText xml:space="preserve"> HYPERLINK \l _Toc17859 </w:instrText>
      </w:r>
      <w:r>
        <w:rPr>
          <w:bCs/>
          <w:highlight w:val="none"/>
          <w:lang w:val="zh-CN"/>
        </w:rPr>
        <w:fldChar w:fldCharType="separate"/>
      </w:r>
      <w:r>
        <w:rPr>
          <w:highlight w:val="none"/>
        </w:rPr>
        <w:t>4.6</w:t>
      </w:r>
      <w:r>
        <w:rPr>
          <w:rFonts w:hint="eastAsia"/>
          <w:highlight w:val="none"/>
        </w:rPr>
        <w:t>建设项目投标报价汇总表</w:t>
      </w:r>
      <w:r>
        <w:tab/>
      </w:r>
      <w:r>
        <w:fldChar w:fldCharType="begin"/>
      </w:r>
      <w:r>
        <w:instrText xml:space="preserve"> PAGEREF _Toc17859 \h </w:instrText>
      </w:r>
      <w:r>
        <w:fldChar w:fldCharType="separate"/>
      </w:r>
      <w:r>
        <w:t>1</w:t>
      </w:r>
      <w:r>
        <w:fldChar w:fldCharType="end"/>
      </w:r>
      <w:r>
        <w:rPr>
          <w:bCs/>
          <w:color w:val="auto"/>
          <w:highlight w:val="none"/>
          <w:lang w:val="zh-CN"/>
        </w:rPr>
        <w:fldChar w:fldCharType="end"/>
      </w:r>
    </w:p>
    <w:p w14:paraId="741B4BCA">
      <w:pPr>
        <w:pStyle w:val="8"/>
        <w:tabs>
          <w:tab w:val="right" w:leader="dot" w:pos="8290"/>
        </w:tabs>
      </w:pPr>
      <w:r>
        <w:rPr>
          <w:bCs/>
          <w:color w:val="auto"/>
          <w:highlight w:val="none"/>
          <w:lang w:val="zh-CN"/>
        </w:rPr>
        <w:fldChar w:fldCharType="begin"/>
      </w:r>
      <w:r>
        <w:rPr>
          <w:bCs/>
          <w:highlight w:val="none"/>
          <w:lang w:val="zh-CN"/>
        </w:rPr>
        <w:instrText xml:space="preserve"> HYPERLINK \l _Toc14243 </w:instrText>
      </w:r>
      <w:r>
        <w:rPr>
          <w:bCs/>
          <w:highlight w:val="none"/>
          <w:lang w:val="zh-CN"/>
        </w:rPr>
        <w:fldChar w:fldCharType="separate"/>
      </w:r>
      <w:r>
        <w:rPr>
          <w:highlight w:val="none"/>
        </w:rPr>
        <w:t>4.7</w:t>
      </w:r>
      <w:r>
        <w:rPr>
          <w:rFonts w:hint="eastAsia"/>
          <w:highlight w:val="none"/>
        </w:rPr>
        <w:t>单项工程投标报价汇总表</w:t>
      </w:r>
      <w:r>
        <w:tab/>
      </w:r>
      <w:r>
        <w:fldChar w:fldCharType="begin"/>
      </w:r>
      <w:r>
        <w:instrText xml:space="preserve"> PAGEREF _Toc14243 \h </w:instrText>
      </w:r>
      <w:r>
        <w:fldChar w:fldCharType="separate"/>
      </w:r>
      <w:r>
        <w:t>1</w:t>
      </w:r>
      <w:r>
        <w:fldChar w:fldCharType="end"/>
      </w:r>
      <w:r>
        <w:rPr>
          <w:bCs/>
          <w:color w:val="auto"/>
          <w:highlight w:val="none"/>
          <w:lang w:val="zh-CN"/>
        </w:rPr>
        <w:fldChar w:fldCharType="end"/>
      </w:r>
    </w:p>
    <w:p w14:paraId="579CD439">
      <w:pPr>
        <w:pStyle w:val="8"/>
        <w:tabs>
          <w:tab w:val="right" w:leader="dot" w:pos="8290"/>
        </w:tabs>
      </w:pPr>
      <w:r>
        <w:rPr>
          <w:bCs/>
          <w:color w:val="auto"/>
          <w:highlight w:val="none"/>
          <w:lang w:val="zh-CN"/>
        </w:rPr>
        <w:fldChar w:fldCharType="begin"/>
      </w:r>
      <w:r>
        <w:rPr>
          <w:bCs/>
          <w:highlight w:val="none"/>
          <w:lang w:val="zh-CN"/>
        </w:rPr>
        <w:instrText xml:space="preserve"> HYPERLINK \l _Toc5994 </w:instrText>
      </w:r>
      <w:r>
        <w:rPr>
          <w:bCs/>
          <w:highlight w:val="none"/>
          <w:lang w:val="zh-CN"/>
        </w:rPr>
        <w:fldChar w:fldCharType="separate"/>
      </w:r>
      <w:r>
        <w:rPr>
          <w:highlight w:val="none"/>
        </w:rPr>
        <w:t>4.8</w:t>
      </w:r>
      <w:r>
        <w:rPr>
          <w:rFonts w:hint="eastAsia"/>
          <w:highlight w:val="none"/>
        </w:rPr>
        <w:t>单位工程投标报价汇总表</w:t>
      </w:r>
      <w:r>
        <w:tab/>
      </w:r>
      <w:r>
        <w:fldChar w:fldCharType="begin"/>
      </w:r>
      <w:r>
        <w:instrText xml:space="preserve"> PAGEREF _Toc5994 \h </w:instrText>
      </w:r>
      <w:r>
        <w:fldChar w:fldCharType="separate"/>
      </w:r>
      <w:r>
        <w:t>1</w:t>
      </w:r>
      <w:r>
        <w:fldChar w:fldCharType="end"/>
      </w:r>
      <w:r>
        <w:rPr>
          <w:bCs/>
          <w:color w:val="auto"/>
          <w:highlight w:val="none"/>
          <w:lang w:val="zh-CN"/>
        </w:rPr>
        <w:fldChar w:fldCharType="end"/>
      </w:r>
    </w:p>
    <w:p w14:paraId="0B3FE22B">
      <w:pPr>
        <w:pStyle w:val="8"/>
        <w:tabs>
          <w:tab w:val="right" w:leader="dot" w:pos="8290"/>
        </w:tabs>
      </w:pPr>
      <w:r>
        <w:rPr>
          <w:bCs/>
          <w:color w:val="auto"/>
          <w:highlight w:val="none"/>
          <w:lang w:val="zh-CN"/>
        </w:rPr>
        <w:fldChar w:fldCharType="begin"/>
      </w:r>
      <w:r>
        <w:rPr>
          <w:bCs/>
          <w:highlight w:val="none"/>
          <w:lang w:val="zh-CN"/>
        </w:rPr>
        <w:instrText xml:space="preserve"> HYPERLINK \l _Toc6607 </w:instrText>
      </w:r>
      <w:r>
        <w:rPr>
          <w:bCs/>
          <w:highlight w:val="none"/>
          <w:lang w:val="zh-CN"/>
        </w:rPr>
        <w:fldChar w:fldCharType="separate"/>
      </w:r>
      <w:r>
        <w:rPr>
          <w:highlight w:val="none"/>
        </w:rPr>
        <w:t>4.9</w:t>
      </w:r>
      <w:r>
        <w:rPr>
          <w:rFonts w:hint="eastAsia"/>
          <w:highlight w:val="none"/>
        </w:rPr>
        <w:t>分部分项工程和单价措施项目清单与计价表</w:t>
      </w:r>
      <w:r>
        <w:tab/>
      </w:r>
      <w:r>
        <w:fldChar w:fldCharType="begin"/>
      </w:r>
      <w:r>
        <w:instrText xml:space="preserve"> PAGEREF _Toc6607 \h </w:instrText>
      </w:r>
      <w:r>
        <w:fldChar w:fldCharType="separate"/>
      </w:r>
      <w:r>
        <w:t>1</w:t>
      </w:r>
      <w:r>
        <w:fldChar w:fldCharType="end"/>
      </w:r>
      <w:r>
        <w:rPr>
          <w:bCs/>
          <w:color w:val="auto"/>
          <w:highlight w:val="none"/>
          <w:lang w:val="zh-CN"/>
        </w:rPr>
        <w:fldChar w:fldCharType="end"/>
      </w:r>
    </w:p>
    <w:p w14:paraId="1671E012">
      <w:pPr>
        <w:pStyle w:val="8"/>
        <w:tabs>
          <w:tab w:val="right" w:leader="dot" w:pos="8290"/>
        </w:tabs>
      </w:pPr>
      <w:r>
        <w:rPr>
          <w:bCs/>
          <w:color w:val="auto"/>
          <w:highlight w:val="none"/>
          <w:lang w:val="zh-CN"/>
        </w:rPr>
        <w:fldChar w:fldCharType="begin"/>
      </w:r>
      <w:r>
        <w:rPr>
          <w:bCs/>
          <w:highlight w:val="none"/>
          <w:lang w:val="zh-CN"/>
        </w:rPr>
        <w:instrText xml:space="preserve"> HYPERLINK \l _Toc10150 </w:instrText>
      </w:r>
      <w:r>
        <w:rPr>
          <w:bCs/>
          <w:highlight w:val="none"/>
          <w:lang w:val="zh-CN"/>
        </w:rPr>
        <w:fldChar w:fldCharType="separate"/>
      </w:r>
      <w:r>
        <w:rPr>
          <w:highlight w:val="none"/>
        </w:rPr>
        <w:t>4.10</w:t>
      </w:r>
      <w:r>
        <w:rPr>
          <w:rFonts w:hint="eastAsia"/>
          <w:highlight w:val="none"/>
        </w:rPr>
        <w:t>综合单价分析表</w:t>
      </w:r>
      <w:r>
        <w:tab/>
      </w:r>
      <w:r>
        <w:fldChar w:fldCharType="begin"/>
      </w:r>
      <w:r>
        <w:instrText xml:space="preserve"> PAGEREF _Toc10150 \h </w:instrText>
      </w:r>
      <w:r>
        <w:fldChar w:fldCharType="separate"/>
      </w:r>
      <w:r>
        <w:t>1</w:t>
      </w:r>
      <w:r>
        <w:fldChar w:fldCharType="end"/>
      </w:r>
      <w:r>
        <w:rPr>
          <w:bCs/>
          <w:color w:val="auto"/>
          <w:highlight w:val="none"/>
          <w:lang w:val="zh-CN"/>
        </w:rPr>
        <w:fldChar w:fldCharType="end"/>
      </w:r>
    </w:p>
    <w:p w14:paraId="25A2DF9F">
      <w:pPr>
        <w:pStyle w:val="8"/>
        <w:tabs>
          <w:tab w:val="right" w:leader="dot" w:pos="8290"/>
        </w:tabs>
      </w:pPr>
      <w:r>
        <w:rPr>
          <w:bCs/>
          <w:color w:val="auto"/>
          <w:highlight w:val="none"/>
          <w:lang w:val="zh-CN"/>
        </w:rPr>
        <w:fldChar w:fldCharType="begin"/>
      </w:r>
      <w:r>
        <w:rPr>
          <w:bCs/>
          <w:highlight w:val="none"/>
          <w:lang w:val="zh-CN"/>
        </w:rPr>
        <w:instrText xml:space="preserve"> HYPERLINK \l _Toc4224 </w:instrText>
      </w:r>
      <w:r>
        <w:rPr>
          <w:bCs/>
          <w:highlight w:val="none"/>
          <w:lang w:val="zh-CN"/>
        </w:rPr>
        <w:fldChar w:fldCharType="separate"/>
      </w:r>
      <w:r>
        <w:rPr>
          <w:highlight w:val="none"/>
        </w:rPr>
        <w:t>4.11</w:t>
      </w:r>
      <w:r>
        <w:rPr>
          <w:rFonts w:hint="eastAsia"/>
          <w:highlight w:val="none"/>
        </w:rPr>
        <w:t>总价措施项目清单与计价表</w:t>
      </w:r>
      <w:r>
        <w:tab/>
      </w:r>
      <w:r>
        <w:fldChar w:fldCharType="begin"/>
      </w:r>
      <w:r>
        <w:instrText xml:space="preserve"> PAGEREF _Toc4224 \h </w:instrText>
      </w:r>
      <w:r>
        <w:fldChar w:fldCharType="separate"/>
      </w:r>
      <w:r>
        <w:t>1</w:t>
      </w:r>
      <w:r>
        <w:fldChar w:fldCharType="end"/>
      </w:r>
      <w:r>
        <w:rPr>
          <w:bCs/>
          <w:color w:val="auto"/>
          <w:highlight w:val="none"/>
          <w:lang w:val="zh-CN"/>
        </w:rPr>
        <w:fldChar w:fldCharType="end"/>
      </w:r>
    </w:p>
    <w:p w14:paraId="2C77625F">
      <w:pPr>
        <w:pStyle w:val="8"/>
        <w:tabs>
          <w:tab w:val="right" w:leader="dot" w:pos="8290"/>
        </w:tabs>
      </w:pPr>
      <w:r>
        <w:rPr>
          <w:bCs/>
          <w:color w:val="auto"/>
          <w:highlight w:val="none"/>
          <w:lang w:val="zh-CN"/>
        </w:rPr>
        <w:fldChar w:fldCharType="begin"/>
      </w:r>
      <w:r>
        <w:rPr>
          <w:bCs/>
          <w:highlight w:val="none"/>
          <w:lang w:val="zh-CN"/>
        </w:rPr>
        <w:instrText xml:space="preserve"> HYPERLINK \l _Toc27267 </w:instrText>
      </w:r>
      <w:r>
        <w:rPr>
          <w:bCs/>
          <w:highlight w:val="none"/>
          <w:lang w:val="zh-CN"/>
        </w:rPr>
        <w:fldChar w:fldCharType="separate"/>
      </w:r>
      <w:r>
        <w:rPr>
          <w:highlight w:val="none"/>
        </w:rPr>
        <w:t>4.12</w:t>
      </w:r>
      <w:r>
        <w:rPr>
          <w:rFonts w:hint="eastAsia"/>
          <w:highlight w:val="none"/>
        </w:rPr>
        <w:t>其他项目清单与计价汇总表</w:t>
      </w:r>
      <w:r>
        <w:tab/>
      </w:r>
      <w:r>
        <w:fldChar w:fldCharType="begin"/>
      </w:r>
      <w:r>
        <w:instrText xml:space="preserve"> PAGEREF _Toc27267 \h </w:instrText>
      </w:r>
      <w:r>
        <w:fldChar w:fldCharType="separate"/>
      </w:r>
      <w:r>
        <w:t>1</w:t>
      </w:r>
      <w:r>
        <w:fldChar w:fldCharType="end"/>
      </w:r>
      <w:r>
        <w:rPr>
          <w:bCs/>
          <w:color w:val="auto"/>
          <w:highlight w:val="none"/>
          <w:lang w:val="zh-CN"/>
        </w:rPr>
        <w:fldChar w:fldCharType="end"/>
      </w:r>
    </w:p>
    <w:p w14:paraId="35FCA09D">
      <w:pPr>
        <w:pStyle w:val="8"/>
        <w:tabs>
          <w:tab w:val="right" w:leader="dot" w:pos="8290"/>
        </w:tabs>
      </w:pPr>
      <w:r>
        <w:rPr>
          <w:bCs/>
          <w:color w:val="auto"/>
          <w:highlight w:val="none"/>
          <w:lang w:val="zh-CN"/>
        </w:rPr>
        <w:fldChar w:fldCharType="begin"/>
      </w:r>
      <w:r>
        <w:rPr>
          <w:bCs/>
          <w:highlight w:val="none"/>
          <w:lang w:val="zh-CN"/>
        </w:rPr>
        <w:instrText xml:space="preserve"> HYPERLINK \l _Toc31668 </w:instrText>
      </w:r>
      <w:r>
        <w:rPr>
          <w:bCs/>
          <w:highlight w:val="none"/>
          <w:lang w:val="zh-CN"/>
        </w:rPr>
        <w:fldChar w:fldCharType="separate"/>
      </w:r>
      <w:r>
        <w:rPr>
          <w:highlight w:val="none"/>
        </w:rPr>
        <w:t>4.12-1</w:t>
      </w:r>
      <w:r>
        <w:rPr>
          <w:rFonts w:hint="eastAsia"/>
          <w:highlight w:val="none"/>
        </w:rPr>
        <w:t>暂列金额明细表</w:t>
      </w:r>
      <w:r>
        <w:tab/>
      </w:r>
      <w:r>
        <w:fldChar w:fldCharType="begin"/>
      </w:r>
      <w:r>
        <w:instrText xml:space="preserve"> PAGEREF _Toc31668 \h </w:instrText>
      </w:r>
      <w:r>
        <w:fldChar w:fldCharType="separate"/>
      </w:r>
      <w:r>
        <w:t>1</w:t>
      </w:r>
      <w:r>
        <w:fldChar w:fldCharType="end"/>
      </w:r>
      <w:r>
        <w:rPr>
          <w:bCs/>
          <w:color w:val="auto"/>
          <w:highlight w:val="none"/>
          <w:lang w:val="zh-CN"/>
        </w:rPr>
        <w:fldChar w:fldCharType="end"/>
      </w:r>
    </w:p>
    <w:p w14:paraId="02B9E0A7">
      <w:pPr>
        <w:pStyle w:val="8"/>
        <w:tabs>
          <w:tab w:val="right" w:leader="dot" w:pos="8290"/>
        </w:tabs>
      </w:pPr>
      <w:r>
        <w:rPr>
          <w:bCs/>
          <w:color w:val="auto"/>
          <w:highlight w:val="none"/>
          <w:lang w:val="zh-CN"/>
        </w:rPr>
        <w:fldChar w:fldCharType="begin"/>
      </w:r>
      <w:r>
        <w:rPr>
          <w:bCs/>
          <w:highlight w:val="none"/>
          <w:lang w:val="zh-CN"/>
        </w:rPr>
        <w:instrText xml:space="preserve"> HYPERLINK \l _Toc5031 </w:instrText>
      </w:r>
      <w:r>
        <w:rPr>
          <w:bCs/>
          <w:highlight w:val="none"/>
          <w:lang w:val="zh-CN"/>
        </w:rPr>
        <w:fldChar w:fldCharType="separate"/>
      </w:r>
      <w:r>
        <w:rPr>
          <w:highlight w:val="none"/>
        </w:rPr>
        <w:t>4.12-2</w:t>
      </w:r>
      <w:r>
        <w:rPr>
          <w:rFonts w:hint="eastAsia"/>
          <w:highlight w:val="none"/>
        </w:rPr>
        <w:t>材料（工程设备）暂估单价表</w:t>
      </w:r>
      <w:r>
        <w:tab/>
      </w:r>
      <w:r>
        <w:fldChar w:fldCharType="begin"/>
      </w:r>
      <w:r>
        <w:instrText xml:space="preserve"> PAGEREF _Toc5031 \h </w:instrText>
      </w:r>
      <w:r>
        <w:fldChar w:fldCharType="separate"/>
      </w:r>
      <w:r>
        <w:t>1</w:t>
      </w:r>
      <w:r>
        <w:fldChar w:fldCharType="end"/>
      </w:r>
      <w:r>
        <w:rPr>
          <w:bCs/>
          <w:color w:val="auto"/>
          <w:highlight w:val="none"/>
          <w:lang w:val="zh-CN"/>
        </w:rPr>
        <w:fldChar w:fldCharType="end"/>
      </w:r>
    </w:p>
    <w:p w14:paraId="4C213308">
      <w:pPr>
        <w:pStyle w:val="8"/>
        <w:tabs>
          <w:tab w:val="right" w:leader="dot" w:pos="8290"/>
        </w:tabs>
      </w:pPr>
      <w:r>
        <w:rPr>
          <w:bCs/>
          <w:color w:val="auto"/>
          <w:highlight w:val="none"/>
          <w:lang w:val="zh-CN"/>
        </w:rPr>
        <w:fldChar w:fldCharType="begin"/>
      </w:r>
      <w:r>
        <w:rPr>
          <w:bCs/>
          <w:highlight w:val="none"/>
          <w:lang w:val="zh-CN"/>
        </w:rPr>
        <w:instrText xml:space="preserve"> HYPERLINK \l _Toc11691 </w:instrText>
      </w:r>
      <w:r>
        <w:rPr>
          <w:bCs/>
          <w:highlight w:val="none"/>
          <w:lang w:val="zh-CN"/>
        </w:rPr>
        <w:fldChar w:fldCharType="separate"/>
      </w:r>
      <w:r>
        <w:rPr>
          <w:highlight w:val="none"/>
        </w:rPr>
        <w:t>4.12-3</w:t>
      </w:r>
      <w:r>
        <w:rPr>
          <w:rFonts w:hint="eastAsia"/>
          <w:highlight w:val="none"/>
        </w:rPr>
        <w:t>专业工程暂估价表</w:t>
      </w:r>
      <w:r>
        <w:tab/>
      </w:r>
      <w:r>
        <w:fldChar w:fldCharType="begin"/>
      </w:r>
      <w:r>
        <w:instrText xml:space="preserve"> PAGEREF _Toc11691 \h </w:instrText>
      </w:r>
      <w:r>
        <w:fldChar w:fldCharType="separate"/>
      </w:r>
      <w:r>
        <w:t>1</w:t>
      </w:r>
      <w:r>
        <w:fldChar w:fldCharType="end"/>
      </w:r>
      <w:r>
        <w:rPr>
          <w:bCs/>
          <w:color w:val="auto"/>
          <w:highlight w:val="none"/>
          <w:lang w:val="zh-CN"/>
        </w:rPr>
        <w:fldChar w:fldCharType="end"/>
      </w:r>
    </w:p>
    <w:p w14:paraId="5E967C8E">
      <w:pPr>
        <w:pStyle w:val="8"/>
        <w:tabs>
          <w:tab w:val="right" w:leader="dot" w:pos="8290"/>
        </w:tabs>
      </w:pPr>
      <w:r>
        <w:rPr>
          <w:bCs/>
          <w:color w:val="auto"/>
          <w:highlight w:val="none"/>
          <w:lang w:val="zh-CN"/>
        </w:rPr>
        <w:fldChar w:fldCharType="begin"/>
      </w:r>
      <w:r>
        <w:rPr>
          <w:bCs/>
          <w:highlight w:val="none"/>
          <w:lang w:val="zh-CN"/>
        </w:rPr>
        <w:instrText xml:space="preserve"> HYPERLINK \l _Toc11449 </w:instrText>
      </w:r>
      <w:r>
        <w:rPr>
          <w:bCs/>
          <w:highlight w:val="none"/>
          <w:lang w:val="zh-CN"/>
        </w:rPr>
        <w:fldChar w:fldCharType="separate"/>
      </w:r>
      <w:r>
        <w:rPr>
          <w:highlight w:val="none"/>
        </w:rPr>
        <w:t>4.12-4</w:t>
      </w:r>
      <w:r>
        <w:rPr>
          <w:rFonts w:hint="eastAsia"/>
          <w:highlight w:val="none"/>
        </w:rPr>
        <w:t>计日工表</w:t>
      </w:r>
      <w:r>
        <w:tab/>
      </w:r>
      <w:r>
        <w:fldChar w:fldCharType="begin"/>
      </w:r>
      <w:r>
        <w:instrText xml:space="preserve"> PAGEREF _Toc11449 \h </w:instrText>
      </w:r>
      <w:r>
        <w:fldChar w:fldCharType="separate"/>
      </w:r>
      <w:r>
        <w:t>1</w:t>
      </w:r>
      <w:r>
        <w:fldChar w:fldCharType="end"/>
      </w:r>
      <w:r>
        <w:rPr>
          <w:bCs/>
          <w:color w:val="auto"/>
          <w:highlight w:val="none"/>
          <w:lang w:val="zh-CN"/>
        </w:rPr>
        <w:fldChar w:fldCharType="end"/>
      </w:r>
    </w:p>
    <w:p w14:paraId="29240FCB">
      <w:pPr>
        <w:pStyle w:val="8"/>
        <w:tabs>
          <w:tab w:val="right" w:leader="dot" w:pos="8290"/>
        </w:tabs>
      </w:pPr>
      <w:r>
        <w:rPr>
          <w:bCs/>
          <w:color w:val="auto"/>
          <w:highlight w:val="none"/>
          <w:lang w:val="zh-CN"/>
        </w:rPr>
        <w:fldChar w:fldCharType="begin"/>
      </w:r>
      <w:r>
        <w:rPr>
          <w:bCs/>
          <w:highlight w:val="none"/>
          <w:lang w:val="zh-CN"/>
        </w:rPr>
        <w:instrText xml:space="preserve"> HYPERLINK \l _Toc12338 </w:instrText>
      </w:r>
      <w:r>
        <w:rPr>
          <w:bCs/>
          <w:highlight w:val="none"/>
          <w:lang w:val="zh-CN"/>
        </w:rPr>
        <w:fldChar w:fldCharType="separate"/>
      </w:r>
      <w:r>
        <w:rPr>
          <w:highlight w:val="none"/>
        </w:rPr>
        <w:t>4.12-5</w:t>
      </w:r>
      <w:r>
        <w:rPr>
          <w:rFonts w:hint="eastAsia"/>
          <w:highlight w:val="none"/>
        </w:rPr>
        <w:t>总承包服务费计价表</w:t>
      </w:r>
      <w:r>
        <w:tab/>
      </w:r>
      <w:r>
        <w:fldChar w:fldCharType="begin"/>
      </w:r>
      <w:r>
        <w:instrText xml:space="preserve"> PAGEREF _Toc12338 \h </w:instrText>
      </w:r>
      <w:r>
        <w:fldChar w:fldCharType="separate"/>
      </w:r>
      <w:r>
        <w:t>1</w:t>
      </w:r>
      <w:r>
        <w:fldChar w:fldCharType="end"/>
      </w:r>
      <w:r>
        <w:rPr>
          <w:bCs/>
          <w:color w:val="auto"/>
          <w:highlight w:val="none"/>
          <w:lang w:val="zh-CN"/>
        </w:rPr>
        <w:fldChar w:fldCharType="end"/>
      </w:r>
    </w:p>
    <w:p w14:paraId="30D2A6E4">
      <w:pPr>
        <w:pStyle w:val="8"/>
        <w:tabs>
          <w:tab w:val="right" w:leader="dot" w:pos="8290"/>
        </w:tabs>
      </w:pPr>
      <w:r>
        <w:rPr>
          <w:bCs/>
          <w:color w:val="auto"/>
          <w:highlight w:val="none"/>
          <w:lang w:val="zh-CN"/>
        </w:rPr>
        <w:fldChar w:fldCharType="begin"/>
      </w:r>
      <w:r>
        <w:rPr>
          <w:bCs/>
          <w:highlight w:val="none"/>
          <w:lang w:val="zh-CN"/>
        </w:rPr>
        <w:instrText xml:space="preserve"> HYPERLINK \l _Toc11274 </w:instrText>
      </w:r>
      <w:r>
        <w:rPr>
          <w:bCs/>
          <w:highlight w:val="none"/>
          <w:lang w:val="zh-CN"/>
        </w:rPr>
        <w:fldChar w:fldCharType="separate"/>
      </w:r>
      <w:r>
        <w:rPr>
          <w:highlight w:val="none"/>
        </w:rPr>
        <w:t>4.13</w:t>
      </w:r>
      <w:r>
        <w:rPr>
          <w:rFonts w:hint="eastAsia"/>
          <w:highlight w:val="none"/>
        </w:rPr>
        <w:t>规费、税金项目计价表</w:t>
      </w:r>
      <w:r>
        <w:tab/>
      </w:r>
      <w:r>
        <w:fldChar w:fldCharType="begin"/>
      </w:r>
      <w:r>
        <w:instrText xml:space="preserve"> PAGEREF _Toc11274 \h </w:instrText>
      </w:r>
      <w:r>
        <w:fldChar w:fldCharType="separate"/>
      </w:r>
      <w:r>
        <w:t>1</w:t>
      </w:r>
      <w:r>
        <w:fldChar w:fldCharType="end"/>
      </w:r>
      <w:r>
        <w:rPr>
          <w:bCs/>
          <w:color w:val="auto"/>
          <w:highlight w:val="none"/>
          <w:lang w:val="zh-CN"/>
        </w:rPr>
        <w:fldChar w:fldCharType="end"/>
      </w:r>
    </w:p>
    <w:p w14:paraId="4D3220D6">
      <w:pPr>
        <w:pStyle w:val="8"/>
        <w:tabs>
          <w:tab w:val="right" w:leader="dot" w:pos="8290"/>
        </w:tabs>
      </w:pPr>
      <w:r>
        <w:rPr>
          <w:bCs/>
          <w:color w:val="auto"/>
          <w:highlight w:val="none"/>
          <w:lang w:val="zh-CN"/>
        </w:rPr>
        <w:fldChar w:fldCharType="begin"/>
      </w:r>
      <w:r>
        <w:rPr>
          <w:bCs/>
          <w:highlight w:val="none"/>
          <w:lang w:val="zh-CN"/>
        </w:rPr>
        <w:instrText xml:space="preserve"> HYPERLINK \l _Toc19753 </w:instrText>
      </w:r>
      <w:r>
        <w:rPr>
          <w:bCs/>
          <w:highlight w:val="none"/>
          <w:lang w:val="zh-CN"/>
        </w:rPr>
        <w:fldChar w:fldCharType="separate"/>
      </w:r>
      <w:r>
        <w:rPr>
          <w:highlight w:val="none"/>
        </w:rPr>
        <w:t>4.14</w:t>
      </w:r>
      <w:r>
        <w:rPr>
          <w:rFonts w:hint="eastAsia"/>
          <w:highlight w:val="none"/>
        </w:rPr>
        <w:t>发包人提供材料和工程设备一览表</w:t>
      </w:r>
      <w:r>
        <w:tab/>
      </w:r>
      <w:r>
        <w:fldChar w:fldCharType="begin"/>
      </w:r>
      <w:r>
        <w:instrText xml:space="preserve"> PAGEREF _Toc19753 \h </w:instrText>
      </w:r>
      <w:r>
        <w:fldChar w:fldCharType="separate"/>
      </w:r>
      <w:r>
        <w:t>1</w:t>
      </w:r>
      <w:r>
        <w:fldChar w:fldCharType="end"/>
      </w:r>
      <w:r>
        <w:rPr>
          <w:bCs/>
          <w:color w:val="auto"/>
          <w:highlight w:val="none"/>
          <w:lang w:val="zh-CN"/>
        </w:rPr>
        <w:fldChar w:fldCharType="end"/>
      </w:r>
    </w:p>
    <w:p w14:paraId="4974F70E">
      <w:pPr>
        <w:pStyle w:val="8"/>
        <w:tabs>
          <w:tab w:val="right" w:leader="dot" w:pos="8290"/>
        </w:tabs>
      </w:pPr>
      <w:r>
        <w:rPr>
          <w:bCs/>
          <w:color w:val="auto"/>
          <w:highlight w:val="none"/>
          <w:lang w:val="zh-CN"/>
        </w:rPr>
        <w:fldChar w:fldCharType="begin"/>
      </w:r>
      <w:r>
        <w:rPr>
          <w:bCs/>
          <w:highlight w:val="none"/>
          <w:lang w:val="zh-CN"/>
        </w:rPr>
        <w:instrText xml:space="preserve"> HYPERLINK \l _Toc30087 </w:instrText>
      </w:r>
      <w:r>
        <w:rPr>
          <w:bCs/>
          <w:highlight w:val="none"/>
          <w:lang w:val="zh-CN"/>
        </w:rPr>
        <w:fldChar w:fldCharType="separate"/>
      </w:r>
      <w:r>
        <w:rPr>
          <w:highlight w:val="none"/>
        </w:rPr>
        <w:t>4.15</w:t>
      </w:r>
      <w:r>
        <w:rPr>
          <w:rFonts w:hint="eastAsia"/>
          <w:highlight w:val="none"/>
        </w:rPr>
        <w:t>承包人提供主要材料和工程设备一览表</w:t>
      </w:r>
      <w:r>
        <w:rPr>
          <w:rFonts w:hint="eastAsia" w:ascii="宋体" w:hAnsi="宋体" w:eastAsia="宋体"/>
          <w:highlight w:val="none"/>
        </w:rPr>
        <w:t>（适用于造价信息差额调整法）</w:t>
      </w:r>
      <w:r>
        <w:tab/>
      </w:r>
      <w:r>
        <w:fldChar w:fldCharType="begin"/>
      </w:r>
      <w:r>
        <w:instrText xml:space="preserve"> PAGEREF _Toc30087 \h </w:instrText>
      </w:r>
      <w:r>
        <w:fldChar w:fldCharType="separate"/>
      </w:r>
      <w:r>
        <w:t>1</w:t>
      </w:r>
      <w:r>
        <w:fldChar w:fldCharType="end"/>
      </w:r>
      <w:r>
        <w:rPr>
          <w:bCs/>
          <w:color w:val="auto"/>
          <w:highlight w:val="none"/>
          <w:lang w:val="zh-CN"/>
        </w:rPr>
        <w:fldChar w:fldCharType="end"/>
      </w:r>
    </w:p>
    <w:p w14:paraId="7A341A5D">
      <w:pPr>
        <w:pStyle w:val="8"/>
        <w:tabs>
          <w:tab w:val="right" w:leader="dot" w:pos="8290"/>
        </w:tabs>
      </w:pPr>
      <w:r>
        <w:rPr>
          <w:bCs/>
          <w:color w:val="auto"/>
          <w:highlight w:val="none"/>
          <w:lang w:val="zh-CN"/>
        </w:rPr>
        <w:fldChar w:fldCharType="begin"/>
      </w:r>
      <w:r>
        <w:rPr>
          <w:bCs/>
          <w:highlight w:val="none"/>
          <w:lang w:val="zh-CN"/>
        </w:rPr>
        <w:instrText xml:space="preserve"> HYPERLINK \l _Toc15402 </w:instrText>
      </w:r>
      <w:r>
        <w:rPr>
          <w:bCs/>
          <w:highlight w:val="none"/>
          <w:lang w:val="zh-CN"/>
        </w:rPr>
        <w:fldChar w:fldCharType="separate"/>
      </w:r>
      <w:r>
        <w:rPr>
          <w:highlight w:val="none"/>
        </w:rPr>
        <w:t>4.16</w:t>
      </w:r>
      <w:r>
        <w:rPr>
          <w:rFonts w:hint="eastAsia"/>
          <w:highlight w:val="none"/>
        </w:rPr>
        <w:t>承包人提供主要材料和工程设备一览表</w:t>
      </w:r>
      <w:r>
        <w:rPr>
          <w:rFonts w:hint="eastAsia" w:ascii="宋体" w:hAnsi="宋体" w:eastAsia="宋体"/>
          <w:highlight w:val="none"/>
        </w:rPr>
        <w:t>（适用于价格指数差额调整法）</w:t>
      </w:r>
      <w:r>
        <w:tab/>
      </w:r>
      <w:r>
        <w:fldChar w:fldCharType="begin"/>
      </w:r>
      <w:r>
        <w:instrText xml:space="preserve"> PAGEREF _Toc15402 \h </w:instrText>
      </w:r>
      <w:r>
        <w:fldChar w:fldCharType="separate"/>
      </w:r>
      <w:r>
        <w:t>1</w:t>
      </w:r>
      <w:r>
        <w:fldChar w:fldCharType="end"/>
      </w:r>
      <w:r>
        <w:rPr>
          <w:bCs/>
          <w:color w:val="auto"/>
          <w:highlight w:val="none"/>
          <w:lang w:val="zh-CN"/>
        </w:rPr>
        <w:fldChar w:fldCharType="end"/>
      </w:r>
    </w:p>
    <w:p w14:paraId="5088C849">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_Toc16445 </w:instrText>
      </w:r>
      <w:r>
        <w:rPr>
          <w:bCs/>
          <w:highlight w:val="none"/>
          <w:lang w:val="zh-CN"/>
        </w:rPr>
        <w:fldChar w:fldCharType="separate"/>
      </w:r>
      <w:r>
        <w:rPr>
          <w:rFonts w:hint="eastAsia" w:ascii="黑体" w:hAnsi="黑体" w:eastAsia="黑体"/>
          <w:bCs w:val="0"/>
          <w:szCs w:val="48"/>
          <w:highlight w:val="none"/>
        </w:rPr>
        <w:t>第二卷</w:t>
      </w:r>
      <w:r>
        <w:tab/>
      </w:r>
      <w:r>
        <w:fldChar w:fldCharType="begin"/>
      </w:r>
      <w:r>
        <w:instrText xml:space="preserve"> PAGEREF _Toc16445 \h </w:instrText>
      </w:r>
      <w:r>
        <w:fldChar w:fldCharType="separate"/>
      </w:r>
      <w:r>
        <w:t>1</w:t>
      </w:r>
      <w:r>
        <w:fldChar w:fldCharType="end"/>
      </w:r>
      <w:r>
        <w:rPr>
          <w:bCs/>
          <w:color w:val="auto"/>
          <w:highlight w:val="none"/>
          <w:lang w:val="zh-CN"/>
        </w:rPr>
        <w:fldChar w:fldCharType="end"/>
      </w:r>
    </w:p>
    <w:p w14:paraId="5A9A0001">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_Toc9855 </w:instrText>
      </w:r>
      <w:r>
        <w:rPr>
          <w:bCs/>
          <w:highlight w:val="none"/>
          <w:lang w:val="zh-CN"/>
        </w:rPr>
        <w:fldChar w:fldCharType="separate"/>
      </w:r>
      <w:r>
        <w:rPr>
          <w:rFonts w:hint="eastAsia" w:ascii="黑体" w:hAnsi="黑体" w:eastAsia="黑体"/>
          <w:bCs w:val="0"/>
          <w:highlight w:val="none"/>
        </w:rPr>
        <w:t>第六章  图  纸</w:t>
      </w:r>
      <w:r>
        <w:tab/>
      </w:r>
      <w:r>
        <w:fldChar w:fldCharType="begin"/>
      </w:r>
      <w:r>
        <w:instrText xml:space="preserve"> PAGEREF _Toc9855 \h </w:instrText>
      </w:r>
      <w:r>
        <w:fldChar w:fldCharType="separate"/>
      </w:r>
      <w:r>
        <w:t>1</w:t>
      </w:r>
      <w:r>
        <w:fldChar w:fldCharType="end"/>
      </w:r>
      <w:r>
        <w:rPr>
          <w:bCs/>
          <w:color w:val="auto"/>
          <w:highlight w:val="none"/>
          <w:lang w:val="zh-CN"/>
        </w:rPr>
        <w:fldChar w:fldCharType="end"/>
      </w:r>
    </w:p>
    <w:p w14:paraId="42E61F23">
      <w:pPr>
        <w:pStyle w:val="13"/>
        <w:tabs>
          <w:tab w:val="right" w:leader="dot" w:pos="8290"/>
        </w:tabs>
      </w:pPr>
      <w:r>
        <w:rPr>
          <w:bCs/>
          <w:color w:val="auto"/>
          <w:highlight w:val="none"/>
          <w:lang w:val="zh-CN"/>
        </w:rPr>
        <w:fldChar w:fldCharType="begin"/>
      </w:r>
      <w:r>
        <w:rPr>
          <w:bCs/>
          <w:highlight w:val="none"/>
          <w:lang w:val="zh-CN"/>
        </w:rPr>
        <w:instrText xml:space="preserve"> HYPERLINK \l _Toc27894 </w:instrText>
      </w:r>
      <w:r>
        <w:rPr>
          <w:bCs/>
          <w:highlight w:val="none"/>
          <w:lang w:val="zh-CN"/>
        </w:rPr>
        <w:fldChar w:fldCharType="separate"/>
      </w:r>
      <w:r>
        <w:rPr>
          <w:rFonts w:hint="eastAsia"/>
          <w:szCs w:val="24"/>
          <w:highlight w:val="none"/>
        </w:rPr>
        <w:t>1．图纸目录</w:t>
      </w:r>
      <w:r>
        <w:tab/>
      </w:r>
      <w:r>
        <w:fldChar w:fldCharType="begin"/>
      </w:r>
      <w:r>
        <w:instrText xml:space="preserve"> PAGEREF _Toc27894 \h </w:instrText>
      </w:r>
      <w:r>
        <w:fldChar w:fldCharType="separate"/>
      </w:r>
      <w:r>
        <w:t>1</w:t>
      </w:r>
      <w:r>
        <w:fldChar w:fldCharType="end"/>
      </w:r>
      <w:r>
        <w:rPr>
          <w:bCs/>
          <w:color w:val="auto"/>
          <w:highlight w:val="none"/>
          <w:lang w:val="zh-CN"/>
        </w:rPr>
        <w:fldChar w:fldCharType="end"/>
      </w:r>
    </w:p>
    <w:p w14:paraId="5EE17CA1">
      <w:pPr>
        <w:pStyle w:val="13"/>
        <w:tabs>
          <w:tab w:val="right" w:leader="dot" w:pos="8290"/>
        </w:tabs>
      </w:pPr>
      <w:r>
        <w:rPr>
          <w:bCs/>
          <w:color w:val="auto"/>
          <w:highlight w:val="none"/>
          <w:lang w:val="zh-CN"/>
        </w:rPr>
        <w:fldChar w:fldCharType="begin"/>
      </w:r>
      <w:r>
        <w:rPr>
          <w:bCs/>
          <w:highlight w:val="none"/>
          <w:lang w:val="zh-CN"/>
        </w:rPr>
        <w:instrText xml:space="preserve"> HYPERLINK \l _Toc31696 </w:instrText>
      </w:r>
      <w:r>
        <w:rPr>
          <w:bCs/>
          <w:highlight w:val="none"/>
          <w:lang w:val="zh-CN"/>
        </w:rPr>
        <w:fldChar w:fldCharType="separate"/>
      </w:r>
      <w:r>
        <w:rPr>
          <w:rFonts w:hint="eastAsia"/>
          <w:szCs w:val="24"/>
          <w:highlight w:val="none"/>
        </w:rPr>
        <w:t>2．图  纸</w:t>
      </w:r>
      <w:r>
        <w:tab/>
      </w:r>
      <w:r>
        <w:fldChar w:fldCharType="begin"/>
      </w:r>
      <w:r>
        <w:instrText xml:space="preserve"> PAGEREF _Toc31696 \h </w:instrText>
      </w:r>
      <w:r>
        <w:fldChar w:fldCharType="separate"/>
      </w:r>
      <w:r>
        <w:t>1</w:t>
      </w:r>
      <w:r>
        <w:fldChar w:fldCharType="end"/>
      </w:r>
      <w:r>
        <w:rPr>
          <w:bCs/>
          <w:color w:val="auto"/>
          <w:highlight w:val="none"/>
          <w:lang w:val="zh-CN"/>
        </w:rPr>
        <w:fldChar w:fldCharType="end"/>
      </w:r>
    </w:p>
    <w:p w14:paraId="4EAAEC8A">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_Toc32433 </w:instrText>
      </w:r>
      <w:r>
        <w:rPr>
          <w:bCs/>
          <w:highlight w:val="none"/>
          <w:lang w:val="zh-CN"/>
        </w:rPr>
        <w:fldChar w:fldCharType="separate"/>
      </w:r>
      <w:r>
        <w:rPr>
          <w:rFonts w:hint="eastAsia" w:ascii="黑体" w:hAnsi="黑体" w:eastAsia="黑体"/>
          <w:bCs w:val="0"/>
          <w:szCs w:val="48"/>
          <w:highlight w:val="none"/>
        </w:rPr>
        <w:t>第三卷</w:t>
      </w:r>
      <w:r>
        <w:tab/>
      </w:r>
      <w:r>
        <w:fldChar w:fldCharType="begin"/>
      </w:r>
      <w:r>
        <w:instrText xml:space="preserve"> PAGEREF _Toc32433 \h </w:instrText>
      </w:r>
      <w:r>
        <w:fldChar w:fldCharType="separate"/>
      </w:r>
      <w:r>
        <w:t>1</w:t>
      </w:r>
      <w:r>
        <w:fldChar w:fldCharType="end"/>
      </w:r>
      <w:r>
        <w:rPr>
          <w:bCs/>
          <w:color w:val="auto"/>
          <w:highlight w:val="none"/>
          <w:lang w:val="zh-CN"/>
        </w:rPr>
        <w:fldChar w:fldCharType="end"/>
      </w:r>
    </w:p>
    <w:p w14:paraId="1BA2CD9A">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_Toc9517 </w:instrText>
      </w:r>
      <w:r>
        <w:rPr>
          <w:bCs/>
          <w:highlight w:val="none"/>
          <w:lang w:val="zh-CN"/>
        </w:rPr>
        <w:fldChar w:fldCharType="separate"/>
      </w:r>
      <w:r>
        <w:rPr>
          <w:rFonts w:hint="eastAsia" w:ascii="黑体" w:hAnsi="黑体" w:eastAsia="黑体"/>
          <w:bCs w:val="0"/>
          <w:highlight w:val="none"/>
        </w:rPr>
        <w:t>第七章  技术标准和要求</w:t>
      </w:r>
      <w:r>
        <w:tab/>
      </w:r>
      <w:r>
        <w:fldChar w:fldCharType="begin"/>
      </w:r>
      <w:r>
        <w:instrText xml:space="preserve"> PAGEREF _Toc9517 \h </w:instrText>
      </w:r>
      <w:r>
        <w:fldChar w:fldCharType="separate"/>
      </w:r>
      <w:r>
        <w:t>1</w:t>
      </w:r>
      <w:r>
        <w:fldChar w:fldCharType="end"/>
      </w:r>
      <w:r>
        <w:rPr>
          <w:bCs/>
          <w:color w:val="auto"/>
          <w:highlight w:val="none"/>
          <w:lang w:val="zh-CN"/>
        </w:rPr>
        <w:fldChar w:fldCharType="end"/>
      </w:r>
    </w:p>
    <w:p w14:paraId="7EF2D690">
      <w:pPr>
        <w:pStyle w:val="13"/>
        <w:tabs>
          <w:tab w:val="right" w:leader="dot" w:pos="8290"/>
        </w:tabs>
      </w:pPr>
      <w:r>
        <w:rPr>
          <w:bCs/>
          <w:color w:val="auto"/>
          <w:highlight w:val="none"/>
          <w:lang w:val="zh-CN"/>
        </w:rPr>
        <w:fldChar w:fldCharType="begin"/>
      </w:r>
      <w:r>
        <w:rPr>
          <w:bCs/>
          <w:highlight w:val="none"/>
          <w:lang w:val="zh-CN"/>
        </w:rPr>
        <w:instrText xml:space="preserve"> HYPERLINK \l _Toc11280 </w:instrText>
      </w:r>
      <w:r>
        <w:rPr>
          <w:bCs/>
          <w:highlight w:val="none"/>
          <w:lang w:val="zh-CN"/>
        </w:rPr>
        <w:fldChar w:fldCharType="separate"/>
      </w:r>
      <w:r>
        <w:rPr>
          <w:rFonts w:hint="eastAsia"/>
          <w:highlight w:val="none"/>
        </w:rPr>
        <w:t>第一节</w:t>
      </w:r>
      <w:r>
        <w:rPr>
          <w:highlight w:val="none"/>
        </w:rPr>
        <w:t xml:space="preserve"> </w:t>
      </w:r>
      <w:r>
        <w:rPr>
          <w:rFonts w:hint="eastAsia"/>
          <w:highlight w:val="none"/>
        </w:rPr>
        <w:t>一般要求</w:t>
      </w:r>
      <w:r>
        <w:tab/>
      </w:r>
      <w:r>
        <w:fldChar w:fldCharType="begin"/>
      </w:r>
      <w:r>
        <w:instrText xml:space="preserve"> PAGEREF _Toc11280 \h </w:instrText>
      </w:r>
      <w:r>
        <w:fldChar w:fldCharType="separate"/>
      </w:r>
      <w:r>
        <w:t>1</w:t>
      </w:r>
      <w:r>
        <w:fldChar w:fldCharType="end"/>
      </w:r>
      <w:r>
        <w:rPr>
          <w:bCs/>
          <w:color w:val="auto"/>
          <w:highlight w:val="none"/>
          <w:lang w:val="zh-CN"/>
        </w:rPr>
        <w:fldChar w:fldCharType="end"/>
      </w:r>
    </w:p>
    <w:p w14:paraId="648EF677">
      <w:pPr>
        <w:pStyle w:val="8"/>
        <w:tabs>
          <w:tab w:val="right" w:leader="dot" w:pos="8290"/>
        </w:tabs>
      </w:pPr>
      <w:r>
        <w:rPr>
          <w:bCs/>
          <w:color w:val="auto"/>
          <w:highlight w:val="none"/>
          <w:lang w:val="zh-CN"/>
        </w:rPr>
        <w:fldChar w:fldCharType="begin"/>
      </w:r>
      <w:r>
        <w:rPr>
          <w:bCs/>
          <w:highlight w:val="none"/>
          <w:lang w:val="zh-CN"/>
        </w:rPr>
        <w:instrText xml:space="preserve"> HYPERLINK \l _Toc20821 </w:instrText>
      </w:r>
      <w:r>
        <w:rPr>
          <w:bCs/>
          <w:highlight w:val="none"/>
          <w:lang w:val="zh-CN"/>
        </w:rPr>
        <w:fldChar w:fldCharType="separate"/>
      </w:r>
      <w:r>
        <w:rPr>
          <w:rFonts w:eastAsia="黑体"/>
          <w:szCs w:val="28"/>
          <w:highlight w:val="none"/>
        </w:rPr>
        <w:t>1.</w:t>
      </w:r>
      <w:r>
        <w:rPr>
          <w:rFonts w:hint="eastAsia" w:eastAsia="黑体"/>
          <w:szCs w:val="28"/>
          <w:highlight w:val="none"/>
        </w:rPr>
        <w:t>工程说明</w:t>
      </w:r>
      <w:r>
        <w:tab/>
      </w:r>
      <w:r>
        <w:fldChar w:fldCharType="begin"/>
      </w:r>
      <w:r>
        <w:instrText xml:space="preserve"> PAGEREF _Toc20821 \h </w:instrText>
      </w:r>
      <w:r>
        <w:fldChar w:fldCharType="separate"/>
      </w:r>
      <w:r>
        <w:t>1</w:t>
      </w:r>
      <w:r>
        <w:fldChar w:fldCharType="end"/>
      </w:r>
      <w:r>
        <w:rPr>
          <w:bCs/>
          <w:color w:val="auto"/>
          <w:highlight w:val="none"/>
          <w:lang w:val="zh-CN"/>
        </w:rPr>
        <w:fldChar w:fldCharType="end"/>
      </w:r>
    </w:p>
    <w:p w14:paraId="65B1B7A4">
      <w:pPr>
        <w:pStyle w:val="8"/>
        <w:tabs>
          <w:tab w:val="right" w:leader="dot" w:pos="8290"/>
        </w:tabs>
      </w:pPr>
      <w:r>
        <w:rPr>
          <w:bCs/>
          <w:color w:val="auto"/>
          <w:highlight w:val="none"/>
          <w:lang w:val="zh-CN"/>
        </w:rPr>
        <w:fldChar w:fldCharType="begin"/>
      </w:r>
      <w:r>
        <w:rPr>
          <w:bCs/>
          <w:highlight w:val="none"/>
          <w:lang w:val="zh-CN"/>
        </w:rPr>
        <w:instrText xml:space="preserve"> HYPERLINK \l _Toc30953 </w:instrText>
      </w:r>
      <w:r>
        <w:rPr>
          <w:bCs/>
          <w:highlight w:val="none"/>
          <w:lang w:val="zh-CN"/>
        </w:rPr>
        <w:fldChar w:fldCharType="separate"/>
      </w:r>
      <w:r>
        <w:rPr>
          <w:rFonts w:eastAsia="黑体"/>
          <w:szCs w:val="28"/>
          <w:highlight w:val="none"/>
        </w:rPr>
        <w:t>2.</w:t>
      </w:r>
      <w:r>
        <w:rPr>
          <w:rFonts w:hint="eastAsia" w:eastAsia="黑体"/>
          <w:szCs w:val="28"/>
          <w:highlight w:val="none"/>
        </w:rPr>
        <w:t>承包范围</w:t>
      </w:r>
      <w:r>
        <w:tab/>
      </w:r>
      <w:r>
        <w:fldChar w:fldCharType="begin"/>
      </w:r>
      <w:r>
        <w:instrText xml:space="preserve"> PAGEREF _Toc30953 \h </w:instrText>
      </w:r>
      <w:r>
        <w:fldChar w:fldCharType="separate"/>
      </w:r>
      <w:r>
        <w:t>1</w:t>
      </w:r>
      <w:r>
        <w:fldChar w:fldCharType="end"/>
      </w:r>
      <w:r>
        <w:rPr>
          <w:bCs/>
          <w:color w:val="auto"/>
          <w:highlight w:val="none"/>
          <w:lang w:val="zh-CN"/>
        </w:rPr>
        <w:fldChar w:fldCharType="end"/>
      </w:r>
    </w:p>
    <w:p w14:paraId="364964CB">
      <w:pPr>
        <w:pStyle w:val="8"/>
        <w:tabs>
          <w:tab w:val="right" w:leader="dot" w:pos="8290"/>
        </w:tabs>
      </w:pPr>
      <w:r>
        <w:rPr>
          <w:bCs/>
          <w:color w:val="auto"/>
          <w:highlight w:val="none"/>
          <w:lang w:val="zh-CN"/>
        </w:rPr>
        <w:fldChar w:fldCharType="begin"/>
      </w:r>
      <w:r>
        <w:rPr>
          <w:bCs/>
          <w:highlight w:val="none"/>
          <w:lang w:val="zh-CN"/>
        </w:rPr>
        <w:instrText xml:space="preserve"> HYPERLINK \l _Toc11384 </w:instrText>
      </w:r>
      <w:r>
        <w:rPr>
          <w:bCs/>
          <w:highlight w:val="none"/>
          <w:lang w:val="zh-CN"/>
        </w:rPr>
        <w:fldChar w:fldCharType="separate"/>
      </w:r>
      <w:r>
        <w:rPr>
          <w:rFonts w:eastAsia="黑体"/>
          <w:szCs w:val="28"/>
          <w:highlight w:val="none"/>
        </w:rPr>
        <w:t>3.</w:t>
      </w:r>
      <w:r>
        <w:rPr>
          <w:rFonts w:hint="eastAsia" w:eastAsia="黑体"/>
          <w:szCs w:val="28"/>
          <w:highlight w:val="none"/>
        </w:rPr>
        <w:t>工期要求</w:t>
      </w:r>
      <w:r>
        <w:tab/>
      </w:r>
      <w:r>
        <w:fldChar w:fldCharType="begin"/>
      </w:r>
      <w:r>
        <w:instrText xml:space="preserve"> PAGEREF _Toc11384 \h </w:instrText>
      </w:r>
      <w:r>
        <w:fldChar w:fldCharType="separate"/>
      </w:r>
      <w:r>
        <w:t>1</w:t>
      </w:r>
      <w:r>
        <w:fldChar w:fldCharType="end"/>
      </w:r>
      <w:r>
        <w:rPr>
          <w:bCs/>
          <w:color w:val="auto"/>
          <w:highlight w:val="none"/>
          <w:lang w:val="zh-CN"/>
        </w:rPr>
        <w:fldChar w:fldCharType="end"/>
      </w:r>
    </w:p>
    <w:p w14:paraId="5FF9A1E7">
      <w:pPr>
        <w:pStyle w:val="8"/>
        <w:tabs>
          <w:tab w:val="right" w:leader="dot" w:pos="8290"/>
        </w:tabs>
      </w:pPr>
      <w:r>
        <w:rPr>
          <w:bCs/>
          <w:color w:val="auto"/>
          <w:highlight w:val="none"/>
          <w:lang w:val="zh-CN"/>
        </w:rPr>
        <w:fldChar w:fldCharType="begin"/>
      </w:r>
      <w:r>
        <w:rPr>
          <w:bCs/>
          <w:highlight w:val="none"/>
          <w:lang w:val="zh-CN"/>
        </w:rPr>
        <w:instrText xml:space="preserve"> HYPERLINK \l _Toc408 </w:instrText>
      </w:r>
      <w:r>
        <w:rPr>
          <w:bCs/>
          <w:highlight w:val="none"/>
          <w:lang w:val="zh-CN"/>
        </w:rPr>
        <w:fldChar w:fldCharType="separate"/>
      </w:r>
      <w:r>
        <w:rPr>
          <w:rFonts w:eastAsia="黑体"/>
          <w:szCs w:val="28"/>
          <w:highlight w:val="none"/>
        </w:rPr>
        <w:t>4.</w:t>
      </w:r>
      <w:r>
        <w:rPr>
          <w:rFonts w:hint="eastAsia" w:eastAsia="黑体"/>
          <w:szCs w:val="28"/>
          <w:highlight w:val="none"/>
        </w:rPr>
        <w:t>质量要求</w:t>
      </w:r>
      <w:r>
        <w:tab/>
      </w:r>
      <w:r>
        <w:fldChar w:fldCharType="begin"/>
      </w:r>
      <w:r>
        <w:instrText xml:space="preserve"> PAGEREF _Toc408 \h </w:instrText>
      </w:r>
      <w:r>
        <w:fldChar w:fldCharType="separate"/>
      </w:r>
      <w:r>
        <w:t>1</w:t>
      </w:r>
      <w:r>
        <w:fldChar w:fldCharType="end"/>
      </w:r>
      <w:r>
        <w:rPr>
          <w:bCs/>
          <w:color w:val="auto"/>
          <w:highlight w:val="none"/>
          <w:lang w:val="zh-CN"/>
        </w:rPr>
        <w:fldChar w:fldCharType="end"/>
      </w:r>
    </w:p>
    <w:p w14:paraId="070C7A4B">
      <w:pPr>
        <w:pStyle w:val="8"/>
        <w:tabs>
          <w:tab w:val="right" w:leader="dot" w:pos="8290"/>
        </w:tabs>
      </w:pPr>
      <w:r>
        <w:rPr>
          <w:bCs/>
          <w:color w:val="auto"/>
          <w:highlight w:val="none"/>
          <w:lang w:val="zh-CN"/>
        </w:rPr>
        <w:fldChar w:fldCharType="begin"/>
      </w:r>
      <w:r>
        <w:rPr>
          <w:bCs/>
          <w:highlight w:val="none"/>
          <w:lang w:val="zh-CN"/>
        </w:rPr>
        <w:instrText xml:space="preserve"> HYPERLINK \l _Toc9923 </w:instrText>
      </w:r>
      <w:r>
        <w:rPr>
          <w:bCs/>
          <w:highlight w:val="none"/>
          <w:lang w:val="zh-CN"/>
        </w:rPr>
        <w:fldChar w:fldCharType="separate"/>
      </w:r>
      <w:r>
        <w:rPr>
          <w:rFonts w:eastAsia="黑体"/>
          <w:szCs w:val="28"/>
          <w:highlight w:val="none"/>
        </w:rPr>
        <w:t>5.</w:t>
      </w:r>
      <w:r>
        <w:rPr>
          <w:rFonts w:hint="eastAsia" w:eastAsia="黑体"/>
          <w:szCs w:val="28"/>
          <w:highlight w:val="none"/>
        </w:rPr>
        <w:t>适用规范和标准</w:t>
      </w:r>
      <w:r>
        <w:tab/>
      </w:r>
      <w:r>
        <w:fldChar w:fldCharType="begin"/>
      </w:r>
      <w:r>
        <w:instrText xml:space="preserve"> PAGEREF _Toc9923 \h </w:instrText>
      </w:r>
      <w:r>
        <w:fldChar w:fldCharType="separate"/>
      </w:r>
      <w:r>
        <w:t>1</w:t>
      </w:r>
      <w:r>
        <w:fldChar w:fldCharType="end"/>
      </w:r>
      <w:r>
        <w:rPr>
          <w:bCs/>
          <w:color w:val="auto"/>
          <w:highlight w:val="none"/>
          <w:lang w:val="zh-CN"/>
        </w:rPr>
        <w:fldChar w:fldCharType="end"/>
      </w:r>
    </w:p>
    <w:p w14:paraId="675204A8">
      <w:pPr>
        <w:pStyle w:val="8"/>
        <w:tabs>
          <w:tab w:val="right" w:leader="dot" w:pos="8290"/>
        </w:tabs>
      </w:pPr>
      <w:r>
        <w:rPr>
          <w:bCs/>
          <w:color w:val="auto"/>
          <w:highlight w:val="none"/>
          <w:lang w:val="zh-CN"/>
        </w:rPr>
        <w:fldChar w:fldCharType="begin"/>
      </w:r>
      <w:r>
        <w:rPr>
          <w:bCs/>
          <w:highlight w:val="none"/>
          <w:lang w:val="zh-CN"/>
        </w:rPr>
        <w:instrText xml:space="preserve"> HYPERLINK \l _Toc11729 </w:instrText>
      </w:r>
      <w:r>
        <w:rPr>
          <w:bCs/>
          <w:highlight w:val="none"/>
          <w:lang w:val="zh-CN"/>
        </w:rPr>
        <w:fldChar w:fldCharType="separate"/>
      </w:r>
      <w:r>
        <w:rPr>
          <w:rFonts w:eastAsia="黑体"/>
          <w:szCs w:val="28"/>
          <w:highlight w:val="none"/>
        </w:rPr>
        <w:t>6.</w:t>
      </w:r>
      <w:r>
        <w:rPr>
          <w:rFonts w:hint="eastAsia" w:eastAsia="黑体"/>
          <w:szCs w:val="28"/>
          <w:highlight w:val="none"/>
        </w:rPr>
        <w:t>安全文明施工</w:t>
      </w:r>
      <w:r>
        <w:tab/>
      </w:r>
      <w:r>
        <w:fldChar w:fldCharType="begin"/>
      </w:r>
      <w:r>
        <w:instrText xml:space="preserve"> PAGEREF _Toc11729 \h </w:instrText>
      </w:r>
      <w:r>
        <w:fldChar w:fldCharType="separate"/>
      </w:r>
      <w:r>
        <w:t>1</w:t>
      </w:r>
      <w:r>
        <w:fldChar w:fldCharType="end"/>
      </w:r>
      <w:r>
        <w:rPr>
          <w:bCs/>
          <w:color w:val="auto"/>
          <w:highlight w:val="none"/>
          <w:lang w:val="zh-CN"/>
        </w:rPr>
        <w:fldChar w:fldCharType="end"/>
      </w:r>
    </w:p>
    <w:p w14:paraId="3AC2CC9A">
      <w:pPr>
        <w:pStyle w:val="8"/>
        <w:tabs>
          <w:tab w:val="right" w:leader="dot" w:pos="8290"/>
        </w:tabs>
      </w:pPr>
      <w:r>
        <w:rPr>
          <w:bCs/>
          <w:color w:val="auto"/>
          <w:highlight w:val="none"/>
          <w:lang w:val="zh-CN"/>
        </w:rPr>
        <w:fldChar w:fldCharType="begin"/>
      </w:r>
      <w:r>
        <w:rPr>
          <w:bCs/>
          <w:highlight w:val="none"/>
          <w:lang w:val="zh-CN"/>
        </w:rPr>
        <w:instrText xml:space="preserve"> HYPERLINK \l _Toc18540 </w:instrText>
      </w:r>
      <w:r>
        <w:rPr>
          <w:bCs/>
          <w:highlight w:val="none"/>
          <w:lang w:val="zh-CN"/>
        </w:rPr>
        <w:fldChar w:fldCharType="separate"/>
      </w:r>
      <w:r>
        <w:rPr>
          <w:rFonts w:eastAsia="黑体"/>
          <w:szCs w:val="28"/>
          <w:highlight w:val="none"/>
        </w:rPr>
        <w:t>7.</w:t>
      </w:r>
      <w:r>
        <w:rPr>
          <w:rFonts w:hint="eastAsia" w:eastAsia="黑体"/>
          <w:szCs w:val="28"/>
          <w:highlight w:val="none"/>
        </w:rPr>
        <w:t>治安保卫</w:t>
      </w:r>
      <w:r>
        <w:tab/>
      </w:r>
      <w:r>
        <w:fldChar w:fldCharType="begin"/>
      </w:r>
      <w:r>
        <w:instrText xml:space="preserve"> PAGEREF _Toc18540 \h </w:instrText>
      </w:r>
      <w:r>
        <w:fldChar w:fldCharType="separate"/>
      </w:r>
      <w:r>
        <w:t>1</w:t>
      </w:r>
      <w:r>
        <w:fldChar w:fldCharType="end"/>
      </w:r>
      <w:r>
        <w:rPr>
          <w:bCs/>
          <w:color w:val="auto"/>
          <w:highlight w:val="none"/>
          <w:lang w:val="zh-CN"/>
        </w:rPr>
        <w:fldChar w:fldCharType="end"/>
      </w:r>
    </w:p>
    <w:p w14:paraId="052A9EE5">
      <w:pPr>
        <w:pStyle w:val="8"/>
        <w:tabs>
          <w:tab w:val="right" w:leader="dot" w:pos="8290"/>
        </w:tabs>
      </w:pPr>
      <w:r>
        <w:rPr>
          <w:bCs/>
          <w:color w:val="auto"/>
          <w:highlight w:val="none"/>
          <w:lang w:val="zh-CN"/>
        </w:rPr>
        <w:fldChar w:fldCharType="begin"/>
      </w:r>
      <w:r>
        <w:rPr>
          <w:bCs/>
          <w:highlight w:val="none"/>
          <w:lang w:val="zh-CN"/>
        </w:rPr>
        <w:instrText xml:space="preserve"> HYPERLINK \l _Toc28408 </w:instrText>
      </w:r>
      <w:r>
        <w:rPr>
          <w:bCs/>
          <w:highlight w:val="none"/>
          <w:lang w:val="zh-CN"/>
        </w:rPr>
        <w:fldChar w:fldCharType="separate"/>
      </w:r>
      <w:r>
        <w:rPr>
          <w:rFonts w:eastAsia="黑体"/>
          <w:szCs w:val="28"/>
          <w:highlight w:val="none"/>
        </w:rPr>
        <w:t>8.</w:t>
      </w:r>
      <w:r>
        <w:rPr>
          <w:rFonts w:hint="eastAsia" w:eastAsia="黑体"/>
          <w:szCs w:val="28"/>
          <w:highlight w:val="none"/>
        </w:rPr>
        <w:t>地上、地下设施和周边建筑物的临时保护</w:t>
      </w:r>
      <w:r>
        <w:tab/>
      </w:r>
      <w:r>
        <w:fldChar w:fldCharType="begin"/>
      </w:r>
      <w:r>
        <w:instrText xml:space="preserve"> PAGEREF _Toc28408 \h </w:instrText>
      </w:r>
      <w:r>
        <w:fldChar w:fldCharType="separate"/>
      </w:r>
      <w:r>
        <w:t>1</w:t>
      </w:r>
      <w:r>
        <w:fldChar w:fldCharType="end"/>
      </w:r>
      <w:r>
        <w:rPr>
          <w:bCs/>
          <w:color w:val="auto"/>
          <w:highlight w:val="none"/>
          <w:lang w:val="zh-CN"/>
        </w:rPr>
        <w:fldChar w:fldCharType="end"/>
      </w:r>
    </w:p>
    <w:p w14:paraId="1EBD8A23">
      <w:pPr>
        <w:pStyle w:val="8"/>
        <w:tabs>
          <w:tab w:val="right" w:leader="dot" w:pos="8290"/>
        </w:tabs>
      </w:pPr>
      <w:r>
        <w:rPr>
          <w:bCs/>
          <w:color w:val="auto"/>
          <w:highlight w:val="none"/>
          <w:lang w:val="zh-CN"/>
        </w:rPr>
        <w:fldChar w:fldCharType="begin"/>
      </w:r>
      <w:r>
        <w:rPr>
          <w:bCs/>
          <w:highlight w:val="none"/>
          <w:lang w:val="zh-CN"/>
        </w:rPr>
        <w:instrText xml:space="preserve"> HYPERLINK \l _Toc18216 </w:instrText>
      </w:r>
      <w:r>
        <w:rPr>
          <w:bCs/>
          <w:highlight w:val="none"/>
          <w:lang w:val="zh-CN"/>
        </w:rPr>
        <w:fldChar w:fldCharType="separate"/>
      </w:r>
      <w:r>
        <w:rPr>
          <w:rFonts w:eastAsia="黑体"/>
          <w:szCs w:val="28"/>
          <w:highlight w:val="none"/>
        </w:rPr>
        <w:t>9.</w:t>
      </w:r>
      <w:r>
        <w:rPr>
          <w:rFonts w:hint="eastAsia" w:eastAsia="黑体"/>
          <w:szCs w:val="28"/>
          <w:highlight w:val="none"/>
        </w:rPr>
        <w:t>样品和材料代换</w:t>
      </w:r>
      <w:r>
        <w:tab/>
      </w:r>
      <w:r>
        <w:fldChar w:fldCharType="begin"/>
      </w:r>
      <w:r>
        <w:instrText xml:space="preserve"> PAGEREF _Toc18216 \h </w:instrText>
      </w:r>
      <w:r>
        <w:fldChar w:fldCharType="separate"/>
      </w:r>
      <w:r>
        <w:t>1</w:t>
      </w:r>
      <w:r>
        <w:fldChar w:fldCharType="end"/>
      </w:r>
      <w:r>
        <w:rPr>
          <w:bCs/>
          <w:color w:val="auto"/>
          <w:highlight w:val="none"/>
          <w:lang w:val="zh-CN"/>
        </w:rPr>
        <w:fldChar w:fldCharType="end"/>
      </w:r>
    </w:p>
    <w:p w14:paraId="1E504A11">
      <w:pPr>
        <w:pStyle w:val="8"/>
        <w:tabs>
          <w:tab w:val="right" w:leader="dot" w:pos="8290"/>
        </w:tabs>
      </w:pPr>
      <w:r>
        <w:rPr>
          <w:bCs/>
          <w:color w:val="auto"/>
          <w:highlight w:val="none"/>
          <w:lang w:val="zh-CN"/>
        </w:rPr>
        <w:fldChar w:fldCharType="begin"/>
      </w:r>
      <w:r>
        <w:rPr>
          <w:bCs/>
          <w:highlight w:val="none"/>
          <w:lang w:val="zh-CN"/>
        </w:rPr>
        <w:instrText xml:space="preserve"> HYPERLINK \l _Toc3664 </w:instrText>
      </w:r>
      <w:r>
        <w:rPr>
          <w:bCs/>
          <w:highlight w:val="none"/>
          <w:lang w:val="zh-CN"/>
        </w:rPr>
        <w:fldChar w:fldCharType="separate"/>
      </w:r>
      <w:r>
        <w:rPr>
          <w:rFonts w:eastAsia="黑体"/>
          <w:szCs w:val="28"/>
          <w:highlight w:val="none"/>
        </w:rPr>
        <w:t>10.</w:t>
      </w:r>
      <w:r>
        <w:rPr>
          <w:rFonts w:hint="eastAsia" w:eastAsia="黑体"/>
          <w:szCs w:val="28"/>
          <w:highlight w:val="none"/>
        </w:rPr>
        <w:t>进口材料和工程设备</w:t>
      </w:r>
      <w:r>
        <w:tab/>
      </w:r>
      <w:r>
        <w:fldChar w:fldCharType="begin"/>
      </w:r>
      <w:r>
        <w:instrText xml:space="preserve"> PAGEREF _Toc3664 \h </w:instrText>
      </w:r>
      <w:r>
        <w:fldChar w:fldCharType="separate"/>
      </w:r>
      <w:r>
        <w:t>1</w:t>
      </w:r>
      <w:r>
        <w:fldChar w:fldCharType="end"/>
      </w:r>
      <w:r>
        <w:rPr>
          <w:bCs/>
          <w:color w:val="auto"/>
          <w:highlight w:val="none"/>
          <w:lang w:val="zh-CN"/>
        </w:rPr>
        <w:fldChar w:fldCharType="end"/>
      </w:r>
    </w:p>
    <w:p w14:paraId="6BAFFB38">
      <w:pPr>
        <w:pStyle w:val="8"/>
        <w:tabs>
          <w:tab w:val="right" w:leader="dot" w:pos="8290"/>
        </w:tabs>
      </w:pPr>
      <w:r>
        <w:rPr>
          <w:bCs/>
          <w:color w:val="auto"/>
          <w:highlight w:val="none"/>
          <w:lang w:val="zh-CN"/>
        </w:rPr>
        <w:fldChar w:fldCharType="begin"/>
      </w:r>
      <w:r>
        <w:rPr>
          <w:bCs/>
          <w:highlight w:val="none"/>
          <w:lang w:val="zh-CN"/>
        </w:rPr>
        <w:instrText xml:space="preserve"> HYPERLINK \l _Toc28706 </w:instrText>
      </w:r>
      <w:r>
        <w:rPr>
          <w:bCs/>
          <w:highlight w:val="none"/>
          <w:lang w:val="zh-CN"/>
        </w:rPr>
        <w:fldChar w:fldCharType="separate"/>
      </w:r>
      <w:r>
        <w:rPr>
          <w:rFonts w:eastAsia="黑体"/>
          <w:szCs w:val="28"/>
          <w:highlight w:val="none"/>
        </w:rPr>
        <w:t>11.</w:t>
      </w:r>
      <w:r>
        <w:rPr>
          <w:rFonts w:hint="eastAsia" w:eastAsia="黑体"/>
          <w:szCs w:val="28"/>
          <w:highlight w:val="none"/>
        </w:rPr>
        <w:t>进度报告和进度例会</w:t>
      </w:r>
      <w:r>
        <w:tab/>
      </w:r>
      <w:r>
        <w:fldChar w:fldCharType="begin"/>
      </w:r>
      <w:r>
        <w:instrText xml:space="preserve"> PAGEREF _Toc28706 \h </w:instrText>
      </w:r>
      <w:r>
        <w:fldChar w:fldCharType="separate"/>
      </w:r>
      <w:r>
        <w:t>1</w:t>
      </w:r>
      <w:r>
        <w:fldChar w:fldCharType="end"/>
      </w:r>
      <w:r>
        <w:rPr>
          <w:bCs/>
          <w:color w:val="auto"/>
          <w:highlight w:val="none"/>
          <w:lang w:val="zh-CN"/>
        </w:rPr>
        <w:fldChar w:fldCharType="end"/>
      </w:r>
    </w:p>
    <w:p w14:paraId="015E25E6">
      <w:pPr>
        <w:pStyle w:val="8"/>
        <w:tabs>
          <w:tab w:val="right" w:leader="dot" w:pos="8290"/>
        </w:tabs>
      </w:pPr>
      <w:r>
        <w:rPr>
          <w:bCs/>
          <w:color w:val="auto"/>
          <w:highlight w:val="none"/>
          <w:lang w:val="zh-CN"/>
        </w:rPr>
        <w:fldChar w:fldCharType="begin"/>
      </w:r>
      <w:r>
        <w:rPr>
          <w:bCs/>
          <w:highlight w:val="none"/>
          <w:lang w:val="zh-CN"/>
        </w:rPr>
        <w:instrText xml:space="preserve"> HYPERLINK \l _Toc29051 </w:instrText>
      </w:r>
      <w:r>
        <w:rPr>
          <w:bCs/>
          <w:highlight w:val="none"/>
          <w:lang w:val="zh-CN"/>
        </w:rPr>
        <w:fldChar w:fldCharType="separate"/>
      </w:r>
      <w:r>
        <w:rPr>
          <w:rFonts w:eastAsia="黑体"/>
          <w:szCs w:val="28"/>
          <w:highlight w:val="none"/>
        </w:rPr>
        <w:t>12.</w:t>
      </w:r>
      <w:r>
        <w:rPr>
          <w:rFonts w:hint="eastAsia" w:eastAsia="黑体"/>
          <w:szCs w:val="28"/>
          <w:highlight w:val="none"/>
        </w:rPr>
        <w:t>试验和检验</w:t>
      </w:r>
      <w:r>
        <w:tab/>
      </w:r>
      <w:r>
        <w:fldChar w:fldCharType="begin"/>
      </w:r>
      <w:r>
        <w:instrText xml:space="preserve"> PAGEREF _Toc29051 \h </w:instrText>
      </w:r>
      <w:r>
        <w:fldChar w:fldCharType="separate"/>
      </w:r>
      <w:r>
        <w:t>1</w:t>
      </w:r>
      <w:r>
        <w:fldChar w:fldCharType="end"/>
      </w:r>
      <w:r>
        <w:rPr>
          <w:bCs/>
          <w:color w:val="auto"/>
          <w:highlight w:val="none"/>
          <w:lang w:val="zh-CN"/>
        </w:rPr>
        <w:fldChar w:fldCharType="end"/>
      </w:r>
    </w:p>
    <w:p w14:paraId="1EE4A79A">
      <w:pPr>
        <w:pStyle w:val="8"/>
        <w:tabs>
          <w:tab w:val="right" w:leader="dot" w:pos="8290"/>
        </w:tabs>
      </w:pPr>
      <w:r>
        <w:rPr>
          <w:bCs/>
          <w:color w:val="auto"/>
          <w:highlight w:val="none"/>
          <w:lang w:val="zh-CN"/>
        </w:rPr>
        <w:fldChar w:fldCharType="begin"/>
      </w:r>
      <w:r>
        <w:rPr>
          <w:bCs/>
          <w:highlight w:val="none"/>
          <w:lang w:val="zh-CN"/>
        </w:rPr>
        <w:instrText xml:space="preserve"> HYPERLINK \l _Toc21238 </w:instrText>
      </w:r>
      <w:r>
        <w:rPr>
          <w:bCs/>
          <w:highlight w:val="none"/>
          <w:lang w:val="zh-CN"/>
        </w:rPr>
        <w:fldChar w:fldCharType="separate"/>
      </w:r>
      <w:r>
        <w:rPr>
          <w:rFonts w:eastAsia="黑体"/>
          <w:szCs w:val="28"/>
          <w:highlight w:val="none"/>
        </w:rPr>
        <w:t>13.</w:t>
      </w:r>
      <w:r>
        <w:rPr>
          <w:rFonts w:hint="eastAsia" w:eastAsia="黑体"/>
          <w:szCs w:val="28"/>
          <w:highlight w:val="none"/>
        </w:rPr>
        <w:t>计日工</w:t>
      </w:r>
      <w:r>
        <w:tab/>
      </w:r>
      <w:r>
        <w:fldChar w:fldCharType="begin"/>
      </w:r>
      <w:r>
        <w:instrText xml:space="preserve"> PAGEREF _Toc21238 \h </w:instrText>
      </w:r>
      <w:r>
        <w:fldChar w:fldCharType="separate"/>
      </w:r>
      <w:r>
        <w:t>1</w:t>
      </w:r>
      <w:r>
        <w:fldChar w:fldCharType="end"/>
      </w:r>
      <w:r>
        <w:rPr>
          <w:bCs/>
          <w:color w:val="auto"/>
          <w:highlight w:val="none"/>
          <w:lang w:val="zh-CN"/>
        </w:rPr>
        <w:fldChar w:fldCharType="end"/>
      </w:r>
    </w:p>
    <w:p w14:paraId="25363EB3">
      <w:pPr>
        <w:pStyle w:val="8"/>
        <w:tabs>
          <w:tab w:val="right" w:leader="dot" w:pos="8290"/>
        </w:tabs>
      </w:pPr>
      <w:r>
        <w:rPr>
          <w:bCs/>
          <w:color w:val="auto"/>
          <w:highlight w:val="none"/>
          <w:lang w:val="zh-CN"/>
        </w:rPr>
        <w:fldChar w:fldCharType="begin"/>
      </w:r>
      <w:r>
        <w:rPr>
          <w:bCs/>
          <w:highlight w:val="none"/>
          <w:lang w:val="zh-CN"/>
        </w:rPr>
        <w:instrText xml:space="preserve"> HYPERLINK \l _Toc12320 </w:instrText>
      </w:r>
      <w:r>
        <w:rPr>
          <w:bCs/>
          <w:highlight w:val="none"/>
          <w:lang w:val="zh-CN"/>
        </w:rPr>
        <w:fldChar w:fldCharType="separate"/>
      </w:r>
      <w:r>
        <w:rPr>
          <w:rFonts w:eastAsia="黑体"/>
          <w:szCs w:val="28"/>
          <w:highlight w:val="none"/>
        </w:rPr>
        <w:t>14.</w:t>
      </w:r>
      <w:r>
        <w:rPr>
          <w:rFonts w:hint="eastAsia" w:eastAsia="黑体"/>
          <w:szCs w:val="28"/>
          <w:highlight w:val="none"/>
        </w:rPr>
        <w:t>计量与支付</w:t>
      </w:r>
      <w:r>
        <w:tab/>
      </w:r>
      <w:r>
        <w:fldChar w:fldCharType="begin"/>
      </w:r>
      <w:r>
        <w:instrText xml:space="preserve"> PAGEREF _Toc12320 \h </w:instrText>
      </w:r>
      <w:r>
        <w:fldChar w:fldCharType="separate"/>
      </w:r>
      <w:r>
        <w:t>1</w:t>
      </w:r>
      <w:r>
        <w:fldChar w:fldCharType="end"/>
      </w:r>
      <w:r>
        <w:rPr>
          <w:bCs/>
          <w:color w:val="auto"/>
          <w:highlight w:val="none"/>
          <w:lang w:val="zh-CN"/>
        </w:rPr>
        <w:fldChar w:fldCharType="end"/>
      </w:r>
    </w:p>
    <w:p w14:paraId="6462393F">
      <w:pPr>
        <w:pStyle w:val="8"/>
        <w:tabs>
          <w:tab w:val="right" w:leader="dot" w:pos="8290"/>
        </w:tabs>
      </w:pPr>
      <w:r>
        <w:rPr>
          <w:bCs/>
          <w:color w:val="auto"/>
          <w:highlight w:val="none"/>
          <w:lang w:val="zh-CN"/>
        </w:rPr>
        <w:fldChar w:fldCharType="begin"/>
      </w:r>
      <w:r>
        <w:rPr>
          <w:bCs/>
          <w:highlight w:val="none"/>
          <w:lang w:val="zh-CN"/>
        </w:rPr>
        <w:instrText xml:space="preserve"> HYPERLINK \l _Toc27580 </w:instrText>
      </w:r>
      <w:r>
        <w:rPr>
          <w:bCs/>
          <w:highlight w:val="none"/>
          <w:lang w:val="zh-CN"/>
        </w:rPr>
        <w:fldChar w:fldCharType="separate"/>
      </w:r>
      <w:r>
        <w:rPr>
          <w:rFonts w:eastAsia="黑体"/>
          <w:szCs w:val="28"/>
          <w:highlight w:val="none"/>
        </w:rPr>
        <w:t>15.</w:t>
      </w:r>
      <w:r>
        <w:rPr>
          <w:rFonts w:hint="eastAsia" w:eastAsia="黑体"/>
          <w:szCs w:val="28"/>
          <w:highlight w:val="none"/>
        </w:rPr>
        <w:t>竣工验收和工程移交</w:t>
      </w:r>
      <w:r>
        <w:tab/>
      </w:r>
      <w:r>
        <w:fldChar w:fldCharType="begin"/>
      </w:r>
      <w:r>
        <w:instrText xml:space="preserve"> PAGEREF _Toc27580 \h </w:instrText>
      </w:r>
      <w:r>
        <w:fldChar w:fldCharType="separate"/>
      </w:r>
      <w:r>
        <w:t>1</w:t>
      </w:r>
      <w:r>
        <w:fldChar w:fldCharType="end"/>
      </w:r>
      <w:r>
        <w:rPr>
          <w:bCs/>
          <w:color w:val="auto"/>
          <w:highlight w:val="none"/>
          <w:lang w:val="zh-CN"/>
        </w:rPr>
        <w:fldChar w:fldCharType="end"/>
      </w:r>
    </w:p>
    <w:p w14:paraId="2E638D78">
      <w:pPr>
        <w:pStyle w:val="8"/>
        <w:tabs>
          <w:tab w:val="right" w:leader="dot" w:pos="8290"/>
        </w:tabs>
      </w:pPr>
      <w:r>
        <w:rPr>
          <w:bCs/>
          <w:color w:val="auto"/>
          <w:highlight w:val="none"/>
          <w:lang w:val="zh-CN"/>
        </w:rPr>
        <w:fldChar w:fldCharType="begin"/>
      </w:r>
      <w:r>
        <w:rPr>
          <w:bCs/>
          <w:highlight w:val="none"/>
          <w:lang w:val="zh-CN"/>
        </w:rPr>
        <w:instrText xml:space="preserve"> HYPERLINK \l _Toc21418 </w:instrText>
      </w:r>
      <w:r>
        <w:rPr>
          <w:bCs/>
          <w:highlight w:val="none"/>
          <w:lang w:val="zh-CN"/>
        </w:rPr>
        <w:fldChar w:fldCharType="separate"/>
      </w:r>
      <w:r>
        <w:rPr>
          <w:rFonts w:eastAsia="黑体"/>
          <w:szCs w:val="28"/>
          <w:highlight w:val="none"/>
        </w:rPr>
        <w:t>16.</w:t>
      </w:r>
      <w:r>
        <w:rPr>
          <w:rFonts w:hint="eastAsia" w:eastAsia="黑体"/>
          <w:szCs w:val="28"/>
          <w:highlight w:val="none"/>
        </w:rPr>
        <w:t>其他要求</w:t>
      </w:r>
      <w:r>
        <w:tab/>
      </w:r>
      <w:r>
        <w:fldChar w:fldCharType="begin"/>
      </w:r>
      <w:r>
        <w:instrText xml:space="preserve"> PAGEREF _Toc21418 \h </w:instrText>
      </w:r>
      <w:r>
        <w:fldChar w:fldCharType="separate"/>
      </w:r>
      <w:r>
        <w:t>1</w:t>
      </w:r>
      <w:r>
        <w:fldChar w:fldCharType="end"/>
      </w:r>
      <w:r>
        <w:rPr>
          <w:bCs/>
          <w:color w:val="auto"/>
          <w:highlight w:val="none"/>
          <w:lang w:val="zh-CN"/>
        </w:rPr>
        <w:fldChar w:fldCharType="end"/>
      </w:r>
    </w:p>
    <w:p w14:paraId="021D774C">
      <w:pPr>
        <w:pStyle w:val="13"/>
        <w:tabs>
          <w:tab w:val="right" w:leader="dot" w:pos="8290"/>
        </w:tabs>
      </w:pPr>
      <w:r>
        <w:rPr>
          <w:bCs/>
          <w:color w:val="auto"/>
          <w:highlight w:val="none"/>
          <w:lang w:val="zh-CN"/>
        </w:rPr>
        <w:fldChar w:fldCharType="begin"/>
      </w:r>
      <w:r>
        <w:rPr>
          <w:bCs/>
          <w:highlight w:val="none"/>
          <w:lang w:val="zh-CN"/>
        </w:rPr>
        <w:instrText xml:space="preserve"> HYPERLINK \l _Toc8926 </w:instrText>
      </w:r>
      <w:r>
        <w:rPr>
          <w:bCs/>
          <w:highlight w:val="none"/>
          <w:lang w:val="zh-CN"/>
        </w:rPr>
        <w:fldChar w:fldCharType="separate"/>
      </w:r>
      <w:r>
        <w:rPr>
          <w:rFonts w:hint="eastAsia"/>
          <w:highlight w:val="none"/>
        </w:rPr>
        <w:t>第二节</w:t>
      </w:r>
      <w:r>
        <w:rPr>
          <w:highlight w:val="none"/>
        </w:rPr>
        <w:t xml:space="preserve">  </w:t>
      </w:r>
      <w:r>
        <w:rPr>
          <w:rFonts w:hint="eastAsia"/>
          <w:highlight w:val="none"/>
        </w:rPr>
        <w:t>特殊技术标准和要求</w:t>
      </w:r>
      <w:r>
        <w:tab/>
      </w:r>
      <w:r>
        <w:fldChar w:fldCharType="begin"/>
      </w:r>
      <w:r>
        <w:instrText xml:space="preserve"> PAGEREF _Toc8926 \h </w:instrText>
      </w:r>
      <w:r>
        <w:fldChar w:fldCharType="separate"/>
      </w:r>
      <w:r>
        <w:t>1</w:t>
      </w:r>
      <w:r>
        <w:fldChar w:fldCharType="end"/>
      </w:r>
      <w:r>
        <w:rPr>
          <w:bCs/>
          <w:color w:val="auto"/>
          <w:highlight w:val="none"/>
          <w:lang w:val="zh-CN"/>
        </w:rPr>
        <w:fldChar w:fldCharType="end"/>
      </w:r>
    </w:p>
    <w:p w14:paraId="6C64C194">
      <w:pPr>
        <w:pStyle w:val="8"/>
        <w:tabs>
          <w:tab w:val="right" w:leader="dot" w:pos="8290"/>
        </w:tabs>
      </w:pPr>
      <w:r>
        <w:rPr>
          <w:bCs/>
          <w:color w:val="auto"/>
          <w:highlight w:val="none"/>
          <w:lang w:val="zh-CN"/>
        </w:rPr>
        <w:fldChar w:fldCharType="begin"/>
      </w:r>
      <w:r>
        <w:rPr>
          <w:bCs/>
          <w:highlight w:val="none"/>
          <w:lang w:val="zh-CN"/>
        </w:rPr>
        <w:instrText xml:space="preserve"> HYPERLINK \l _Toc15549 </w:instrText>
      </w:r>
      <w:r>
        <w:rPr>
          <w:bCs/>
          <w:highlight w:val="none"/>
          <w:lang w:val="zh-CN"/>
        </w:rPr>
        <w:fldChar w:fldCharType="separate"/>
      </w:r>
      <w:r>
        <w:rPr>
          <w:rFonts w:eastAsia="黑体"/>
          <w:szCs w:val="28"/>
          <w:highlight w:val="none"/>
        </w:rPr>
        <w:t>1</w:t>
      </w:r>
      <w:r>
        <w:rPr>
          <w:rFonts w:hint="eastAsia" w:eastAsia="黑体"/>
          <w:szCs w:val="28"/>
          <w:highlight w:val="none"/>
        </w:rPr>
        <w:t>．材料和工程设备技术要求</w:t>
      </w:r>
      <w:r>
        <w:tab/>
      </w:r>
      <w:r>
        <w:fldChar w:fldCharType="begin"/>
      </w:r>
      <w:r>
        <w:instrText xml:space="preserve"> PAGEREF _Toc15549 \h </w:instrText>
      </w:r>
      <w:r>
        <w:fldChar w:fldCharType="separate"/>
      </w:r>
      <w:r>
        <w:t>1</w:t>
      </w:r>
      <w:r>
        <w:fldChar w:fldCharType="end"/>
      </w:r>
      <w:r>
        <w:rPr>
          <w:bCs/>
          <w:color w:val="auto"/>
          <w:highlight w:val="none"/>
          <w:lang w:val="zh-CN"/>
        </w:rPr>
        <w:fldChar w:fldCharType="end"/>
      </w:r>
    </w:p>
    <w:p w14:paraId="6AA41442">
      <w:pPr>
        <w:pStyle w:val="8"/>
        <w:tabs>
          <w:tab w:val="right" w:leader="dot" w:pos="8290"/>
        </w:tabs>
      </w:pPr>
      <w:r>
        <w:rPr>
          <w:bCs/>
          <w:color w:val="auto"/>
          <w:highlight w:val="none"/>
          <w:lang w:val="zh-CN"/>
        </w:rPr>
        <w:fldChar w:fldCharType="begin"/>
      </w:r>
      <w:r>
        <w:rPr>
          <w:bCs/>
          <w:highlight w:val="none"/>
          <w:lang w:val="zh-CN"/>
        </w:rPr>
        <w:instrText xml:space="preserve"> HYPERLINK \l _Toc17247 </w:instrText>
      </w:r>
      <w:r>
        <w:rPr>
          <w:bCs/>
          <w:highlight w:val="none"/>
          <w:lang w:val="zh-CN"/>
        </w:rPr>
        <w:fldChar w:fldCharType="separate"/>
      </w:r>
      <w:r>
        <w:rPr>
          <w:rFonts w:eastAsia="黑体"/>
          <w:szCs w:val="28"/>
          <w:highlight w:val="none"/>
        </w:rPr>
        <w:t>2.</w:t>
      </w:r>
      <w:r>
        <w:rPr>
          <w:rFonts w:hint="eastAsia" w:eastAsia="黑体"/>
          <w:szCs w:val="28"/>
          <w:highlight w:val="none"/>
        </w:rPr>
        <w:t>特殊技术要求</w:t>
      </w:r>
      <w:r>
        <w:tab/>
      </w:r>
      <w:r>
        <w:fldChar w:fldCharType="begin"/>
      </w:r>
      <w:r>
        <w:instrText xml:space="preserve"> PAGEREF _Toc17247 \h </w:instrText>
      </w:r>
      <w:r>
        <w:fldChar w:fldCharType="separate"/>
      </w:r>
      <w:r>
        <w:t>1</w:t>
      </w:r>
      <w:r>
        <w:fldChar w:fldCharType="end"/>
      </w:r>
      <w:r>
        <w:rPr>
          <w:bCs/>
          <w:color w:val="auto"/>
          <w:highlight w:val="none"/>
          <w:lang w:val="zh-CN"/>
        </w:rPr>
        <w:fldChar w:fldCharType="end"/>
      </w:r>
    </w:p>
    <w:p w14:paraId="1A815123">
      <w:pPr>
        <w:pStyle w:val="8"/>
        <w:tabs>
          <w:tab w:val="right" w:leader="dot" w:pos="8290"/>
        </w:tabs>
      </w:pPr>
      <w:r>
        <w:rPr>
          <w:bCs/>
          <w:color w:val="auto"/>
          <w:highlight w:val="none"/>
          <w:lang w:val="zh-CN"/>
        </w:rPr>
        <w:fldChar w:fldCharType="begin"/>
      </w:r>
      <w:r>
        <w:rPr>
          <w:bCs/>
          <w:highlight w:val="none"/>
          <w:lang w:val="zh-CN"/>
        </w:rPr>
        <w:instrText xml:space="preserve"> HYPERLINK \l _Toc12972 </w:instrText>
      </w:r>
      <w:r>
        <w:rPr>
          <w:bCs/>
          <w:highlight w:val="none"/>
          <w:lang w:val="zh-CN"/>
        </w:rPr>
        <w:fldChar w:fldCharType="separate"/>
      </w:r>
      <w:r>
        <w:rPr>
          <w:rFonts w:eastAsia="黑体"/>
          <w:szCs w:val="28"/>
          <w:highlight w:val="none"/>
        </w:rPr>
        <w:t>3</w:t>
      </w:r>
      <w:r>
        <w:rPr>
          <w:rFonts w:hint="eastAsia" w:eastAsia="黑体"/>
          <w:szCs w:val="28"/>
          <w:highlight w:val="none"/>
        </w:rPr>
        <w:t>．新技术、新工艺和新材料</w:t>
      </w:r>
      <w:r>
        <w:tab/>
      </w:r>
      <w:r>
        <w:fldChar w:fldCharType="begin"/>
      </w:r>
      <w:r>
        <w:instrText xml:space="preserve"> PAGEREF _Toc12972 \h </w:instrText>
      </w:r>
      <w:r>
        <w:fldChar w:fldCharType="separate"/>
      </w:r>
      <w:r>
        <w:t>1</w:t>
      </w:r>
      <w:r>
        <w:fldChar w:fldCharType="end"/>
      </w:r>
      <w:r>
        <w:rPr>
          <w:bCs/>
          <w:color w:val="auto"/>
          <w:highlight w:val="none"/>
          <w:lang w:val="zh-CN"/>
        </w:rPr>
        <w:fldChar w:fldCharType="end"/>
      </w:r>
    </w:p>
    <w:p w14:paraId="7D6833E1">
      <w:pPr>
        <w:pStyle w:val="8"/>
        <w:tabs>
          <w:tab w:val="right" w:leader="dot" w:pos="8290"/>
        </w:tabs>
      </w:pPr>
      <w:r>
        <w:rPr>
          <w:bCs/>
          <w:color w:val="auto"/>
          <w:highlight w:val="none"/>
          <w:lang w:val="zh-CN"/>
        </w:rPr>
        <w:fldChar w:fldCharType="begin"/>
      </w:r>
      <w:r>
        <w:rPr>
          <w:bCs/>
          <w:highlight w:val="none"/>
          <w:lang w:val="zh-CN"/>
        </w:rPr>
        <w:instrText xml:space="preserve"> HYPERLINK \l _Toc7005 </w:instrText>
      </w:r>
      <w:r>
        <w:rPr>
          <w:bCs/>
          <w:highlight w:val="none"/>
          <w:lang w:val="zh-CN"/>
        </w:rPr>
        <w:fldChar w:fldCharType="separate"/>
      </w:r>
      <w:r>
        <w:rPr>
          <w:rFonts w:eastAsia="黑体"/>
          <w:szCs w:val="28"/>
          <w:highlight w:val="none"/>
        </w:rPr>
        <w:t>4</w:t>
      </w:r>
      <w:r>
        <w:rPr>
          <w:rFonts w:hint="eastAsia" w:eastAsia="黑体"/>
          <w:szCs w:val="28"/>
          <w:highlight w:val="none"/>
        </w:rPr>
        <w:t>．其他特殊技术标准和要求</w:t>
      </w:r>
      <w:r>
        <w:tab/>
      </w:r>
      <w:r>
        <w:fldChar w:fldCharType="begin"/>
      </w:r>
      <w:r>
        <w:instrText xml:space="preserve"> PAGEREF _Toc7005 \h </w:instrText>
      </w:r>
      <w:r>
        <w:fldChar w:fldCharType="separate"/>
      </w:r>
      <w:r>
        <w:t>1</w:t>
      </w:r>
      <w:r>
        <w:fldChar w:fldCharType="end"/>
      </w:r>
      <w:r>
        <w:rPr>
          <w:bCs/>
          <w:color w:val="auto"/>
          <w:highlight w:val="none"/>
          <w:lang w:val="zh-CN"/>
        </w:rPr>
        <w:fldChar w:fldCharType="end"/>
      </w:r>
    </w:p>
    <w:p w14:paraId="4293B1C3">
      <w:pPr>
        <w:pStyle w:val="13"/>
        <w:tabs>
          <w:tab w:val="right" w:leader="dot" w:pos="8290"/>
        </w:tabs>
      </w:pPr>
      <w:r>
        <w:rPr>
          <w:bCs/>
          <w:color w:val="auto"/>
          <w:highlight w:val="none"/>
          <w:lang w:val="zh-CN"/>
        </w:rPr>
        <w:fldChar w:fldCharType="begin"/>
      </w:r>
      <w:r>
        <w:rPr>
          <w:bCs/>
          <w:highlight w:val="none"/>
          <w:lang w:val="zh-CN"/>
        </w:rPr>
        <w:instrText xml:space="preserve"> HYPERLINK \l _Toc15598 </w:instrText>
      </w:r>
      <w:r>
        <w:rPr>
          <w:bCs/>
          <w:highlight w:val="none"/>
          <w:lang w:val="zh-CN"/>
        </w:rPr>
        <w:fldChar w:fldCharType="separate"/>
      </w:r>
      <w:r>
        <w:rPr>
          <w:rFonts w:hint="eastAsia"/>
          <w:highlight w:val="none"/>
        </w:rPr>
        <w:t>第三节</w:t>
      </w:r>
      <w:r>
        <w:rPr>
          <w:highlight w:val="none"/>
        </w:rPr>
        <w:t xml:space="preserve">  </w:t>
      </w:r>
      <w:r>
        <w:rPr>
          <w:rFonts w:hint="eastAsia"/>
          <w:highlight w:val="none"/>
        </w:rPr>
        <w:t>适用的国家、行业以及地方规范、标准和规程</w:t>
      </w:r>
      <w:r>
        <w:tab/>
      </w:r>
      <w:r>
        <w:fldChar w:fldCharType="begin"/>
      </w:r>
      <w:r>
        <w:instrText xml:space="preserve"> PAGEREF _Toc15598 \h </w:instrText>
      </w:r>
      <w:r>
        <w:fldChar w:fldCharType="separate"/>
      </w:r>
      <w:r>
        <w:t>1</w:t>
      </w:r>
      <w:r>
        <w:fldChar w:fldCharType="end"/>
      </w:r>
      <w:r>
        <w:rPr>
          <w:bCs/>
          <w:color w:val="auto"/>
          <w:highlight w:val="none"/>
          <w:lang w:val="zh-CN"/>
        </w:rPr>
        <w:fldChar w:fldCharType="end"/>
      </w:r>
    </w:p>
    <w:p w14:paraId="4E08B01A">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_Toc1790 </w:instrText>
      </w:r>
      <w:r>
        <w:rPr>
          <w:bCs/>
          <w:highlight w:val="none"/>
          <w:lang w:val="zh-CN"/>
        </w:rPr>
        <w:fldChar w:fldCharType="separate"/>
      </w:r>
      <w:r>
        <w:rPr>
          <w:rFonts w:hint="eastAsia" w:ascii="黑体" w:hAnsi="黑体" w:eastAsia="黑体"/>
          <w:bCs w:val="0"/>
          <w:szCs w:val="48"/>
          <w:highlight w:val="none"/>
        </w:rPr>
        <w:t>第四卷</w:t>
      </w:r>
      <w:r>
        <w:tab/>
      </w:r>
      <w:r>
        <w:fldChar w:fldCharType="begin"/>
      </w:r>
      <w:r>
        <w:instrText xml:space="preserve"> PAGEREF _Toc1790 \h </w:instrText>
      </w:r>
      <w:r>
        <w:fldChar w:fldCharType="separate"/>
      </w:r>
      <w:r>
        <w:t>1</w:t>
      </w:r>
      <w:r>
        <w:fldChar w:fldCharType="end"/>
      </w:r>
      <w:r>
        <w:rPr>
          <w:bCs/>
          <w:color w:val="auto"/>
          <w:highlight w:val="none"/>
          <w:lang w:val="zh-CN"/>
        </w:rPr>
        <w:fldChar w:fldCharType="end"/>
      </w:r>
    </w:p>
    <w:p w14:paraId="2074A6BA">
      <w:pPr>
        <w:pStyle w:val="12"/>
        <w:tabs>
          <w:tab w:val="right" w:leader="dot" w:pos="8290"/>
          <w:tab w:val="clear" w:pos="8296"/>
        </w:tabs>
      </w:pPr>
      <w:r>
        <w:rPr>
          <w:bCs/>
          <w:color w:val="auto"/>
          <w:highlight w:val="none"/>
          <w:lang w:val="zh-CN"/>
        </w:rPr>
        <w:fldChar w:fldCharType="begin"/>
      </w:r>
      <w:r>
        <w:rPr>
          <w:bCs/>
          <w:highlight w:val="none"/>
          <w:lang w:val="zh-CN"/>
        </w:rPr>
        <w:instrText xml:space="preserve"> HYPERLINK \l _Toc26944 </w:instrText>
      </w:r>
      <w:r>
        <w:rPr>
          <w:bCs/>
          <w:highlight w:val="none"/>
          <w:lang w:val="zh-CN"/>
        </w:rPr>
        <w:fldChar w:fldCharType="separate"/>
      </w:r>
      <w:r>
        <w:rPr>
          <w:rFonts w:hint="eastAsia" w:ascii="黑体" w:hAnsi="黑体" w:eastAsia="黑体"/>
          <w:bCs w:val="0"/>
          <w:highlight w:val="none"/>
        </w:rPr>
        <w:t>第八章  投标文件格式</w:t>
      </w:r>
      <w:r>
        <w:tab/>
      </w:r>
      <w:r>
        <w:fldChar w:fldCharType="begin"/>
      </w:r>
      <w:r>
        <w:instrText xml:space="preserve"> PAGEREF _Toc26944 \h </w:instrText>
      </w:r>
      <w:r>
        <w:fldChar w:fldCharType="separate"/>
      </w:r>
      <w:r>
        <w:t>1</w:t>
      </w:r>
      <w:r>
        <w:fldChar w:fldCharType="end"/>
      </w:r>
      <w:r>
        <w:rPr>
          <w:bCs/>
          <w:color w:val="auto"/>
          <w:highlight w:val="none"/>
          <w:lang w:val="zh-CN"/>
        </w:rPr>
        <w:fldChar w:fldCharType="end"/>
      </w:r>
    </w:p>
    <w:p w14:paraId="298B6B6F">
      <w:pPr>
        <w:pStyle w:val="13"/>
        <w:tabs>
          <w:tab w:val="right" w:leader="dot" w:pos="8290"/>
        </w:tabs>
      </w:pPr>
      <w:r>
        <w:rPr>
          <w:bCs/>
          <w:color w:val="auto"/>
          <w:highlight w:val="none"/>
          <w:lang w:val="zh-CN"/>
        </w:rPr>
        <w:fldChar w:fldCharType="begin"/>
      </w:r>
      <w:r>
        <w:rPr>
          <w:bCs/>
          <w:highlight w:val="none"/>
          <w:lang w:val="zh-CN"/>
        </w:rPr>
        <w:instrText xml:space="preserve"> HYPERLINK \l _Toc12390 </w:instrText>
      </w:r>
      <w:r>
        <w:rPr>
          <w:bCs/>
          <w:highlight w:val="none"/>
          <w:lang w:val="zh-CN"/>
        </w:rPr>
        <w:fldChar w:fldCharType="separate"/>
      </w:r>
      <w:r>
        <w:rPr>
          <w:rFonts w:hint="eastAsia"/>
          <w:highlight w:val="none"/>
        </w:rPr>
        <w:t>目</w:t>
      </w:r>
      <w:r>
        <w:rPr>
          <w:highlight w:val="none"/>
        </w:rPr>
        <w:t xml:space="preserve">    </w:t>
      </w:r>
      <w:r>
        <w:rPr>
          <w:rFonts w:hint="eastAsia"/>
          <w:highlight w:val="none"/>
        </w:rPr>
        <w:t>录</w:t>
      </w:r>
      <w:r>
        <w:tab/>
      </w:r>
      <w:r>
        <w:fldChar w:fldCharType="begin"/>
      </w:r>
      <w:r>
        <w:instrText xml:space="preserve"> PAGEREF _Toc12390 \h </w:instrText>
      </w:r>
      <w:r>
        <w:fldChar w:fldCharType="separate"/>
      </w:r>
      <w:r>
        <w:t>1</w:t>
      </w:r>
      <w:r>
        <w:fldChar w:fldCharType="end"/>
      </w:r>
      <w:r>
        <w:rPr>
          <w:bCs/>
          <w:color w:val="auto"/>
          <w:highlight w:val="none"/>
          <w:lang w:val="zh-CN"/>
        </w:rPr>
        <w:fldChar w:fldCharType="end"/>
      </w:r>
    </w:p>
    <w:p w14:paraId="353B9430">
      <w:pPr>
        <w:pStyle w:val="13"/>
        <w:tabs>
          <w:tab w:val="right" w:leader="dot" w:pos="8290"/>
        </w:tabs>
      </w:pPr>
      <w:r>
        <w:rPr>
          <w:bCs/>
          <w:color w:val="auto"/>
          <w:highlight w:val="none"/>
          <w:lang w:val="zh-CN"/>
        </w:rPr>
        <w:fldChar w:fldCharType="begin"/>
      </w:r>
      <w:r>
        <w:rPr>
          <w:bCs/>
          <w:highlight w:val="none"/>
          <w:lang w:val="zh-CN"/>
        </w:rPr>
        <w:instrText xml:space="preserve"> HYPERLINK \l _Toc28921 </w:instrText>
      </w:r>
      <w:r>
        <w:rPr>
          <w:bCs/>
          <w:highlight w:val="none"/>
          <w:lang w:val="zh-CN"/>
        </w:rPr>
        <w:fldChar w:fldCharType="separate"/>
      </w:r>
      <w:r>
        <w:rPr>
          <w:rFonts w:hint="eastAsia"/>
          <w:highlight w:val="none"/>
        </w:rPr>
        <w:t>一、投标函及投标函附录</w:t>
      </w:r>
      <w:r>
        <w:tab/>
      </w:r>
      <w:r>
        <w:fldChar w:fldCharType="begin"/>
      </w:r>
      <w:r>
        <w:instrText xml:space="preserve"> PAGEREF _Toc28921 \h </w:instrText>
      </w:r>
      <w:r>
        <w:fldChar w:fldCharType="separate"/>
      </w:r>
      <w:r>
        <w:t>1</w:t>
      </w:r>
      <w:r>
        <w:fldChar w:fldCharType="end"/>
      </w:r>
      <w:r>
        <w:rPr>
          <w:bCs/>
          <w:color w:val="auto"/>
          <w:highlight w:val="none"/>
          <w:lang w:val="zh-CN"/>
        </w:rPr>
        <w:fldChar w:fldCharType="end"/>
      </w:r>
    </w:p>
    <w:p w14:paraId="159C044D">
      <w:pPr>
        <w:pStyle w:val="8"/>
        <w:tabs>
          <w:tab w:val="right" w:leader="dot" w:pos="8290"/>
        </w:tabs>
      </w:pPr>
      <w:r>
        <w:rPr>
          <w:bCs/>
          <w:color w:val="auto"/>
          <w:highlight w:val="none"/>
          <w:lang w:val="zh-CN"/>
        </w:rPr>
        <w:fldChar w:fldCharType="begin"/>
      </w:r>
      <w:r>
        <w:rPr>
          <w:bCs/>
          <w:highlight w:val="none"/>
          <w:lang w:val="zh-CN"/>
        </w:rPr>
        <w:instrText xml:space="preserve"> HYPERLINK \l _Toc27336 </w:instrText>
      </w:r>
      <w:r>
        <w:rPr>
          <w:bCs/>
          <w:highlight w:val="none"/>
          <w:lang w:val="zh-CN"/>
        </w:rPr>
        <w:fldChar w:fldCharType="separate"/>
      </w:r>
      <w:r>
        <w:rPr>
          <w:rFonts w:hint="eastAsia"/>
          <w:szCs w:val="28"/>
          <w:highlight w:val="none"/>
        </w:rPr>
        <w:t>（一）投标函</w:t>
      </w:r>
      <w:r>
        <w:tab/>
      </w:r>
      <w:r>
        <w:fldChar w:fldCharType="begin"/>
      </w:r>
      <w:r>
        <w:instrText xml:space="preserve"> PAGEREF _Toc27336 \h </w:instrText>
      </w:r>
      <w:r>
        <w:fldChar w:fldCharType="separate"/>
      </w:r>
      <w:r>
        <w:t>1</w:t>
      </w:r>
      <w:r>
        <w:fldChar w:fldCharType="end"/>
      </w:r>
      <w:r>
        <w:rPr>
          <w:bCs/>
          <w:color w:val="auto"/>
          <w:highlight w:val="none"/>
          <w:lang w:val="zh-CN"/>
        </w:rPr>
        <w:fldChar w:fldCharType="end"/>
      </w:r>
    </w:p>
    <w:p w14:paraId="4107017C">
      <w:pPr>
        <w:pStyle w:val="8"/>
        <w:tabs>
          <w:tab w:val="right" w:leader="dot" w:pos="8290"/>
        </w:tabs>
      </w:pPr>
      <w:r>
        <w:rPr>
          <w:bCs/>
          <w:color w:val="auto"/>
          <w:highlight w:val="none"/>
          <w:lang w:val="zh-CN"/>
        </w:rPr>
        <w:fldChar w:fldCharType="begin"/>
      </w:r>
      <w:r>
        <w:rPr>
          <w:bCs/>
          <w:highlight w:val="none"/>
          <w:lang w:val="zh-CN"/>
        </w:rPr>
        <w:instrText xml:space="preserve"> HYPERLINK \l _Toc24632 </w:instrText>
      </w:r>
      <w:r>
        <w:rPr>
          <w:bCs/>
          <w:highlight w:val="none"/>
          <w:lang w:val="zh-CN"/>
        </w:rPr>
        <w:fldChar w:fldCharType="separate"/>
      </w:r>
      <w:r>
        <w:rPr>
          <w:rFonts w:hint="eastAsia"/>
          <w:szCs w:val="28"/>
          <w:highlight w:val="none"/>
        </w:rPr>
        <w:t>（二）投标函附录</w:t>
      </w:r>
      <w:r>
        <w:tab/>
      </w:r>
      <w:r>
        <w:fldChar w:fldCharType="begin"/>
      </w:r>
      <w:r>
        <w:instrText xml:space="preserve"> PAGEREF _Toc24632 \h </w:instrText>
      </w:r>
      <w:r>
        <w:fldChar w:fldCharType="separate"/>
      </w:r>
      <w:r>
        <w:t>1</w:t>
      </w:r>
      <w:r>
        <w:fldChar w:fldCharType="end"/>
      </w:r>
      <w:r>
        <w:rPr>
          <w:bCs/>
          <w:color w:val="auto"/>
          <w:highlight w:val="none"/>
          <w:lang w:val="zh-CN"/>
        </w:rPr>
        <w:fldChar w:fldCharType="end"/>
      </w:r>
    </w:p>
    <w:p w14:paraId="56597565">
      <w:pPr>
        <w:pStyle w:val="8"/>
        <w:tabs>
          <w:tab w:val="right" w:leader="dot" w:pos="8290"/>
        </w:tabs>
      </w:pPr>
      <w:r>
        <w:rPr>
          <w:bCs/>
          <w:color w:val="auto"/>
          <w:highlight w:val="none"/>
          <w:lang w:val="zh-CN"/>
        </w:rPr>
        <w:fldChar w:fldCharType="begin"/>
      </w:r>
      <w:r>
        <w:rPr>
          <w:bCs/>
          <w:highlight w:val="none"/>
          <w:lang w:val="zh-CN"/>
        </w:rPr>
        <w:instrText xml:space="preserve"> HYPERLINK \l _Toc22276 </w:instrText>
      </w:r>
      <w:r>
        <w:rPr>
          <w:bCs/>
          <w:highlight w:val="none"/>
          <w:lang w:val="zh-CN"/>
        </w:rPr>
        <w:fldChar w:fldCharType="separate"/>
      </w:r>
      <w:r>
        <w:rPr>
          <w:rFonts w:hint="eastAsia"/>
          <w:szCs w:val="28"/>
          <w:highlight w:val="none"/>
        </w:rPr>
        <w:t>（二）投标函附录</w:t>
      </w:r>
      <w:r>
        <w:tab/>
      </w:r>
      <w:r>
        <w:fldChar w:fldCharType="begin"/>
      </w:r>
      <w:r>
        <w:instrText xml:space="preserve"> PAGEREF _Toc22276 \h </w:instrText>
      </w:r>
      <w:r>
        <w:fldChar w:fldCharType="separate"/>
      </w:r>
      <w:r>
        <w:t>1</w:t>
      </w:r>
      <w:r>
        <w:fldChar w:fldCharType="end"/>
      </w:r>
      <w:r>
        <w:rPr>
          <w:bCs/>
          <w:color w:val="auto"/>
          <w:highlight w:val="none"/>
          <w:lang w:val="zh-CN"/>
        </w:rPr>
        <w:fldChar w:fldCharType="end"/>
      </w:r>
    </w:p>
    <w:p w14:paraId="6E0D20C0">
      <w:pPr>
        <w:pStyle w:val="13"/>
        <w:tabs>
          <w:tab w:val="right" w:leader="dot" w:pos="8290"/>
        </w:tabs>
      </w:pPr>
      <w:r>
        <w:rPr>
          <w:bCs/>
          <w:color w:val="auto"/>
          <w:highlight w:val="none"/>
          <w:lang w:val="zh-CN"/>
        </w:rPr>
        <w:fldChar w:fldCharType="begin"/>
      </w:r>
      <w:r>
        <w:rPr>
          <w:bCs/>
          <w:highlight w:val="none"/>
          <w:lang w:val="zh-CN"/>
        </w:rPr>
        <w:instrText xml:space="preserve"> HYPERLINK \l _Toc11836 </w:instrText>
      </w:r>
      <w:r>
        <w:rPr>
          <w:bCs/>
          <w:highlight w:val="none"/>
          <w:lang w:val="zh-CN"/>
        </w:rPr>
        <w:fldChar w:fldCharType="separate"/>
      </w:r>
      <w:r>
        <w:rPr>
          <w:rFonts w:hint="eastAsia"/>
          <w:highlight w:val="none"/>
        </w:rPr>
        <w:t>二、法定代表人身份证明</w:t>
      </w:r>
      <w:r>
        <w:tab/>
      </w:r>
      <w:r>
        <w:fldChar w:fldCharType="begin"/>
      </w:r>
      <w:r>
        <w:instrText xml:space="preserve"> PAGEREF _Toc11836 \h </w:instrText>
      </w:r>
      <w:r>
        <w:fldChar w:fldCharType="separate"/>
      </w:r>
      <w:r>
        <w:t>1</w:t>
      </w:r>
      <w:r>
        <w:fldChar w:fldCharType="end"/>
      </w:r>
      <w:r>
        <w:rPr>
          <w:bCs/>
          <w:color w:val="auto"/>
          <w:highlight w:val="none"/>
          <w:lang w:val="zh-CN"/>
        </w:rPr>
        <w:fldChar w:fldCharType="end"/>
      </w:r>
    </w:p>
    <w:p w14:paraId="3730C005">
      <w:pPr>
        <w:pStyle w:val="13"/>
        <w:tabs>
          <w:tab w:val="right" w:leader="dot" w:pos="8290"/>
        </w:tabs>
      </w:pPr>
      <w:r>
        <w:rPr>
          <w:bCs/>
          <w:color w:val="auto"/>
          <w:highlight w:val="none"/>
          <w:lang w:val="zh-CN"/>
        </w:rPr>
        <w:fldChar w:fldCharType="begin"/>
      </w:r>
      <w:r>
        <w:rPr>
          <w:bCs/>
          <w:highlight w:val="none"/>
          <w:lang w:val="zh-CN"/>
        </w:rPr>
        <w:instrText xml:space="preserve"> HYPERLINK \l _Toc29418 </w:instrText>
      </w:r>
      <w:r>
        <w:rPr>
          <w:bCs/>
          <w:highlight w:val="none"/>
          <w:lang w:val="zh-CN"/>
        </w:rPr>
        <w:fldChar w:fldCharType="separate"/>
      </w:r>
      <w:r>
        <w:rPr>
          <w:rFonts w:hint="eastAsia"/>
          <w:highlight w:val="none"/>
        </w:rPr>
        <w:t>三、投标保证金</w:t>
      </w:r>
      <w:r>
        <w:tab/>
      </w:r>
      <w:r>
        <w:fldChar w:fldCharType="begin"/>
      </w:r>
      <w:r>
        <w:instrText xml:space="preserve"> PAGEREF _Toc29418 \h </w:instrText>
      </w:r>
      <w:r>
        <w:fldChar w:fldCharType="separate"/>
      </w:r>
      <w:r>
        <w:t>1</w:t>
      </w:r>
      <w:r>
        <w:fldChar w:fldCharType="end"/>
      </w:r>
      <w:r>
        <w:rPr>
          <w:bCs/>
          <w:color w:val="auto"/>
          <w:highlight w:val="none"/>
          <w:lang w:val="zh-CN"/>
        </w:rPr>
        <w:fldChar w:fldCharType="end"/>
      </w:r>
    </w:p>
    <w:p w14:paraId="45669E63">
      <w:pPr>
        <w:pStyle w:val="13"/>
        <w:tabs>
          <w:tab w:val="right" w:leader="dot" w:pos="8290"/>
        </w:tabs>
      </w:pPr>
      <w:r>
        <w:rPr>
          <w:bCs/>
          <w:color w:val="auto"/>
          <w:highlight w:val="none"/>
          <w:lang w:val="zh-CN"/>
        </w:rPr>
        <w:fldChar w:fldCharType="begin"/>
      </w:r>
      <w:r>
        <w:rPr>
          <w:bCs/>
          <w:highlight w:val="none"/>
          <w:lang w:val="zh-CN"/>
        </w:rPr>
        <w:instrText xml:space="preserve"> HYPERLINK \l _Toc3659 </w:instrText>
      </w:r>
      <w:r>
        <w:rPr>
          <w:bCs/>
          <w:highlight w:val="none"/>
          <w:lang w:val="zh-CN"/>
        </w:rPr>
        <w:fldChar w:fldCharType="separate"/>
      </w:r>
      <w:r>
        <w:rPr>
          <w:rFonts w:hint="eastAsia"/>
          <w:highlight w:val="none"/>
        </w:rPr>
        <w:t>四、联合体协议书</w:t>
      </w:r>
      <w:r>
        <w:tab/>
      </w:r>
      <w:r>
        <w:fldChar w:fldCharType="begin"/>
      </w:r>
      <w:r>
        <w:instrText xml:space="preserve"> PAGEREF _Toc3659 \h </w:instrText>
      </w:r>
      <w:r>
        <w:fldChar w:fldCharType="separate"/>
      </w:r>
      <w:r>
        <w:t>1</w:t>
      </w:r>
      <w:r>
        <w:fldChar w:fldCharType="end"/>
      </w:r>
      <w:r>
        <w:rPr>
          <w:bCs/>
          <w:color w:val="auto"/>
          <w:highlight w:val="none"/>
          <w:lang w:val="zh-CN"/>
        </w:rPr>
        <w:fldChar w:fldCharType="end"/>
      </w:r>
    </w:p>
    <w:p w14:paraId="50491A02">
      <w:pPr>
        <w:pStyle w:val="13"/>
        <w:tabs>
          <w:tab w:val="right" w:leader="dot" w:pos="8290"/>
        </w:tabs>
      </w:pPr>
      <w:r>
        <w:rPr>
          <w:bCs/>
          <w:color w:val="auto"/>
          <w:highlight w:val="none"/>
          <w:lang w:val="zh-CN"/>
        </w:rPr>
        <w:fldChar w:fldCharType="begin"/>
      </w:r>
      <w:r>
        <w:rPr>
          <w:bCs/>
          <w:highlight w:val="none"/>
          <w:lang w:val="zh-CN"/>
        </w:rPr>
        <w:instrText xml:space="preserve"> HYPERLINK \l _Toc26266 </w:instrText>
      </w:r>
      <w:r>
        <w:rPr>
          <w:bCs/>
          <w:highlight w:val="none"/>
          <w:lang w:val="zh-CN"/>
        </w:rPr>
        <w:fldChar w:fldCharType="separate"/>
      </w:r>
      <w:r>
        <w:rPr>
          <w:rFonts w:hint="eastAsia"/>
          <w:highlight w:val="none"/>
        </w:rPr>
        <w:t>五、拟分包计划表</w:t>
      </w:r>
      <w:r>
        <w:tab/>
      </w:r>
      <w:r>
        <w:fldChar w:fldCharType="begin"/>
      </w:r>
      <w:r>
        <w:instrText xml:space="preserve"> PAGEREF _Toc26266 \h </w:instrText>
      </w:r>
      <w:r>
        <w:fldChar w:fldCharType="separate"/>
      </w:r>
      <w:r>
        <w:t>1</w:t>
      </w:r>
      <w:r>
        <w:fldChar w:fldCharType="end"/>
      </w:r>
      <w:r>
        <w:rPr>
          <w:bCs/>
          <w:color w:val="auto"/>
          <w:highlight w:val="none"/>
          <w:lang w:val="zh-CN"/>
        </w:rPr>
        <w:fldChar w:fldCharType="end"/>
      </w:r>
    </w:p>
    <w:p w14:paraId="67F72522">
      <w:pPr>
        <w:pStyle w:val="13"/>
        <w:tabs>
          <w:tab w:val="right" w:leader="dot" w:pos="8290"/>
        </w:tabs>
      </w:pPr>
      <w:r>
        <w:rPr>
          <w:bCs/>
          <w:color w:val="auto"/>
          <w:highlight w:val="none"/>
          <w:lang w:val="zh-CN"/>
        </w:rPr>
        <w:fldChar w:fldCharType="begin"/>
      </w:r>
      <w:r>
        <w:rPr>
          <w:bCs/>
          <w:highlight w:val="none"/>
          <w:lang w:val="zh-CN"/>
        </w:rPr>
        <w:instrText xml:space="preserve"> HYPERLINK \l _Toc27207 </w:instrText>
      </w:r>
      <w:r>
        <w:rPr>
          <w:bCs/>
          <w:highlight w:val="none"/>
          <w:lang w:val="zh-CN"/>
        </w:rPr>
        <w:fldChar w:fldCharType="separate"/>
      </w:r>
      <w:r>
        <w:rPr>
          <w:rFonts w:hint="eastAsia"/>
          <w:highlight w:val="none"/>
        </w:rPr>
        <w:t>五、分包意向协议书</w:t>
      </w:r>
      <w:r>
        <w:tab/>
      </w:r>
      <w:r>
        <w:fldChar w:fldCharType="begin"/>
      </w:r>
      <w:r>
        <w:instrText xml:space="preserve"> PAGEREF _Toc27207 \h </w:instrText>
      </w:r>
      <w:r>
        <w:fldChar w:fldCharType="separate"/>
      </w:r>
      <w:r>
        <w:t>1</w:t>
      </w:r>
      <w:r>
        <w:fldChar w:fldCharType="end"/>
      </w:r>
      <w:r>
        <w:rPr>
          <w:bCs/>
          <w:color w:val="auto"/>
          <w:highlight w:val="none"/>
          <w:lang w:val="zh-CN"/>
        </w:rPr>
        <w:fldChar w:fldCharType="end"/>
      </w:r>
    </w:p>
    <w:p w14:paraId="624F17E7">
      <w:pPr>
        <w:pStyle w:val="13"/>
        <w:tabs>
          <w:tab w:val="right" w:leader="dot" w:pos="8290"/>
        </w:tabs>
      </w:pPr>
      <w:r>
        <w:rPr>
          <w:bCs/>
          <w:color w:val="auto"/>
          <w:highlight w:val="none"/>
          <w:lang w:val="zh-CN"/>
        </w:rPr>
        <w:fldChar w:fldCharType="begin"/>
      </w:r>
      <w:r>
        <w:rPr>
          <w:bCs/>
          <w:highlight w:val="none"/>
          <w:lang w:val="zh-CN"/>
        </w:rPr>
        <w:instrText xml:space="preserve"> HYPERLINK \l _Toc21925 </w:instrText>
      </w:r>
      <w:r>
        <w:rPr>
          <w:bCs/>
          <w:highlight w:val="none"/>
          <w:lang w:val="zh-CN"/>
        </w:rPr>
        <w:fldChar w:fldCharType="separate"/>
      </w:r>
      <w:r>
        <w:rPr>
          <w:rFonts w:hint="eastAsia"/>
          <w:highlight w:val="none"/>
        </w:rPr>
        <w:t>六、中小企业声明函</w:t>
      </w:r>
      <w:r>
        <w:rPr>
          <w:rFonts w:hint="eastAsia"/>
          <w:highlight w:val="none"/>
          <w:lang w:eastAsia="zh-CN"/>
        </w:rPr>
        <w:t>（如是）</w:t>
      </w:r>
      <w:r>
        <w:tab/>
      </w:r>
      <w:r>
        <w:fldChar w:fldCharType="begin"/>
      </w:r>
      <w:r>
        <w:instrText xml:space="preserve"> PAGEREF _Toc21925 \h </w:instrText>
      </w:r>
      <w:r>
        <w:fldChar w:fldCharType="separate"/>
      </w:r>
      <w:r>
        <w:t>1</w:t>
      </w:r>
      <w:r>
        <w:fldChar w:fldCharType="end"/>
      </w:r>
      <w:r>
        <w:rPr>
          <w:bCs/>
          <w:color w:val="auto"/>
          <w:highlight w:val="none"/>
          <w:lang w:val="zh-CN"/>
        </w:rPr>
        <w:fldChar w:fldCharType="end"/>
      </w:r>
    </w:p>
    <w:p w14:paraId="21687BB5">
      <w:pPr>
        <w:pStyle w:val="13"/>
        <w:tabs>
          <w:tab w:val="right" w:leader="dot" w:pos="8290"/>
        </w:tabs>
      </w:pPr>
      <w:r>
        <w:rPr>
          <w:bCs/>
          <w:color w:val="auto"/>
          <w:highlight w:val="none"/>
          <w:lang w:val="zh-CN"/>
        </w:rPr>
        <w:fldChar w:fldCharType="begin"/>
      </w:r>
      <w:r>
        <w:rPr>
          <w:bCs/>
          <w:highlight w:val="none"/>
          <w:lang w:val="zh-CN"/>
        </w:rPr>
        <w:instrText xml:space="preserve"> HYPERLINK \l _Toc7118 </w:instrText>
      </w:r>
      <w:r>
        <w:rPr>
          <w:bCs/>
          <w:highlight w:val="none"/>
          <w:lang w:val="zh-CN"/>
        </w:rPr>
        <w:fldChar w:fldCharType="separate"/>
      </w:r>
      <w:r>
        <w:rPr>
          <w:rFonts w:hint="eastAsia"/>
          <w:highlight w:val="none"/>
        </w:rPr>
        <w:t>七、项目管理机构</w:t>
      </w:r>
      <w:r>
        <w:tab/>
      </w:r>
      <w:r>
        <w:fldChar w:fldCharType="begin"/>
      </w:r>
      <w:r>
        <w:instrText xml:space="preserve"> PAGEREF _Toc7118 \h </w:instrText>
      </w:r>
      <w:r>
        <w:fldChar w:fldCharType="separate"/>
      </w:r>
      <w:r>
        <w:t>1</w:t>
      </w:r>
      <w:r>
        <w:fldChar w:fldCharType="end"/>
      </w:r>
      <w:r>
        <w:rPr>
          <w:bCs/>
          <w:color w:val="auto"/>
          <w:highlight w:val="none"/>
          <w:lang w:val="zh-CN"/>
        </w:rPr>
        <w:fldChar w:fldCharType="end"/>
      </w:r>
    </w:p>
    <w:p w14:paraId="1B71D874">
      <w:pPr>
        <w:pStyle w:val="8"/>
        <w:tabs>
          <w:tab w:val="right" w:leader="dot" w:pos="8290"/>
        </w:tabs>
      </w:pPr>
      <w:r>
        <w:rPr>
          <w:bCs/>
          <w:color w:val="auto"/>
          <w:highlight w:val="none"/>
          <w:lang w:val="zh-CN"/>
        </w:rPr>
        <w:fldChar w:fldCharType="begin"/>
      </w:r>
      <w:r>
        <w:rPr>
          <w:bCs/>
          <w:highlight w:val="none"/>
          <w:lang w:val="zh-CN"/>
        </w:rPr>
        <w:instrText xml:space="preserve"> HYPERLINK \l _Toc11830 </w:instrText>
      </w:r>
      <w:r>
        <w:rPr>
          <w:bCs/>
          <w:highlight w:val="none"/>
          <w:lang w:val="zh-CN"/>
        </w:rPr>
        <w:fldChar w:fldCharType="separate"/>
      </w:r>
      <w:r>
        <w:rPr>
          <w:rFonts w:hint="eastAsia"/>
          <w:szCs w:val="28"/>
          <w:highlight w:val="none"/>
        </w:rPr>
        <w:t>（一）项目管理机构主要人员表</w:t>
      </w:r>
      <w:r>
        <w:tab/>
      </w:r>
      <w:r>
        <w:fldChar w:fldCharType="begin"/>
      </w:r>
      <w:r>
        <w:instrText xml:space="preserve"> PAGEREF _Toc11830 \h </w:instrText>
      </w:r>
      <w:r>
        <w:fldChar w:fldCharType="separate"/>
      </w:r>
      <w:r>
        <w:t>1</w:t>
      </w:r>
      <w:r>
        <w:fldChar w:fldCharType="end"/>
      </w:r>
      <w:r>
        <w:rPr>
          <w:bCs/>
          <w:color w:val="auto"/>
          <w:highlight w:val="none"/>
          <w:lang w:val="zh-CN"/>
        </w:rPr>
        <w:fldChar w:fldCharType="end"/>
      </w:r>
    </w:p>
    <w:p w14:paraId="3B0BB75B">
      <w:pPr>
        <w:pStyle w:val="8"/>
        <w:tabs>
          <w:tab w:val="right" w:leader="dot" w:pos="8290"/>
        </w:tabs>
      </w:pPr>
      <w:r>
        <w:rPr>
          <w:bCs/>
          <w:color w:val="auto"/>
          <w:highlight w:val="none"/>
          <w:lang w:val="zh-CN"/>
        </w:rPr>
        <w:fldChar w:fldCharType="begin"/>
      </w:r>
      <w:r>
        <w:rPr>
          <w:bCs/>
          <w:highlight w:val="none"/>
          <w:lang w:val="zh-CN"/>
        </w:rPr>
        <w:instrText xml:space="preserve"> HYPERLINK \l _Toc3903 </w:instrText>
      </w:r>
      <w:r>
        <w:rPr>
          <w:bCs/>
          <w:highlight w:val="none"/>
          <w:lang w:val="zh-CN"/>
        </w:rPr>
        <w:fldChar w:fldCharType="separate"/>
      </w:r>
      <w:r>
        <w:rPr>
          <w:rFonts w:hint="eastAsia"/>
          <w:szCs w:val="28"/>
          <w:highlight w:val="none"/>
        </w:rPr>
        <w:t>（二）项目经理简历表</w:t>
      </w:r>
      <w:r>
        <w:tab/>
      </w:r>
      <w:r>
        <w:fldChar w:fldCharType="begin"/>
      </w:r>
      <w:r>
        <w:instrText xml:space="preserve"> PAGEREF _Toc3903 \h </w:instrText>
      </w:r>
      <w:r>
        <w:fldChar w:fldCharType="separate"/>
      </w:r>
      <w:r>
        <w:t>1</w:t>
      </w:r>
      <w:r>
        <w:fldChar w:fldCharType="end"/>
      </w:r>
      <w:r>
        <w:rPr>
          <w:bCs/>
          <w:color w:val="auto"/>
          <w:highlight w:val="none"/>
          <w:lang w:val="zh-CN"/>
        </w:rPr>
        <w:fldChar w:fldCharType="end"/>
      </w:r>
    </w:p>
    <w:p w14:paraId="0220C701">
      <w:pPr>
        <w:pStyle w:val="8"/>
        <w:tabs>
          <w:tab w:val="right" w:leader="dot" w:pos="8290"/>
        </w:tabs>
      </w:pPr>
      <w:r>
        <w:rPr>
          <w:bCs/>
          <w:color w:val="auto"/>
          <w:highlight w:val="none"/>
          <w:lang w:val="zh-CN"/>
        </w:rPr>
        <w:fldChar w:fldCharType="begin"/>
      </w:r>
      <w:r>
        <w:rPr>
          <w:bCs/>
          <w:highlight w:val="none"/>
          <w:lang w:val="zh-CN"/>
        </w:rPr>
        <w:instrText xml:space="preserve"> HYPERLINK \l _Toc3730 </w:instrText>
      </w:r>
      <w:r>
        <w:rPr>
          <w:bCs/>
          <w:highlight w:val="none"/>
          <w:lang w:val="zh-CN"/>
        </w:rPr>
        <w:fldChar w:fldCharType="separate"/>
      </w:r>
      <w:r>
        <w:rPr>
          <w:rFonts w:hint="eastAsia"/>
          <w:szCs w:val="28"/>
          <w:highlight w:val="none"/>
        </w:rPr>
        <w:t>（三）承诺书</w:t>
      </w:r>
      <w:r>
        <w:tab/>
      </w:r>
      <w:r>
        <w:fldChar w:fldCharType="begin"/>
      </w:r>
      <w:r>
        <w:instrText xml:space="preserve"> PAGEREF _Toc3730 \h </w:instrText>
      </w:r>
      <w:r>
        <w:fldChar w:fldCharType="separate"/>
      </w:r>
      <w:r>
        <w:t>1</w:t>
      </w:r>
      <w:r>
        <w:fldChar w:fldCharType="end"/>
      </w:r>
      <w:r>
        <w:rPr>
          <w:bCs/>
          <w:color w:val="auto"/>
          <w:highlight w:val="none"/>
          <w:lang w:val="zh-CN"/>
        </w:rPr>
        <w:fldChar w:fldCharType="end"/>
      </w:r>
    </w:p>
    <w:p w14:paraId="3CFE3747">
      <w:pPr>
        <w:pStyle w:val="8"/>
        <w:tabs>
          <w:tab w:val="right" w:leader="dot" w:pos="8290"/>
        </w:tabs>
      </w:pPr>
      <w:r>
        <w:rPr>
          <w:bCs/>
          <w:color w:val="auto"/>
          <w:highlight w:val="none"/>
          <w:lang w:val="zh-CN"/>
        </w:rPr>
        <w:fldChar w:fldCharType="begin"/>
      </w:r>
      <w:r>
        <w:rPr>
          <w:bCs/>
          <w:highlight w:val="none"/>
          <w:lang w:val="zh-CN"/>
        </w:rPr>
        <w:instrText xml:space="preserve"> HYPERLINK \l _Toc10179 </w:instrText>
      </w:r>
      <w:r>
        <w:rPr>
          <w:bCs/>
          <w:highlight w:val="none"/>
          <w:lang w:val="zh-CN"/>
        </w:rPr>
        <w:fldChar w:fldCharType="separate"/>
      </w:r>
      <w:r>
        <w:rPr>
          <w:rFonts w:hint="eastAsia"/>
          <w:szCs w:val="28"/>
          <w:highlight w:val="none"/>
        </w:rPr>
        <w:t>（四）其他主要项目管理人员简历表</w:t>
      </w:r>
      <w:r>
        <w:tab/>
      </w:r>
      <w:r>
        <w:fldChar w:fldCharType="begin"/>
      </w:r>
      <w:r>
        <w:instrText xml:space="preserve"> PAGEREF _Toc10179 \h </w:instrText>
      </w:r>
      <w:r>
        <w:fldChar w:fldCharType="separate"/>
      </w:r>
      <w:r>
        <w:t>1</w:t>
      </w:r>
      <w:r>
        <w:fldChar w:fldCharType="end"/>
      </w:r>
      <w:r>
        <w:rPr>
          <w:bCs/>
          <w:color w:val="auto"/>
          <w:highlight w:val="none"/>
          <w:lang w:val="zh-CN"/>
        </w:rPr>
        <w:fldChar w:fldCharType="end"/>
      </w:r>
    </w:p>
    <w:p w14:paraId="42BFF2CC">
      <w:pPr>
        <w:pStyle w:val="13"/>
        <w:tabs>
          <w:tab w:val="right" w:leader="dot" w:pos="8290"/>
        </w:tabs>
      </w:pPr>
      <w:r>
        <w:rPr>
          <w:bCs/>
          <w:color w:val="auto"/>
          <w:highlight w:val="none"/>
          <w:lang w:val="zh-CN"/>
        </w:rPr>
        <w:fldChar w:fldCharType="begin"/>
      </w:r>
      <w:r>
        <w:rPr>
          <w:bCs/>
          <w:highlight w:val="none"/>
          <w:lang w:val="zh-CN"/>
        </w:rPr>
        <w:instrText xml:space="preserve"> HYPERLINK \l _Toc23397 </w:instrText>
      </w:r>
      <w:r>
        <w:rPr>
          <w:bCs/>
          <w:highlight w:val="none"/>
          <w:lang w:val="zh-CN"/>
        </w:rPr>
        <w:fldChar w:fldCharType="separate"/>
      </w:r>
      <w:r>
        <w:rPr>
          <w:rFonts w:hint="eastAsia"/>
          <w:highlight w:val="none"/>
        </w:rPr>
        <w:t>八、资格审查资料</w:t>
      </w:r>
      <w:r>
        <w:tab/>
      </w:r>
      <w:r>
        <w:fldChar w:fldCharType="begin"/>
      </w:r>
      <w:r>
        <w:instrText xml:space="preserve"> PAGEREF _Toc23397 \h </w:instrText>
      </w:r>
      <w:r>
        <w:fldChar w:fldCharType="separate"/>
      </w:r>
      <w:r>
        <w:t>1</w:t>
      </w:r>
      <w:r>
        <w:fldChar w:fldCharType="end"/>
      </w:r>
      <w:r>
        <w:rPr>
          <w:bCs/>
          <w:color w:val="auto"/>
          <w:highlight w:val="none"/>
          <w:lang w:val="zh-CN"/>
        </w:rPr>
        <w:fldChar w:fldCharType="end"/>
      </w:r>
    </w:p>
    <w:p w14:paraId="2798FB29">
      <w:pPr>
        <w:pStyle w:val="8"/>
        <w:tabs>
          <w:tab w:val="right" w:leader="dot" w:pos="8290"/>
        </w:tabs>
      </w:pPr>
      <w:r>
        <w:rPr>
          <w:bCs/>
          <w:color w:val="auto"/>
          <w:highlight w:val="none"/>
          <w:lang w:val="zh-CN"/>
        </w:rPr>
        <w:fldChar w:fldCharType="begin"/>
      </w:r>
      <w:r>
        <w:rPr>
          <w:bCs/>
          <w:highlight w:val="none"/>
          <w:lang w:val="zh-CN"/>
        </w:rPr>
        <w:instrText xml:space="preserve"> HYPERLINK \l _Toc13522 </w:instrText>
      </w:r>
      <w:r>
        <w:rPr>
          <w:bCs/>
          <w:highlight w:val="none"/>
          <w:lang w:val="zh-CN"/>
        </w:rPr>
        <w:fldChar w:fldCharType="separate"/>
      </w:r>
      <w:r>
        <w:rPr>
          <w:rFonts w:hint="eastAsia"/>
          <w:szCs w:val="24"/>
          <w:highlight w:val="none"/>
        </w:rPr>
        <w:t>（一）投标人基本情况</w:t>
      </w:r>
      <w:r>
        <w:tab/>
      </w:r>
      <w:r>
        <w:fldChar w:fldCharType="begin"/>
      </w:r>
      <w:r>
        <w:instrText xml:space="preserve"> PAGEREF _Toc13522 \h </w:instrText>
      </w:r>
      <w:r>
        <w:fldChar w:fldCharType="separate"/>
      </w:r>
      <w:r>
        <w:t>1</w:t>
      </w:r>
      <w:r>
        <w:fldChar w:fldCharType="end"/>
      </w:r>
      <w:r>
        <w:rPr>
          <w:bCs/>
          <w:color w:val="auto"/>
          <w:highlight w:val="none"/>
          <w:lang w:val="zh-CN"/>
        </w:rPr>
        <w:fldChar w:fldCharType="end"/>
      </w:r>
    </w:p>
    <w:p w14:paraId="5BF66B55">
      <w:pPr>
        <w:pStyle w:val="8"/>
        <w:tabs>
          <w:tab w:val="right" w:leader="dot" w:pos="8290"/>
        </w:tabs>
      </w:pPr>
      <w:r>
        <w:rPr>
          <w:bCs/>
          <w:color w:val="auto"/>
          <w:highlight w:val="none"/>
          <w:lang w:val="zh-CN"/>
        </w:rPr>
        <w:fldChar w:fldCharType="begin"/>
      </w:r>
      <w:r>
        <w:rPr>
          <w:bCs/>
          <w:highlight w:val="none"/>
          <w:lang w:val="zh-CN"/>
        </w:rPr>
        <w:instrText xml:space="preserve"> HYPERLINK \l _Toc13757 </w:instrText>
      </w:r>
      <w:r>
        <w:rPr>
          <w:bCs/>
          <w:highlight w:val="none"/>
          <w:lang w:val="zh-CN"/>
        </w:rPr>
        <w:fldChar w:fldCharType="separate"/>
      </w:r>
      <w:r>
        <w:rPr>
          <w:szCs w:val="24"/>
          <w:highlight w:val="none"/>
        </w:rPr>
        <w:t>1-2</w:t>
      </w:r>
      <w:r>
        <w:rPr>
          <w:rFonts w:hint="eastAsia"/>
          <w:szCs w:val="24"/>
          <w:highlight w:val="none"/>
        </w:rPr>
        <w:t>关联单位情况说明</w:t>
      </w:r>
      <w:r>
        <w:tab/>
      </w:r>
      <w:r>
        <w:fldChar w:fldCharType="begin"/>
      </w:r>
      <w:r>
        <w:instrText xml:space="preserve"> PAGEREF _Toc13757 \h </w:instrText>
      </w:r>
      <w:r>
        <w:fldChar w:fldCharType="separate"/>
      </w:r>
      <w:r>
        <w:t>1</w:t>
      </w:r>
      <w:r>
        <w:fldChar w:fldCharType="end"/>
      </w:r>
      <w:r>
        <w:rPr>
          <w:bCs/>
          <w:color w:val="auto"/>
          <w:highlight w:val="none"/>
          <w:lang w:val="zh-CN"/>
        </w:rPr>
        <w:fldChar w:fldCharType="end"/>
      </w:r>
    </w:p>
    <w:p w14:paraId="436F56B6">
      <w:pPr>
        <w:pStyle w:val="8"/>
        <w:tabs>
          <w:tab w:val="right" w:leader="dot" w:pos="8290"/>
        </w:tabs>
      </w:pPr>
      <w:r>
        <w:rPr>
          <w:bCs/>
          <w:color w:val="auto"/>
          <w:highlight w:val="none"/>
          <w:lang w:val="zh-CN"/>
        </w:rPr>
        <w:fldChar w:fldCharType="begin"/>
      </w:r>
      <w:r>
        <w:rPr>
          <w:bCs/>
          <w:highlight w:val="none"/>
          <w:lang w:val="zh-CN"/>
        </w:rPr>
        <w:instrText xml:space="preserve"> HYPERLINK \l _Toc3288 </w:instrText>
      </w:r>
      <w:r>
        <w:rPr>
          <w:bCs/>
          <w:highlight w:val="none"/>
          <w:lang w:val="zh-CN"/>
        </w:rPr>
        <w:fldChar w:fldCharType="separate"/>
      </w:r>
      <w:r>
        <w:rPr>
          <w:szCs w:val="24"/>
          <w:highlight w:val="none"/>
        </w:rPr>
        <w:t xml:space="preserve">1-3 </w:t>
      </w:r>
      <w:r>
        <w:rPr>
          <w:rFonts w:hint="eastAsia"/>
          <w:szCs w:val="24"/>
          <w:highlight w:val="none"/>
        </w:rPr>
        <w:t>建筑业企业信息登记</w:t>
      </w:r>
      <w:r>
        <w:tab/>
      </w:r>
      <w:r>
        <w:fldChar w:fldCharType="begin"/>
      </w:r>
      <w:r>
        <w:instrText xml:space="preserve"> PAGEREF _Toc3288 \h </w:instrText>
      </w:r>
      <w:r>
        <w:fldChar w:fldCharType="separate"/>
      </w:r>
      <w:r>
        <w:t>1</w:t>
      </w:r>
      <w:r>
        <w:fldChar w:fldCharType="end"/>
      </w:r>
      <w:r>
        <w:rPr>
          <w:bCs/>
          <w:color w:val="auto"/>
          <w:highlight w:val="none"/>
          <w:lang w:val="zh-CN"/>
        </w:rPr>
        <w:fldChar w:fldCharType="end"/>
      </w:r>
    </w:p>
    <w:p w14:paraId="400F6B67">
      <w:pPr>
        <w:pStyle w:val="8"/>
        <w:tabs>
          <w:tab w:val="right" w:leader="dot" w:pos="8290"/>
        </w:tabs>
      </w:pPr>
      <w:r>
        <w:rPr>
          <w:bCs/>
          <w:color w:val="auto"/>
          <w:highlight w:val="none"/>
          <w:lang w:val="zh-CN"/>
        </w:rPr>
        <w:fldChar w:fldCharType="begin"/>
      </w:r>
      <w:r>
        <w:rPr>
          <w:bCs/>
          <w:highlight w:val="none"/>
          <w:lang w:val="zh-CN"/>
        </w:rPr>
        <w:instrText xml:space="preserve"> HYPERLINK \l _Toc13732 </w:instrText>
      </w:r>
      <w:r>
        <w:rPr>
          <w:bCs/>
          <w:highlight w:val="none"/>
          <w:lang w:val="zh-CN"/>
        </w:rPr>
        <w:fldChar w:fldCharType="separate"/>
      </w:r>
      <w:r>
        <w:rPr>
          <w:szCs w:val="24"/>
          <w:highlight w:val="none"/>
        </w:rPr>
        <w:t>1-4</w:t>
      </w:r>
      <w:r>
        <w:rPr>
          <w:rFonts w:hint="eastAsia"/>
          <w:szCs w:val="24"/>
          <w:highlight w:val="none"/>
        </w:rPr>
        <w:t>项目管理机构主要人员及简历表</w:t>
      </w:r>
      <w:r>
        <w:tab/>
      </w:r>
      <w:r>
        <w:fldChar w:fldCharType="begin"/>
      </w:r>
      <w:r>
        <w:instrText xml:space="preserve"> PAGEREF _Toc13732 \h </w:instrText>
      </w:r>
      <w:r>
        <w:fldChar w:fldCharType="separate"/>
      </w:r>
      <w:r>
        <w:t>1</w:t>
      </w:r>
      <w:r>
        <w:fldChar w:fldCharType="end"/>
      </w:r>
      <w:r>
        <w:rPr>
          <w:bCs/>
          <w:color w:val="auto"/>
          <w:highlight w:val="none"/>
          <w:lang w:val="zh-CN"/>
        </w:rPr>
        <w:fldChar w:fldCharType="end"/>
      </w:r>
    </w:p>
    <w:p w14:paraId="7370C7D7">
      <w:pPr>
        <w:pStyle w:val="8"/>
        <w:tabs>
          <w:tab w:val="right" w:leader="dot" w:pos="8290"/>
        </w:tabs>
      </w:pPr>
      <w:r>
        <w:rPr>
          <w:bCs/>
          <w:color w:val="auto"/>
          <w:highlight w:val="none"/>
          <w:lang w:val="zh-CN"/>
        </w:rPr>
        <w:fldChar w:fldCharType="begin"/>
      </w:r>
      <w:r>
        <w:rPr>
          <w:bCs/>
          <w:highlight w:val="none"/>
          <w:lang w:val="zh-CN"/>
        </w:rPr>
        <w:instrText xml:space="preserve"> HYPERLINK \l _Toc15830 </w:instrText>
      </w:r>
      <w:r>
        <w:rPr>
          <w:bCs/>
          <w:highlight w:val="none"/>
          <w:lang w:val="zh-CN"/>
        </w:rPr>
        <w:fldChar w:fldCharType="separate"/>
      </w:r>
      <w:r>
        <w:rPr>
          <w:szCs w:val="24"/>
          <w:highlight w:val="none"/>
        </w:rPr>
        <w:t>1-5</w:t>
      </w:r>
      <w:r>
        <w:rPr>
          <w:rFonts w:hint="eastAsia"/>
          <w:szCs w:val="24"/>
          <w:highlight w:val="none"/>
        </w:rPr>
        <w:t>拟投入主要施工机械设备情况表</w:t>
      </w:r>
      <w:r>
        <w:tab/>
      </w:r>
      <w:r>
        <w:fldChar w:fldCharType="begin"/>
      </w:r>
      <w:r>
        <w:instrText xml:space="preserve"> PAGEREF _Toc15830 \h </w:instrText>
      </w:r>
      <w:r>
        <w:fldChar w:fldCharType="separate"/>
      </w:r>
      <w:r>
        <w:t>1</w:t>
      </w:r>
      <w:r>
        <w:fldChar w:fldCharType="end"/>
      </w:r>
      <w:r>
        <w:rPr>
          <w:bCs/>
          <w:color w:val="auto"/>
          <w:highlight w:val="none"/>
          <w:lang w:val="zh-CN"/>
        </w:rPr>
        <w:fldChar w:fldCharType="end"/>
      </w:r>
    </w:p>
    <w:p w14:paraId="53A842DE">
      <w:pPr>
        <w:pStyle w:val="8"/>
        <w:tabs>
          <w:tab w:val="right" w:leader="dot" w:pos="8290"/>
        </w:tabs>
      </w:pPr>
      <w:r>
        <w:rPr>
          <w:bCs/>
          <w:color w:val="auto"/>
          <w:highlight w:val="none"/>
          <w:lang w:val="zh-CN"/>
        </w:rPr>
        <w:fldChar w:fldCharType="begin"/>
      </w:r>
      <w:r>
        <w:rPr>
          <w:bCs/>
          <w:highlight w:val="none"/>
          <w:lang w:val="zh-CN"/>
        </w:rPr>
        <w:instrText xml:space="preserve"> HYPERLINK \l _Toc14003 </w:instrText>
      </w:r>
      <w:r>
        <w:rPr>
          <w:bCs/>
          <w:highlight w:val="none"/>
          <w:lang w:val="zh-CN"/>
        </w:rPr>
        <w:fldChar w:fldCharType="separate"/>
      </w:r>
      <w:r>
        <w:rPr>
          <w:rFonts w:hint="eastAsia"/>
          <w:szCs w:val="24"/>
          <w:highlight w:val="none"/>
        </w:rPr>
        <w:t>（二）近</w:t>
      </w:r>
      <w:r>
        <w:rPr>
          <w:szCs w:val="24"/>
          <w:highlight w:val="none"/>
        </w:rPr>
        <w:t>3</w:t>
      </w:r>
      <w:r>
        <w:rPr>
          <w:rFonts w:hint="eastAsia"/>
          <w:szCs w:val="24"/>
          <w:highlight w:val="none"/>
        </w:rPr>
        <w:t>年财务状况</w:t>
      </w:r>
      <w:r>
        <w:tab/>
      </w:r>
      <w:r>
        <w:fldChar w:fldCharType="begin"/>
      </w:r>
      <w:r>
        <w:instrText xml:space="preserve"> PAGEREF _Toc14003 \h </w:instrText>
      </w:r>
      <w:r>
        <w:fldChar w:fldCharType="separate"/>
      </w:r>
      <w:r>
        <w:t>1</w:t>
      </w:r>
      <w:r>
        <w:fldChar w:fldCharType="end"/>
      </w:r>
      <w:r>
        <w:rPr>
          <w:bCs/>
          <w:color w:val="auto"/>
          <w:highlight w:val="none"/>
          <w:lang w:val="zh-CN"/>
        </w:rPr>
        <w:fldChar w:fldCharType="end"/>
      </w:r>
    </w:p>
    <w:p w14:paraId="740A09E9">
      <w:pPr>
        <w:pStyle w:val="8"/>
        <w:tabs>
          <w:tab w:val="right" w:leader="dot" w:pos="8290"/>
        </w:tabs>
      </w:pPr>
      <w:r>
        <w:rPr>
          <w:bCs/>
          <w:color w:val="auto"/>
          <w:highlight w:val="none"/>
          <w:lang w:val="zh-CN"/>
        </w:rPr>
        <w:fldChar w:fldCharType="begin"/>
      </w:r>
      <w:r>
        <w:rPr>
          <w:bCs/>
          <w:highlight w:val="none"/>
          <w:lang w:val="zh-CN"/>
        </w:rPr>
        <w:instrText xml:space="preserve"> HYPERLINK \l _Toc3124 </w:instrText>
      </w:r>
      <w:r>
        <w:rPr>
          <w:bCs/>
          <w:highlight w:val="none"/>
          <w:lang w:val="zh-CN"/>
        </w:rPr>
        <w:fldChar w:fldCharType="separate"/>
      </w:r>
      <w:r>
        <w:rPr>
          <w:szCs w:val="24"/>
          <w:highlight w:val="none"/>
        </w:rPr>
        <w:t>2-1</w:t>
      </w:r>
      <w:r>
        <w:rPr>
          <w:rFonts w:hint="eastAsia"/>
          <w:szCs w:val="24"/>
          <w:highlight w:val="none"/>
        </w:rPr>
        <w:t>近</w:t>
      </w:r>
      <w:r>
        <w:rPr>
          <w:szCs w:val="24"/>
          <w:highlight w:val="none"/>
        </w:rPr>
        <w:t>3</w:t>
      </w:r>
      <w:r>
        <w:rPr>
          <w:rFonts w:hint="eastAsia"/>
          <w:szCs w:val="24"/>
          <w:highlight w:val="none"/>
        </w:rPr>
        <w:t>年财务状况表</w:t>
      </w:r>
      <w:r>
        <w:tab/>
      </w:r>
      <w:r>
        <w:fldChar w:fldCharType="begin"/>
      </w:r>
      <w:r>
        <w:instrText xml:space="preserve"> PAGEREF _Toc3124 \h </w:instrText>
      </w:r>
      <w:r>
        <w:fldChar w:fldCharType="separate"/>
      </w:r>
      <w:r>
        <w:t>1</w:t>
      </w:r>
      <w:r>
        <w:fldChar w:fldCharType="end"/>
      </w:r>
      <w:r>
        <w:rPr>
          <w:bCs/>
          <w:color w:val="auto"/>
          <w:highlight w:val="none"/>
          <w:lang w:val="zh-CN"/>
        </w:rPr>
        <w:fldChar w:fldCharType="end"/>
      </w:r>
    </w:p>
    <w:p w14:paraId="53E50B90">
      <w:pPr>
        <w:pStyle w:val="8"/>
        <w:tabs>
          <w:tab w:val="right" w:leader="dot" w:pos="8290"/>
        </w:tabs>
      </w:pPr>
      <w:r>
        <w:rPr>
          <w:bCs/>
          <w:color w:val="auto"/>
          <w:highlight w:val="none"/>
          <w:lang w:val="zh-CN"/>
        </w:rPr>
        <w:fldChar w:fldCharType="begin"/>
      </w:r>
      <w:r>
        <w:rPr>
          <w:bCs/>
          <w:highlight w:val="none"/>
          <w:lang w:val="zh-CN"/>
        </w:rPr>
        <w:instrText xml:space="preserve"> HYPERLINK \l _Toc11799 </w:instrText>
      </w:r>
      <w:r>
        <w:rPr>
          <w:bCs/>
          <w:highlight w:val="none"/>
          <w:lang w:val="zh-CN"/>
        </w:rPr>
        <w:fldChar w:fldCharType="separate"/>
      </w:r>
      <w:r>
        <w:rPr>
          <w:szCs w:val="24"/>
          <w:highlight w:val="none"/>
        </w:rPr>
        <w:t>2-2</w:t>
      </w:r>
      <w:r>
        <w:rPr>
          <w:rFonts w:hint="eastAsia"/>
          <w:szCs w:val="24"/>
          <w:highlight w:val="none"/>
        </w:rPr>
        <w:t>拟投入的流动资金函</w:t>
      </w:r>
      <w:r>
        <w:rPr>
          <w:szCs w:val="24"/>
          <w:highlight w:val="none"/>
        </w:rPr>
        <w:t>(</w:t>
      </w:r>
      <w:r>
        <w:rPr>
          <w:rFonts w:hint="eastAsia"/>
          <w:szCs w:val="24"/>
          <w:highlight w:val="none"/>
        </w:rPr>
        <w:t>格式</w:t>
      </w:r>
      <w:r>
        <w:rPr>
          <w:szCs w:val="24"/>
          <w:highlight w:val="none"/>
        </w:rPr>
        <w:t>)</w:t>
      </w:r>
      <w:r>
        <w:tab/>
      </w:r>
      <w:r>
        <w:fldChar w:fldCharType="begin"/>
      </w:r>
      <w:r>
        <w:instrText xml:space="preserve"> PAGEREF _Toc11799 \h </w:instrText>
      </w:r>
      <w:r>
        <w:fldChar w:fldCharType="separate"/>
      </w:r>
      <w:r>
        <w:t>1</w:t>
      </w:r>
      <w:r>
        <w:fldChar w:fldCharType="end"/>
      </w:r>
      <w:r>
        <w:rPr>
          <w:bCs/>
          <w:color w:val="auto"/>
          <w:highlight w:val="none"/>
          <w:lang w:val="zh-CN"/>
        </w:rPr>
        <w:fldChar w:fldCharType="end"/>
      </w:r>
    </w:p>
    <w:p w14:paraId="780E50AB">
      <w:pPr>
        <w:pStyle w:val="8"/>
        <w:tabs>
          <w:tab w:val="right" w:leader="dot" w:pos="8290"/>
        </w:tabs>
      </w:pPr>
      <w:r>
        <w:rPr>
          <w:bCs/>
          <w:color w:val="auto"/>
          <w:highlight w:val="none"/>
          <w:lang w:val="zh-CN"/>
        </w:rPr>
        <w:fldChar w:fldCharType="begin"/>
      </w:r>
      <w:r>
        <w:rPr>
          <w:bCs/>
          <w:highlight w:val="none"/>
          <w:lang w:val="zh-CN"/>
        </w:rPr>
        <w:instrText xml:space="preserve"> HYPERLINK \l _Toc31020 </w:instrText>
      </w:r>
      <w:r>
        <w:rPr>
          <w:bCs/>
          <w:highlight w:val="none"/>
          <w:lang w:val="zh-CN"/>
        </w:rPr>
        <w:fldChar w:fldCharType="separate"/>
      </w:r>
      <w:r>
        <w:rPr>
          <w:rFonts w:hint="eastAsia"/>
          <w:szCs w:val="24"/>
          <w:highlight w:val="none"/>
        </w:rPr>
        <w:t>（三）近</w:t>
      </w:r>
      <w:r>
        <w:rPr>
          <w:szCs w:val="24"/>
          <w:highlight w:val="none"/>
        </w:rPr>
        <w:t>5</w:t>
      </w:r>
      <w:r>
        <w:rPr>
          <w:rFonts w:hint="eastAsia"/>
          <w:szCs w:val="24"/>
          <w:highlight w:val="none"/>
        </w:rPr>
        <w:t>年完成的类似项目情况</w:t>
      </w:r>
      <w:r>
        <w:tab/>
      </w:r>
      <w:r>
        <w:fldChar w:fldCharType="begin"/>
      </w:r>
      <w:r>
        <w:instrText xml:space="preserve"> PAGEREF _Toc31020 \h </w:instrText>
      </w:r>
      <w:r>
        <w:fldChar w:fldCharType="separate"/>
      </w:r>
      <w:r>
        <w:t>1</w:t>
      </w:r>
      <w:r>
        <w:fldChar w:fldCharType="end"/>
      </w:r>
      <w:r>
        <w:rPr>
          <w:bCs/>
          <w:color w:val="auto"/>
          <w:highlight w:val="none"/>
          <w:lang w:val="zh-CN"/>
        </w:rPr>
        <w:fldChar w:fldCharType="end"/>
      </w:r>
    </w:p>
    <w:p w14:paraId="5EBE3DED">
      <w:pPr>
        <w:pStyle w:val="8"/>
        <w:tabs>
          <w:tab w:val="right" w:leader="dot" w:pos="8290"/>
        </w:tabs>
      </w:pPr>
      <w:r>
        <w:rPr>
          <w:bCs/>
          <w:color w:val="auto"/>
          <w:highlight w:val="none"/>
          <w:lang w:val="zh-CN"/>
        </w:rPr>
        <w:fldChar w:fldCharType="begin"/>
      </w:r>
      <w:r>
        <w:rPr>
          <w:bCs/>
          <w:highlight w:val="none"/>
          <w:lang w:val="zh-CN"/>
        </w:rPr>
        <w:instrText xml:space="preserve"> HYPERLINK \l _Toc32220 </w:instrText>
      </w:r>
      <w:r>
        <w:rPr>
          <w:bCs/>
          <w:highlight w:val="none"/>
          <w:lang w:val="zh-CN"/>
        </w:rPr>
        <w:fldChar w:fldCharType="separate"/>
      </w:r>
      <w:r>
        <w:rPr>
          <w:szCs w:val="24"/>
          <w:highlight w:val="none"/>
        </w:rPr>
        <w:t xml:space="preserve">3-1 </w:t>
      </w:r>
      <w:r>
        <w:rPr>
          <w:rFonts w:hint="eastAsia"/>
          <w:szCs w:val="24"/>
          <w:highlight w:val="none"/>
        </w:rPr>
        <w:t>近</w:t>
      </w:r>
      <w:r>
        <w:rPr>
          <w:szCs w:val="24"/>
          <w:highlight w:val="none"/>
        </w:rPr>
        <w:t>5</w:t>
      </w:r>
      <w:r>
        <w:rPr>
          <w:rFonts w:hint="eastAsia"/>
          <w:szCs w:val="24"/>
          <w:highlight w:val="none"/>
        </w:rPr>
        <w:t>年完成的类似项目汇总表</w:t>
      </w:r>
      <w:r>
        <w:tab/>
      </w:r>
      <w:r>
        <w:fldChar w:fldCharType="begin"/>
      </w:r>
      <w:r>
        <w:instrText xml:space="preserve"> PAGEREF _Toc32220 \h </w:instrText>
      </w:r>
      <w:r>
        <w:fldChar w:fldCharType="separate"/>
      </w:r>
      <w:r>
        <w:t>1</w:t>
      </w:r>
      <w:r>
        <w:fldChar w:fldCharType="end"/>
      </w:r>
      <w:r>
        <w:rPr>
          <w:bCs/>
          <w:color w:val="auto"/>
          <w:highlight w:val="none"/>
          <w:lang w:val="zh-CN"/>
        </w:rPr>
        <w:fldChar w:fldCharType="end"/>
      </w:r>
    </w:p>
    <w:p w14:paraId="25651A85">
      <w:pPr>
        <w:pStyle w:val="8"/>
        <w:tabs>
          <w:tab w:val="right" w:leader="dot" w:pos="8290"/>
        </w:tabs>
      </w:pPr>
      <w:r>
        <w:rPr>
          <w:bCs/>
          <w:color w:val="auto"/>
          <w:highlight w:val="none"/>
          <w:lang w:val="zh-CN"/>
        </w:rPr>
        <w:fldChar w:fldCharType="begin"/>
      </w:r>
      <w:r>
        <w:rPr>
          <w:bCs/>
          <w:highlight w:val="none"/>
          <w:lang w:val="zh-CN"/>
        </w:rPr>
        <w:instrText xml:space="preserve"> HYPERLINK \l _Toc5487 </w:instrText>
      </w:r>
      <w:r>
        <w:rPr>
          <w:bCs/>
          <w:highlight w:val="none"/>
          <w:lang w:val="zh-CN"/>
        </w:rPr>
        <w:fldChar w:fldCharType="separate"/>
      </w:r>
      <w:r>
        <w:rPr>
          <w:szCs w:val="24"/>
          <w:highlight w:val="none"/>
        </w:rPr>
        <w:t xml:space="preserve">3-2 </w:t>
      </w:r>
      <w:r>
        <w:rPr>
          <w:rFonts w:hint="eastAsia"/>
          <w:szCs w:val="24"/>
          <w:highlight w:val="none"/>
        </w:rPr>
        <w:t>近</w:t>
      </w:r>
      <w:r>
        <w:rPr>
          <w:szCs w:val="24"/>
          <w:highlight w:val="none"/>
        </w:rPr>
        <w:t>5</w:t>
      </w:r>
      <w:r>
        <w:rPr>
          <w:rFonts w:hint="eastAsia"/>
          <w:szCs w:val="24"/>
          <w:highlight w:val="none"/>
        </w:rPr>
        <w:t>年完成的类似项目情况表</w:t>
      </w:r>
      <w:r>
        <w:tab/>
      </w:r>
      <w:r>
        <w:fldChar w:fldCharType="begin"/>
      </w:r>
      <w:r>
        <w:instrText xml:space="preserve"> PAGEREF _Toc5487 \h </w:instrText>
      </w:r>
      <w:r>
        <w:fldChar w:fldCharType="separate"/>
      </w:r>
      <w:r>
        <w:t>1</w:t>
      </w:r>
      <w:r>
        <w:fldChar w:fldCharType="end"/>
      </w:r>
      <w:r>
        <w:rPr>
          <w:bCs/>
          <w:color w:val="auto"/>
          <w:highlight w:val="none"/>
          <w:lang w:val="zh-CN"/>
        </w:rPr>
        <w:fldChar w:fldCharType="end"/>
      </w:r>
    </w:p>
    <w:p w14:paraId="48BC0BA7">
      <w:pPr>
        <w:pStyle w:val="8"/>
        <w:tabs>
          <w:tab w:val="right" w:leader="dot" w:pos="8290"/>
        </w:tabs>
      </w:pPr>
      <w:r>
        <w:rPr>
          <w:bCs/>
          <w:color w:val="auto"/>
          <w:highlight w:val="none"/>
          <w:lang w:val="zh-CN"/>
        </w:rPr>
        <w:fldChar w:fldCharType="begin"/>
      </w:r>
      <w:r>
        <w:rPr>
          <w:bCs/>
          <w:highlight w:val="none"/>
          <w:lang w:val="zh-CN"/>
        </w:rPr>
        <w:instrText xml:space="preserve"> HYPERLINK \l _Toc18923 </w:instrText>
      </w:r>
      <w:r>
        <w:rPr>
          <w:bCs/>
          <w:highlight w:val="none"/>
          <w:lang w:val="zh-CN"/>
        </w:rPr>
        <w:fldChar w:fldCharType="separate"/>
      </w:r>
      <w:r>
        <w:rPr>
          <w:rFonts w:hint="eastAsia"/>
          <w:szCs w:val="24"/>
          <w:highlight w:val="none"/>
        </w:rPr>
        <w:t>（四）正在施工的和新承接的项目情况</w:t>
      </w:r>
      <w:r>
        <w:tab/>
      </w:r>
      <w:r>
        <w:fldChar w:fldCharType="begin"/>
      </w:r>
      <w:r>
        <w:instrText xml:space="preserve"> PAGEREF _Toc18923 \h </w:instrText>
      </w:r>
      <w:r>
        <w:fldChar w:fldCharType="separate"/>
      </w:r>
      <w:r>
        <w:t>1</w:t>
      </w:r>
      <w:r>
        <w:fldChar w:fldCharType="end"/>
      </w:r>
      <w:r>
        <w:rPr>
          <w:bCs/>
          <w:color w:val="auto"/>
          <w:highlight w:val="none"/>
          <w:lang w:val="zh-CN"/>
        </w:rPr>
        <w:fldChar w:fldCharType="end"/>
      </w:r>
    </w:p>
    <w:p w14:paraId="5E2B367E">
      <w:pPr>
        <w:pStyle w:val="8"/>
        <w:tabs>
          <w:tab w:val="right" w:leader="dot" w:pos="8290"/>
        </w:tabs>
      </w:pPr>
      <w:r>
        <w:rPr>
          <w:bCs/>
          <w:color w:val="auto"/>
          <w:highlight w:val="none"/>
          <w:lang w:val="zh-CN"/>
        </w:rPr>
        <w:fldChar w:fldCharType="begin"/>
      </w:r>
      <w:r>
        <w:rPr>
          <w:bCs/>
          <w:highlight w:val="none"/>
          <w:lang w:val="zh-CN"/>
        </w:rPr>
        <w:instrText xml:space="preserve"> HYPERLINK \l _Toc4107 </w:instrText>
      </w:r>
      <w:r>
        <w:rPr>
          <w:bCs/>
          <w:highlight w:val="none"/>
          <w:lang w:val="zh-CN"/>
        </w:rPr>
        <w:fldChar w:fldCharType="separate"/>
      </w:r>
      <w:r>
        <w:rPr>
          <w:szCs w:val="24"/>
          <w:highlight w:val="none"/>
        </w:rPr>
        <w:t xml:space="preserve">4-1 </w:t>
      </w:r>
      <w:r>
        <w:rPr>
          <w:rFonts w:hint="eastAsia"/>
          <w:szCs w:val="24"/>
          <w:highlight w:val="none"/>
        </w:rPr>
        <w:t>正在施工的和新承接的项目汇总表</w:t>
      </w:r>
      <w:r>
        <w:tab/>
      </w:r>
      <w:r>
        <w:fldChar w:fldCharType="begin"/>
      </w:r>
      <w:r>
        <w:instrText xml:space="preserve"> PAGEREF _Toc4107 \h </w:instrText>
      </w:r>
      <w:r>
        <w:fldChar w:fldCharType="separate"/>
      </w:r>
      <w:r>
        <w:t>1</w:t>
      </w:r>
      <w:r>
        <w:fldChar w:fldCharType="end"/>
      </w:r>
      <w:r>
        <w:rPr>
          <w:bCs/>
          <w:color w:val="auto"/>
          <w:highlight w:val="none"/>
          <w:lang w:val="zh-CN"/>
        </w:rPr>
        <w:fldChar w:fldCharType="end"/>
      </w:r>
    </w:p>
    <w:p w14:paraId="296216F8">
      <w:pPr>
        <w:pStyle w:val="8"/>
        <w:tabs>
          <w:tab w:val="right" w:leader="dot" w:pos="8290"/>
        </w:tabs>
      </w:pPr>
      <w:r>
        <w:rPr>
          <w:bCs/>
          <w:color w:val="auto"/>
          <w:highlight w:val="none"/>
          <w:lang w:val="zh-CN"/>
        </w:rPr>
        <w:fldChar w:fldCharType="begin"/>
      </w:r>
      <w:r>
        <w:rPr>
          <w:bCs/>
          <w:highlight w:val="none"/>
          <w:lang w:val="zh-CN"/>
        </w:rPr>
        <w:instrText xml:space="preserve"> HYPERLINK \l _Toc20450 </w:instrText>
      </w:r>
      <w:r>
        <w:rPr>
          <w:bCs/>
          <w:highlight w:val="none"/>
          <w:lang w:val="zh-CN"/>
        </w:rPr>
        <w:fldChar w:fldCharType="separate"/>
      </w:r>
      <w:r>
        <w:rPr>
          <w:szCs w:val="24"/>
          <w:highlight w:val="none"/>
        </w:rPr>
        <w:t xml:space="preserve">4-2 </w:t>
      </w:r>
      <w:r>
        <w:rPr>
          <w:rFonts w:hint="eastAsia"/>
          <w:szCs w:val="24"/>
          <w:highlight w:val="none"/>
        </w:rPr>
        <w:t>正在施工的和新承接的项目情况表</w:t>
      </w:r>
      <w:r>
        <w:tab/>
      </w:r>
      <w:r>
        <w:fldChar w:fldCharType="begin"/>
      </w:r>
      <w:r>
        <w:instrText xml:space="preserve"> PAGEREF _Toc20450 \h </w:instrText>
      </w:r>
      <w:r>
        <w:fldChar w:fldCharType="separate"/>
      </w:r>
      <w:r>
        <w:t>1</w:t>
      </w:r>
      <w:r>
        <w:fldChar w:fldCharType="end"/>
      </w:r>
      <w:r>
        <w:rPr>
          <w:bCs/>
          <w:color w:val="auto"/>
          <w:highlight w:val="none"/>
          <w:lang w:val="zh-CN"/>
        </w:rPr>
        <w:fldChar w:fldCharType="end"/>
      </w:r>
    </w:p>
    <w:p w14:paraId="3FEF2CEE">
      <w:pPr>
        <w:pStyle w:val="8"/>
        <w:tabs>
          <w:tab w:val="right" w:leader="dot" w:pos="8290"/>
        </w:tabs>
      </w:pPr>
      <w:r>
        <w:rPr>
          <w:bCs/>
          <w:color w:val="auto"/>
          <w:highlight w:val="none"/>
          <w:lang w:val="zh-CN"/>
        </w:rPr>
        <w:fldChar w:fldCharType="begin"/>
      </w:r>
      <w:r>
        <w:rPr>
          <w:bCs/>
          <w:highlight w:val="none"/>
          <w:lang w:val="zh-CN"/>
        </w:rPr>
        <w:instrText xml:space="preserve"> HYPERLINK \l _Toc6756 </w:instrText>
      </w:r>
      <w:r>
        <w:rPr>
          <w:bCs/>
          <w:highlight w:val="none"/>
          <w:lang w:val="zh-CN"/>
        </w:rPr>
        <w:fldChar w:fldCharType="separate"/>
      </w:r>
      <w:r>
        <w:rPr>
          <w:rFonts w:hint="eastAsia"/>
          <w:szCs w:val="24"/>
          <w:highlight w:val="none"/>
        </w:rPr>
        <w:t>（五）企业信誉情况</w:t>
      </w:r>
      <w:r>
        <w:tab/>
      </w:r>
      <w:r>
        <w:fldChar w:fldCharType="begin"/>
      </w:r>
      <w:r>
        <w:instrText xml:space="preserve"> PAGEREF _Toc6756 \h </w:instrText>
      </w:r>
      <w:r>
        <w:fldChar w:fldCharType="separate"/>
      </w:r>
      <w:r>
        <w:t>1</w:t>
      </w:r>
      <w:r>
        <w:fldChar w:fldCharType="end"/>
      </w:r>
      <w:r>
        <w:rPr>
          <w:bCs/>
          <w:color w:val="auto"/>
          <w:highlight w:val="none"/>
          <w:lang w:val="zh-CN"/>
        </w:rPr>
        <w:fldChar w:fldCharType="end"/>
      </w:r>
    </w:p>
    <w:p w14:paraId="26CE6D5F">
      <w:pPr>
        <w:pStyle w:val="8"/>
        <w:tabs>
          <w:tab w:val="right" w:leader="dot" w:pos="8290"/>
        </w:tabs>
      </w:pPr>
      <w:r>
        <w:rPr>
          <w:bCs/>
          <w:color w:val="auto"/>
          <w:highlight w:val="none"/>
          <w:lang w:val="zh-CN"/>
        </w:rPr>
        <w:fldChar w:fldCharType="begin"/>
      </w:r>
      <w:r>
        <w:rPr>
          <w:bCs/>
          <w:highlight w:val="none"/>
          <w:lang w:val="zh-CN"/>
        </w:rPr>
        <w:instrText xml:space="preserve"> HYPERLINK \l _Toc6842 </w:instrText>
      </w:r>
      <w:r>
        <w:rPr>
          <w:bCs/>
          <w:highlight w:val="none"/>
          <w:lang w:val="zh-CN"/>
        </w:rPr>
        <w:fldChar w:fldCharType="separate"/>
      </w:r>
      <w:r>
        <w:rPr>
          <w:szCs w:val="24"/>
          <w:highlight w:val="none"/>
        </w:rPr>
        <w:t>5-1</w:t>
      </w:r>
      <w:r>
        <w:rPr>
          <w:rFonts w:hint="eastAsia" w:ascii="宋体" w:hAnsi="宋体"/>
          <w:szCs w:val="21"/>
          <w:highlight w:val="none"/>
        </w:rPr>
        <w:t>企业信誉声明</w:t>
      </w:r>
      <w:r>
        <w:tab/>
      </w:r>
      <w:r>
        <w:fldChar w:fldCharType="begin"/>
      </w:r>
      <w:r>
        <w:instrText xml:space="preserve"> PAGEREF _Toc6842 \h </w:instrText>
      </w:r>
      <w:r>
        <w:fldChar w:fldCharType="separate"/>
      </w:r>
      <w:r>
        <w:t>1</w:t>
      </w:r>
      <w:r>
        <w:fldChar w:fldCharType="end"/>
      </w:r>
      <w:r>
        <w:rPr>
          <w:bCs/>
          <w:color w:val="auto"/>
          <w:highlight w:val="none"/>
          <w:lang w:val="zh-CN"/>
        </w:rPr>
        <w:fldChar w:fldCharType="end"/>
      </w:r>
    </w:p>
    <w:p w14:paraId="22D41452">
      <w:pPr>
        <w:pStyle w:val="8"/>
        <w:tabs>
          <w:tab w:val="right" w:leader="dot" w:pos="8290"/>
        </w:tabs>
      </w:pPr>
      <w:r>
        <w:rPr>
          <w:bCs/>
          <w:color w:val="auto"/>
          <w:highlight w:val="none"/>
          <w:lang w:val="zh-CN"/>
        </w:rPr>
        <w:fldChar w:fldCharType="begin"/>
      </w:r>
      <w:r>
        <w:rPr>
          <w:bCs/>
          <w:highlight w:val="none"/>
          <w:lang w:val="zh-CN"/>
        </w:rPr>
        <w:instrText xml:space="preserve"> HYPERLINK \l _Toc18722 </w:instrText>
      </w:r>
      <w:r>
        <w:rPr>
          <w:bCs/>
          <w:highlight w:val="none"/>
          <w:lang w:val="zh-CN"/>
        </w:rPr>
        <w:fldChar w:fldCharType="separate"/>
      </w:r>
      <w:r>
        <w:rPr>
          <w:szCs w:val="24"/>
          <w:highlight w:val="none"/>
        </w:rPr>
        <w:t>5-</w:t>
      </w:r>
      <w:r>
        <w:rPr>
          <w:rFonts w:hint="eastAsia"/>
          <w:szCs w:val="24"/>
          <w:highlight w:val="none"/>
        </w:rPr>
        <w:t>2近</w:t>
      </w:r>
      <w:r>
        <w:rPr>
          <w:szCs w:val="24"/>
          <w:highlight w:val="none"/>
        </w:rPr>
        <w:t>3</w:t>
      </w:r>
      <w:r>
        <w:rPr>
          <w:rFonts w:hint="eastAsia"/>
          <w:szCs w:val="24"/>
          <w:highlight w:val="none"/>
        </w:rPr>
        <w:t>年发生的诉讼和仲裁情况</w:t>
      </w:r>
      <w:r>
        <w:tab/>
      </w:r>
      <w:r>
        <w:fldChar w:fldCharType="begin"/>
      </w:r>
      <w:r>
        <w:instrText xml:space="preserve"> PAGEREF _Toc18722 \h </w:instrText>
      </w:r>
      <w:r>
        <w:fldChar w:fldCharType="separate"/>
      </w:r>
      <w:r>
        <w:t>1</w:t>
      </w:r>
      <w:r>
        <w:fldChar w:fldCharType="end"/>
      </w:r>
      <w:r>
        <w:rPr>
          <w:bCs/>
          <w:color w:val="auto"/>
          <w:highlight w:val="none"/>
          <w:lang w:val="zh-CN"/>
        </w:rPr>
        <w:fldChar w:fldCharType="end"/>
      </w:r>
    </w:p>
    <w:p w14:paraId="182E1248">
      <w:pPr>
        <w:pStyle w:val="8"/>
        <w:tabs>
          <w:tab w:val="right" w:leader="dot" w:pos="8290"/>
        </w:tabs>
      </w:pPr>
      <w:r>
        <w:rPr>
          <w:bCs/>
          <w:color w:val="auto"/>
          <w:highlight w:val="none"/>
          <w:lang w:val="zh-CN"/>
        </w:rPr>
        <w:fldChar w:fldCharType="begin"/>
      </w:r>
      <w:r>
        <w:rPr>
          <w:bCs/>
          <w:highlight w:val="none"/>
          <w:lang w:val="zh-CN"/>
        </w:rPr>
        <w:instrText xml:space="preserve"> HYPERLINK \l _Toc14745 </w:instrText>
      </w:r>
      <w:r>
        <w:rPr>
          <w:bCs/>
          <w:highlight w:val="none"/>
          <w:lang w:val="zh-CN"/>
        </w:rPr>
        <w:fldChar w:fldCharType="separate"/>
      </w:r>
      <w:r>
        <w:rPr>
          <w:szCs w:val="24"/>
          <w:highlight w:val="none"/>
        </w:rPr>
        <w:t>5-</w:t>
      </w:r>
      <w:r>
        <w:rPr>
          <w:rFonts w:hint="eastAsia"/>
          <w:szCs w:val="24"/>
          <w:highlight w:val="none"/>
        </w:rPr>
        <w:t>3近5年投标人工程获奖情况表</w:t>
      </w:r>
      <w:r>
        <w:tab/>
      </w:r>
      <w:r>
        <w:fldChar w:fldCharType="begin"/>
      </w:r>
      <w:r>
        <w:instrText xml:space="preserve"> PAGEREF _Toc14745 \h </w:instrText>
      </w:r>
      <w:r>
        <w:fldChar w:fldCharType="separate"/>
      </w:r>
      <w:r>
        <w:t>1</w:t>
      </w:r>
      <w:r>
        <w:fldChar w:fldCharType="end"/>
      </w:r>
      <w:r>
        <w:rPr>
          <w:bCs/>
          <w:color w:val="auto"/>
          <w:highlight w:val="none"/>
          <w:lang w:val="zh-CN"/>
        </w:rPr>
        <w:fldChar w:fldCharType="end"/>
      </w:r>
    </w:p>
    <w:p w14:paraId="71267676">
      <w:pPr>
        <w:pStyle w:val="8"/>
        <w:tabs>
          <w:tab w:val="right" w:leader="dot" w:pos="8290"/>
        </w:tabs>
      </w:pPr>
      <w:r>
        <w:rPr>
          <w:bCs/>
          <w:color w:val="auto"/>
          <w:highlight w:val="none"/>
          <w:lang w:val="zh-CN"/>
        </w:rPr>
        <w:fldChar w:fldCharType="begin"/>
      </w:r>
      <w:r>
        <w:rPr>
          <w:bCs/>
          <w:highlight w:val="none"/>
          <w:lang w:val="zh-CN"/>
        </w:rPr>
        <w:instrText xml:space="preserve"> HYPERLINK \l _Toc8318 </w:instrText>
      </w:r>
      <w:r>
        <w:rPr>
          <w:bCs/>
          <w:highlight w:val="none"/>
          <w:lang w:val="zh-CN"/>
        </w:rPr>
        <w:fldChar w:fldCharType="separate"/>
      </w:r>
      <w:r>
        <w:rPr>
          <w:szCs w:val="24"/>
          <w:highlight w:val="none"/>
        </w:rPr>
        <w:t>5-</w:t>
      </w:r>
      <w:r>
        <w:rPr>
          <w:rFonts w:hint="eastAsia"/>
          <w:szCs w:val="24"/>
          <w:highlight w:val="none"/>
        </w:rPr>
        <w:t>4</w:t>
      </w:r>
      <w:r>
        <w:rPr>
          <w:szCs w:val="24"/>
          <w:highlight w:val="none"/>
        </w:rPr>
        <w:t xml:space="preserve"> </w:t>
      </w:r>
      <w:r>
        <w:rPr>
          <w:rFonts w:hint="eastAsia"/>
          <w:szCs w:val="24"/>
          <w:highlight w:val="none"/>
        </w:rPr>
        <w:t>近5年项目经理工程获奖情况表</w:t>
      </w:r>
      <w:r>
        <w:tab/>
      </w:r>
      <w:r>
        <w:fldChar w:fldCharType="begin"/>
      </w:r>
      <w:r>
        <w:instrText xml:space="preserve"> PAGEREF _Toc8318 \h </w:instrText>
      </w:r>
      <w:r>
        <w:fldChar w:fldCharType="separate"/>
      </w:r>
      <w:r>
        <w:t>1</w:t>
      </w:r>
      <w:r>
        <w:fldChar w:fldCharType="end"/>
      </w:r>
      <w:r>
        <w:rPr>
          <w:bCs/>
          <w:color w:val="auto"/>
          <w:highlight w:val="none"/>
          <w:lang w:val="zh-CN"/>
        </w:rPr>
        <w:fldChar w:fldCharType="end"/>
      </w:r>
    </w:p>
    <w:p w14:paraId="5FAE4133">
      <w:pPr>
        <w:pStyle w:val="8"/>
        <w:tabs>
          <w:tab w:val="right" w:leader="dot" w:pos="8290"/>
        </w:tabs>
      </w:pPr>
      <w:r>
        <w:rPr>
          <w:bCs/>
          <w:color w:val="auto"/>
          <w:highlight w:val="none"/>
          <w:lang w:val="zh-CN"/>
        </w:rPr>
        <w:fldChar w:fldCharType="begin"/>
      </w:r>
      <w:r>
        <w:rPr>
          <w:bCs/>
          <w:highlight w:val="none"/>
          <w:lang w:val="zh-CN"/>
        </w:rPr>
        <w:instrText xml:space="preserve"> HYPERLINK \l _Toc30750 </w:instrText>
      </w:r>
      <w:r>
        <w:rPr>
          <w:bCs/>
          <w:highlight w:val="none"/>
          <w:lang w:val="zh-CN"/>
        </w:rPr>
        <w:fldChar w:fldCharType="separate"/>
      </w:r>
      <w:r>
        <w:rPr>
          <w:szCs w:val="24"/>
          <w:highlight w:val="none"/>
        </w:rPr>
        <w:t>5-</w:t>
      </w:r>
      <w:r>
        <w:rPr>
          <w:rFonts w:hint="eastAsia"/>
          <w:szCs w:val="24"/>
          <w:highlight w:val="none"/>
        </w:rPr>
        <w:t>5</w:t>
      </w:r>
      <w:r>
        <w:rPr>
          <w:szCs w:val="24"/>
          <w:highlight w:val="none"/>
        </w:rPr>
        <w:t xml:space="preserve"> </w:t>
      </w:r>
      <w:r>
        <w:rPr>
          <w:rFonts w:hint="eastAsia"/>
          <w:szCs w:val="24"/>
          <w:highlight w:val="none"/>
        </w:rPr>
        <w:t>近5年项目经理获表彰情况表</w:t>
      </w:r>
      <w:r>
        <w:tab/>
      </w:r>
      <w:r>
        <w:fldChar w:fldCharType="begin"/>
      </w:r>
      <w:r>
        <w:instrText xml:space="preserve"> PAGEREF _Toc30750 \h </w:instrText>
      </w:r>
      <w:r>
        <w:fldChar w:fldCharType="separate"/>
      </w:r>
      <w:r>
        <w:t>1</w:t>
      </w:r>
      <w:r>
        <w:fldChar w:fldCharType="end"/>
      </w:r>
      <w:r>
        <w:rPr>
          <w:bCs/>
          <w:color w:val="auto"/>
          <w:highlight w:val="none"/>
          <w:lang w:val="zh-CN"/>
        </w:rPr>
        <w:fldChar w:fldCharType="end"/>
      </w:r>
    </w:p>
    <w:p w14:paraId="7FB5868A">
      <w:pPr>
        <w:pStyle w:val="13"/>
        <w:tabs>
          <w:tab w:val="right" w:leader="dot" w:pos="8290"/>
        </w:tabs>
      </w:pPr>
      <w:r>
        <w:rPr>
          <w:bCs/>
          <w:color w:val="auto"/>
          <w:highlight w:val="none"/>
          <w:lang w:val="zh-CN"/>
        </w:rPr>
        <w:fldChar w:fldCharType="begin"/>
      </w:r>
      <w:r>
        <w:rPr>
          <w:bCs/>
          <w:highlight w:val="none"/>
          <w:lang w:val="zh-CN"/>
        </w:rPr>
        <w:instrText xml:space="preserve"> HYPERLINK \l _Toc27847 </w:instrText>
      </w:r>
      <w:r>
        <w:rPr>
          <w:bCs/>
          <w:highlight w:val="none"/>
          <w:lang w:val="zh-CN"/>
        </w:rPr>
        <w:fldChar w:fldCharType="separate"/>
      </w:r>
      <w:r>
        <w:rPr>
          <w:rFonts w:hint="eastAsia"/>
          <w:highlight w:val="none"/>
        </w:rPr>
        <w:t>九、已标价工程量清单</w:t>
      </w:r>
      <w:r>
        <w:tab/>
      </w:r>
      <w:r>
        <w:fldChar w:fldCharType="begin"/>
      </w:r>
      <w:r>
        <w:instrText xml:space="preserve"> PAGEREF _Toc27847 \h </w:instrText>
      </w:r>
      <w:r>
        <w:fldChar w:fldCharType="separate"/>
      </w:r>
      <w:r>
        <w:t>1</w:t>
      </w:r>
      <w:r>
        <w:fldChar w:fldCharType="end"/>
      </w:r>
      <w:r>
        <w:rPr>
          <w:bCs/>
          <w:color w:val="auto"/>
          <w:highlight w:val="none"/>
          <w:lang w:val="zh-CN"/>
        </w:rPr>
        <w:fldChar w:fldCharType="end"/>
      </w:r>
    </w:p>
    <w:p w14:paraId="547E2709">
      <w:pPr>
        <w:pStyle w:val="8"/>
        <w:tabs>
          <w:tab w:val="right" w:leader="dot" w:pos="8290"/>
        </w:tabs>
      </w:pPr>
      <w:r>
        <w:rPr>
          <w:bCs/>
          <w:color w:val="auto"/>
          <w:highlight w:val="none"/>
          <w:lang w:val="zh-CN"/>
        </w:rPr>
        <w:fldChar w:fldCharType="begin"/>
      </w:r>
      <w:r>
        <w:rPr>
          <w:bCs/>
          <w:highlight w:val="none"/>
          <w:lang w:val="zh-CN"/>
        </w:rPr>
        <w:instrText xml:space="preserve"> HYPERLINK \l _Toc31459 </w:instrText>
      </w:r>
      <w:r>
        <w:rPr>
          <w:bCs/>
          <w:highlight w:val="none"/>
          <w:lang w:val="zh-CN"/>
        </w:rPr>
        <w:fldChar w:fldCharType="separate"/>
      </w:r>
      <w:r>
        <w:rPr>
          <w:rFonts w:hint="eastAsia"/>
          <w:highlight w:val="none"/>
        </w:rPr>
        <w:t>已标价工程量清单（投标总价）封面</w:t>
      </w:r>
      <w:r>
        <w:tab/>
      </w:r>
      <w:r>
        <w:fldChar w:fldCharType="begin"/>
      </w:r>
      <w:r>
        <w:instrText xml:space="preserve"> PAGEREF _Toc31459 \h </w:instrText>
      </w:r>
      <w:r>
        <w:fldChar w:fldCharType="separate"/>
      </w:r>
      <w:r>
        <w:t>1</w:t>
      </w:r>
      <w:r>
        <w:fldChar w:fldCharType="end"/>
      </w:r>
      <w:r>
        <w:rPr>
          <w:bCs/>
          <w:color w:val="auto"/>
          <w:highlight w:val="none"/>
          <w:lang w:val="zh-CN"/>
        </w:rPr>
        <w:fldChar w:fldCharType="end"/>
      </w:r>
    </w:p>
    <w:p w14:paraId="7D7044EC">
      <w:pPr>
        <w:pStyle w:val="8"/>
        <w:tabs>
          <w:tab w:val="right" w:leader="dot" w:pos="8290"/>
        </w:tabs>
      </w:pPr>
      <w:r>
        <w:rPr>
          <w:bCs/>
          <w:color w:val="auto"/>
          <w:highlight w:val="none"/>
          <w:lang w:val="zh-CN"/>
        </w:rPr>
        <w:fldChar w:fldCharType="begin"/>
      </w:r>
      <w:r>
        <w:rPr>
          <w:bCs/>
          <w:highlight w:val="none"/>
          <w:lang w:val="zh-CN"/>
        </w:rPr>
        <w:instrText xml:space="preserve"> HYPERLINK \l _Toc12342 </w:instrText>
      </w:r>
      <w:r>
        <w:rPr>
          <w:bCs/>
          <w:highlight w:val="none"/>
          <w:lang w:val="zh-CN"/>
        </w:rPr>
        <w:fldChar w:fldCharType="separate"/>
      </w:r>
      <w:r>
        <w:rPr>
          <w:rFonts w:hint="eastAsia"/>
          <w:highlight w:val="none"/>
        </w:rPr>
        <w:t>投标总价扉页</w:t>
      </w:r>
      <w:r>
        <w:tab/>
      </w:r>
      <w:r>
        <w:fldChar w:fldCharType="begin"/>
      </w:r>
      <w:r>
        <w:instrText xml:space="preserve"> PAGEREF _Toc12342 \h </w:instrText>
      </w:r>
      <w:r>
        <w:fldChar w:fldCharType="separate"/>
      </w:r>
      <w:r>
        <w:t>1</w:t>
      </w:r>
      <w:r>
        <w:fldChar w:fldCharType="end"/>
      </w:r>
      <w:r>
        <w:rPr>
          <w:bCs/>
          <w:color w:val="auto"/>
          <w:highlight w:val="none"/>
          <w:lang w:val="zh-CN"/>
        </w:rPr>
        <w:fldChar w:fldCharType="end"/>
      </w:r>
    </w:p>
    <w:p w14:paraId="16828619">
      <w:pPr>
        <w:pStyle w:val="13"/>
        <w:tabs>
          <w:tab w:val="right" w:leader="dot" w:pos="8290"/>
        </w:tabs>
      </w:pPr>
      <w:r>
        <w:rPr>
          <w:bCs/>
          <w:color w:val="auto"/>
          <w:highlight w:val="none"/>
          <w:lang w:val="zh-CN"/>
        </w:rPr>
        <w:fldChar w:fldCharType="begin"/>
      </w:r>
      <w:r>
        <w:rPr>
          <w:bCs/>
          <w:highlight w:val="none"/>
          <w:lang w:val="zh-CN"/>
        </w:rPr>
        <w:instrText xml:space="preserve"> HYPERLINK \l _Toc17784 </w:instrText>
      </w:r>
      <w:r>
        <w:rPr>
          <w:bCs/>
          <w:highlight w:val="none"/>
          <w:lang w:val="zh-CN"/>
        </w:rPr>
        <w:fldChar w:fldCharType="separate"/>
      </w:r>
      <w:r>
        <w:rPr>
          <w:rFonts w:hint="eastAsia"/>
          <w:highlight w:val="none"/>
        </w:rPr>
        <w:t>十、施工组织设计</w:t>
      </w:r>
      <w:r>
        <w:tab/>
      </w:r>
      <w:r>
        <w:fldChar w:fldCharType="begin"/>
      </w:r>
      <w:r>
        <w:instrText xml:space="preserve"> PAGEREF _Toc17784 \h </w:instrText>
      </w:r>
      <w:r>
        <w:fldChar w:fldCharType="separate"/>
      </w:r>
      <w:r>
        <w:t>1</w:t>
      </w:r>
      <w:r>
        <w:fldChar w:fldCharType="end"/>
      </w:r>
      <w:r>
        <w:rPr>
          <w:bCs/>
          <w:color w:val="auto"/>
          <w:highlight w:val="none"/>
          <w:lang w:val="zh-CN"/>
        </w:rPr>
        <w:fldChar w:fldCharType="end"/>
      </w:r>
    </w:p>
    <w:p w14:paraId="10CEE198">
      <w:pPr>
        <w:pStyle w:val="8"/>
        <w:tabs>
          <w:tab w:val="right" w:leader="dot" w:pos="8290"/>
        </w:tabs>
      </w:pPr>
      <w:r>
        <w:rPr>
          <w:bCs/>
          <w:color w:val="auto"/>
          <w:highlight w:val="none"/>
          <w:lang w:val="zh-CN"/>
        </w:rPr>
        <w:fldChar w:fldCharType="begin"/>
      </w:r>
      <w:r>
        <w:rPr>
          <w:bCs/>
          <w:highlight w:val="none"/>
          <w:lang w:val="zh-CN"/>
        </w:rPr>
        <w:instrText xml:space="preserve"> HYPERLINK \l _Toc10610 </w:instrText>
      </w:r>
      <w:r>
        <w:rPr>
          <w:bCs/>
          <w:highlight w:val="none"/>
          <w:lang w:val="zh-CN"/>
        </w:rPr>
        <w:fldChar w:fldCharType="separate"/>
      </w:r>
      <w:r>
        <w:rPr>
          <w:rFonts w:hint="eastAsia"/>
          <w:szCs w:val="24"/>
          <w:highlight w:val="none"/>
        </w:rPr>
        <w:t>附表一：拟投入本工程的主要施工设备表</w:t>
      </w:r>
      <w:r>
        <w:tab/>
      </w:r>
      <w:r>
        <w:fldChar w:fldCharType="begin"/>
      </w:r>
      <w:r>
        <w:instrText xml:space="preserve"> PAGEREF _Toc10610 \h </w:instrText>
      </w:r>
      <w:r>
        <w:fldChar w:fldCharType="separate"/>
      </w:r>
      <w:r>
        <w:t>1</w:t>
      </w:r>
      <w:r>
        <w:fldChar w:fldCharType="end"/>
      </w:r>
      <w:r>
        <w:rPr>
          <w:bCs/>
          <w:color w:val="auto"/>
          <w:highlight w:val="none"/>
          <w:lang w:val="zh-CN"/>
        </w:rPr>
        <w:fldChar w:fldCharType="end"/>
      </w:r>
    </w:p>
    <w:p w14:paraId="6A416D11">
      <w:pPr>
        <w:pStyle w:val="8"/>
        <w:tabs>
          <w:tab w:val="right" w:leader="dot" w:pos="8290"/>
        </w:tabs>
      </w:pPr>
      <w:r>
        <w:rPr>
          <w:bCs/>
          <w:color w:val="auto"/>
          <w:highlight w:val="none"/>
          <w:lang w:val="zh-CN"/>
        </w:rPr>
        <w:fldChar w:fldCharType="begin"/>
      </w:r>
      <w:r>
        <w:rPr>
          <w:bCs/>
          <w:highlight w:val="none"/>
          <w:lang w:val="zh-CN"/>
        </w:rPr>
        <w:instrText xml:space="preserve"> HYPERLINK \l _Toc2033 </w:instrText>
      </w:r>
      <w:r>
        <w:rPr>
          <w:bCs/>
          <w:highlight w:val="none"/>
          <w:lang w:val="zh-CN"/>
        </w:rPr>
        <w:fldChar w:fldCharType="separate"/>
      </w:r>
      <w:r>
        <w:rPr>
          <w:rFonts w:hint="eastAsia"/>
          <w:szCs w:val="24"/>
          <w:highlight w:val="none"/>
        </w:rPr>
        <w:t>附表二：拟配备本工程的试验和检测仪器设备表</w:t>
      </w:r>
      <w:r>
        <w:tab/>
      </w:r>
      <w:r>
        <w:fldChar w:fldCharType="begin"/>
      </w:r>
      <w:r>
        <w:instrText xml:space="preserve"> PAGEREF _Toc2033 \h </w:instrText>
      </w:r>
      <w:r>
        <w:fldChar w:fldCharType="separate"/>
      </w:r>
      <w:r>
        <w:t>1</w:t>
      </w:r>
      <w:r>
        <w:fldChar w:fldCharType="end"/>
      </w:r>
      <w:r>
        <w:rPr>
          <w:bCs/>
          <w:color w:val="auto"/>
          <w:highlight w:val="none"/>
          <w:lang w:val="zh-CN"/>
        </w:rPr>
        <w:fldChar w:fldCharType="end"/>
      </w:r>
    </w:p>
    <w:p w14:paraId="406CE50F">
      <w:pPr>
        <w:pStyle w:val="8"/>
        <w:tabs>
          <w:tab w:val="right" w:leader="dot" w:pos="8290"/>
        </w:tabs>
      </w:pPr>
      <w:r>
        <w:rPr>
          <w:bCs/>
          <w:color w:val="auto"/>
          <w:highlight w:val="none"/>
          <w:lang w:val="zh-CN"/>
        </w:rPr>
        <w:fldChar w:fldCharType="begin"/>
      </w:r>
      <w:r>
        <w:rPr>
          <w:bCs/>
          <w:highlight w:val="none"/>
          <w:lang w:val="zh-CN"/>
        </w:rPr>
        <w:instrText xml:space="preserve"> HYPERLINK \l _Toc11298 </w:instrText>
      </w:r>
      <w:r>
        <w:rPr>
          <w:bCs/>
          <w:highlight w:val="none"/>
          <w:lang w:val="zh-CN"/>
        </w:rPr>
        <w:fldChar w:fldCharType="separate"/>
      </w:r>
      <w:r>
        <w:rPr>
          <w:rFonts w:hint="eastAsia"/>
          <w:szCs w:val="24"/>
          <w:highlight w:val="none"/>
        </w:rPr>
        <w:t>附表三：劳动力计划表</w:t>
      </w:r>
      <w:r>
        <w:tab/>
      </w:r>
      <w:r>
        <w:fldChar w:fldCharType="begin"/>
      </w:r>
      <w:r>
        <w:instrText xml:space="preserve"> PAGEREF _Toc11298 \h </w:instrText>
      </w:r>
      <w:r>
        <w:fldChar w:fldCharType="separate"/>
      </w:r>
      <w:r>
        <w:t>1</w:t>
      </w:r>
      <w:r>
        <w:fldChar w:fldCharType="end"/>
      </w:r>
      <w:r>
        <w:rPr>
          <w:bCs/>
          <w:color w:val="auto"/>
          <w:highlight w:val="none"/>
          <w:lang w:val="zh-CN"/>
        </w:rPr>
        <w:fldChar w:fldCharType="end"/>
      </w:r>
    </w:p>
    <w:p w14:paraId="2F4192B2">
      <w:pPr>
        <w:pStyle w:val="8"/>
        <w:tabs>
          <w:tab w:val="right" w:leader="dot" w:pos="8290"/>
        </w:tabs>
      </w:pPr>
      <w:r>
        <w:rPr>
          <w:bCs/>
          <w:color w:val="auto"/>
          <w:highlight w:val="none"/>
          <w:lang w:val="zh-CN"/>
        </w:rPr>
        <w:fldChar w:fldCharType="begin"/>
      </w:r>
      <w:r>
        <w:rPr>
          <w:bCs/>
          <w:highlight w:val="none"/>
          <w:lang w:val="zh-CN"/>
        </w:rPr>
        <w:instrText xml:space="preserve"> HYPERLINK \l _Toc9137 </w:instrText>
      </w:r>
      <w:r>
        <w:rPr>
          <w:bCs/>
          <w:highlight w:val="none"/>
          <w:lang w:val="zh-CN"/>
        </w:rPr>
        <w:fldChar w:fldCharType="separate"/>
      </w:r>
      <w:r>
        <w:rPr>
          <w:rFonts w:hint="eastAsia"/>
          <w:szCs w:val="24"/>
          <w:highlight w:val="none"/>
        </w:rPr>
        <w:t>附表四：计划开、竣工日期和施工进度网络图</w:t>
      </w:r>
      <w:r>
        <w:tab/>
      </w:r>
      <w:r>
        <w:fldChar w:fldCharType="begin"/>
      </w:r>
      <w:r>
        <w:instrText xml:space="preserve"> PAGEREF _Toc9137 \h </w:instrText>
      </w:r>
      <w:r>
        <w:fldChar w:fldCharType="separate"/>
      </w:r>
      <w:r>
        <w:t>1</w:t>
      </w:r>
      <w:r>
        <w:fldChar w:fldCharType="end"/>
      </w:r>
      <w:r>
        <w:rPr>
          <w:bCs/>
          <w:color w:val="auto"/>
          <w:highlight w:val="none"/>
          <w:lang w:val="zh-CN"/>
        </w:rPr>
        <w:fldChar w:fldCharType="end"/>
      </w:r>
    </w:p>
    <w:p w14:paraId="003E92E2">
      <w:pPr>
        <w:pStyle w:val="8"/>
        <w:tabs>
          <w:tab w:val="right" w:leader="dot" w:pos="8290"/>
        </w:tabs>
      </w:pPr>
      <w:r>
        <w:rPr>
          <w:bCs/>
          <w:color w:val="auto"/>
          <w:highlight w:val="none"/>
          <w:lang w:val="zh-CN"/>
        </w:rPr>
        <w:fldChar w:fldCharType="begin"/>
      </w:r>
      <w:r>
        <w:rPr>
          <w:bCs/>
          <w:highlight w:val="none"/>
          <w:lang w:val="zh-CN"/>
        </w:rPr>
        <w:instrText xml:space="preserve"> HYPERLINK \l _Toc26382 </w:instrText>
      </w:r>
      <w:r>
        <w:rPr>
          <w:bCs/>
          <w:highlight w:val="none"/>
          <w:lang w:val="zh-CN"/>
        </w:rPr>
        <w:fldChar w:fldCharType="separate"/>
      </w:r>
      <w:r>
        <w:rPr>
          <w:rFonts w:hint="eastAsia"/>
          <w:szCs w:val="24"/>
          <w:highlight w:val="none"/>
        </w:rPr>
        <w:t>附表五：施工总平面图</w:t>
      </w:r>
      <w:r>
        <w:tab/>
      </w:r>
      <w:r>
        <w:fldChar w:fldCharType="begin"/>
      </w:r>
      <w:r>
        <w:instrText xml:space="preserve"> PAGEREF _Toc26382 \h </w:instrText>
      </w:r>
      <w:r>
        <w:fldChar w:fldCharType="separate"/>
      </w:r>
      <w:r>
        <w:t>1</w:t>
      </w:r>
      <w:r>
        <w:fldChar w:fldCharType="end"/>
      </w:r>
      <w:r>
        <w:rPr>
          <w:bCs/>
          <w:color w:val="auto"/>
          <w:highlight w:val="none"/>
          <w:lang w:val="zh-CN"/>
        </w:rPr>
        <w:fldChar w:fldCharType="end"/>
      </w:r>
    </w:p>
    <w:p w14:paraId="09BC9462">
      <w:pPr>
        <w:pStyle w:val="8"/>
        <w:tabs>
          <w:tab w:val="right" w:leader="dot" w:pos="8290"/>
        </w:tabs>
      </w:pPr>
      <w:r>
        <w:rPr>
          <w:bCs/>
          <w:color w:val="auto"/>
          <w:highlight w:val="none"/>
          <w:lang w:val="zh-CN"/>
        </w:rPr>
        <w:fldChar w:fldCharType="begin"/>
      </w:r>
      <w:r>
        <w:rPr>
          <w:bCs/>
          <w:highlight w:val="none"/>
          <w:lang w:val="zh-CN"/>
        </w:rPr>
        <w:instrText xml:space="preserve"> HYPERLINK \l _Toc23440 </w:instrText>
      </w:r>
      <w:r>
        <w:rPr>
          <w:bCs/>
          <w:highlight w:val="none"/>
          <w:lang w:val="zh-CN"/>
        </w:rPr>
        <w:fldChar w:fldCharType="separate"/>
      </w:r>
      <w:r>
        <w:rPr>
          <w:rFonts w:hint="eastAsia"/>
          <w:szCs w:val="24"/>
          <w:highlight w:val="none"/>
        </w:rPr>
        <w:t>附表六：临时用地表</w:t>
      </w:r>
      <w:r>
        <w:tab/>
      </w:r>
      <w:r>
        <w:fldChar w:fldCharType="begin"/>
      </w:r>
      <w:r>
        <w:instrText xml:space="preserve"> PAGEREF _Toc23440 \h </w:instrText>
      </w:r>
      <w:r>
        <w:fldChar w:fldCharType="separate"/>
      </w:r>
      <w:r>
        <w:t>1</w:t>
      </w:r>
      <w:r>
        <w:fldChar w:fldCharType="end"/>
      </w:r>
      <w:r>
        <w:rPr>
          <w:bCs/>
          <w:color w:val="auto"/>
          <w:highlight w:val="none"/>
          <w:lang w:val="zh-CN"/>
        </w:rPr>
        <w:fldChar w:fldCharType="end"/>
      </w:r>
    </w:p>
    <w:p w14:paraId="32D58DDB">
      <w:pPr>
        <w:pStyle w:val="13"/>
        <w:tabs>
          <w:tab w:val="right" w:leader="dot" w:pos="8290"/>
        </w:tabs>
      </w:pPr>
      <w:r>
        <w:rPr>
          <w:bCs/>
          <w:color w:val="auto"/>
          <w:highlight w:val="none"/>
          <w:lang w:val="zh-CN"/>
        </w:rPr>
        <w:fldChar w:fldCharType="begin"/>
      </w:r>
      <w:r>
        <w:rPr>
          <w:bCs/>
          <w:highlight w:val="none"/>
          <w:lang w:val="zh-CN"/>
        </w:rPr>
        <w:instrText xml:space="preserve"> HYPERLINK \l _Toc19499 </w:instrText>
      </w:r>
      <w:r>
        <w:rPr>
          <w:bCs/>
          <w:highlight w:val="none"/>
          <w:lang w:val="zh-CN"/>
        </w:rPr>
        <w:fldChar w:fldCharType="separate"/>
      </w:r>
      <w:r>
        <w:rPr>
          <w:rFonts w:hint="eastAsia"/>
          <w:highlight w:val="none"/>
        </w:rPr>
        <w:t>十一、其他材料</w:t>
      </w:r>
      <w:r>
        <w:tab/>
      </w:r>
      <w:r>
        <w:fldChar w:fldCharType="begin"/>
      </w:r>
      <w:r>
        <w:instrText xml:space="preserve"> PAGEREF _Toc19499 \h </w:instrText>
      </w:r>
      <w:r>
        <w:fldChar w:fldCharType="separate"/>
      </w:r>
      <w:r>
        <w:t>1</w:t>
      </w:r>
      <w:r>
        <w:fldChar w:fldCharType="end"/>
      </w:r>
      <w:r>
        <w:rPr>
          <w:bCs/>
          <w:color w:val="auto"/>
          <w:highlight w:val="none"/>
          <w:lang w:val="zh-CN"/>
        </w:rPr>
        <w:fldChar w:fldCharType="end"/>
      </w:r>
    </w:p>
    <w:p w14:paraId="59A29EF0">
      <w:pPr>
        <w:rPr>
          <w:b/>
          <w:bCs/>
          <w:color w:val="auto"/>
          <w:highlight w:val="none"/>
          <w:lang w:val="zh-CN"/>
        </w:rPr>
      </w:pPr>
      <w:r>
        <w:rPr>
          <w:bCs/>
          <w:color w:val="auto"/>
          <w:highlight w:val="none"/>
          <w:lang w:val="zh-CN"/>
        </w:rPr>
        <w:fldChar w:fldCharType="end"/>
      </w:r>
    </w:p>
    <w:p w14:paraId="75BC4B7F">
      <w:pPr>
        <w:rPr>
          <w:color w:val="auto"/>
          <w:highlight w:val="none"/>
        </w:rPr>
      </w:pPr>
    </w:p>
    <w:p w14:paraId="1744F93D">
      <w:pPr>
        <w:pStyle w:val="2"/>
        <w:pageBreakBefore/>
        <w:spacing w:before="120" w:after="120" w:line="400" w:lineRule="exact"/>
        <w:jc w:val="center"/>
        <w:rPr>
          <w:rFonts w:hint="eastAsia" w:ascii="黑体" w:hAnsi="黑体" w:eastAsia="黑体"/>
          <w:b w:val="0"/>
          <w:bCs w:val="0"/>
          <w:color w:val="auto"/>
          <w:sz w:val="48"/>
          <w:szCs w:val="48"/>
          <w:highlight w:val="none"/>
        </w:rPr>
        <w:sectPr>
          <w:pgSz w:w="11906" w:h="16838"/>
          <w:pgMar w:top="1440" w:right="1808" w:bottom="1440" w:left="1808" w:header="851" w:footer="992" w:gutter="0"/>
          <w:pgNumType w:start="1"/>
          <w:cols w:space="720" w:num="1"/>
          <w:docGrid w:type="lines" w:linePitch="312" w:charSpace="0"/>
        </w:sectPr>
      </w:pPr>
      <w:bookmarkStart w:id="4" w:name="_Toc521075323"/>
      <w:bookmarkStart w:id="5" w:name="_Toc521074898"/>
    </w:p>
    <w:p w14:paraId="77C99981">
      <w:pPr>
        <w:pStyle w:val="2"/>
        <w:pageBreakBefore/>
        <w:spacing w:before="120" w:after="120" w:line="240" w:lineRule="auto"/>
        <w:jc w:val="center"/>
        <w:rPr>
          <w:rFonts w:hint="eastAsia" w:ascii="黑体" w:hAnsi="黑体" w:eastAsia="黑体"/>
          <w:b w:val="0"/>
          <w:bCs w:val="0"/>
          <w:color w:val="auto"/>
          <w:sz w:val="48"/>
          <w:szCs w:val="48"/>
          <w:highlight w:val="none"/>
        </w:rPr>
      </w:pPr>
      <w:bookmarkStart w:id="6" w:name="_Toc31776"/>
      <w:r>
        <w:rPr>
          <w:rFonts w:hint="eastAsia" w:ascii="黑体" w:hAnsi="黑体" w:eastAsia="黑体"/>
          <w:b w:val="0"/>
          <w:bCs w:val="0"/>
          <w:color w:val="auto"/>
          <w:sz w:val="48"/>
          <w:szCs w:val="48"/>
          <w:highlight w:val="none"/>
        </w:rPr>
        <w:t>第一卷</w:t>
      </w:r>
      <w:bookmarkEnd w:id="4"/>
      <w:bookmarkEnd w:id="5"/>
      <w:bookmarkEnd w:id="6"/>
      <w:bookmarkStart w:id="7" w:name="EBbc8dd5c5e23d4816b56ab0b5085839cd"/>
      <w:bookmarkEnd w:id="7"/>
    </w:p>
    <w:p w14:paraId="4C0B3F35">
      <w:pPr>
        <w:keepNext/>
        <w:keepLines/>
        <w:pageBreakBefore/>
        <w:spacing w:after="312" w:afterLines="100" w:line="380" w:lineRule="exact"/>
        <w:ind w:left="1270" w:leftChars="300" w:hanging="640" w:hangingChars="200"/>
        <w:jc w:val="center"/>
        <w:outlineLvl w:val="0"/>
        <w:rPr>
          <w:rFonts w:hint="eastAsia"/>
          <w:color w:val="auto"/>
          <w:highlight w:val="none"/>
        </w:rPr>
      </w:pPr>
      <w:bookmarkStart w:id="8" w:name="_Toc7640"/>
      <w:r>
        <w:rPr>
          <w:rFonts w:ascii="黑体" w:hAnsi="黑体" w:eastAsia="黑体"/>
          <w:bCs/>
          <w:color w:val="auto"/>
          <w:sz w:val="32"/>
          <w:highlight w:val="none"/>
        </w:rPr>
        <w:t>第一章</w:t>
      </w:r>
      <w:r>
        <w:rPr>
          <w:rFonts w:hint="eastAsia" w:ascii="黑体" w:hAnsi="黑体" w:eastAsia="黑体"/>
          <w:bCs/>
          <w:color w:val="auto"/>
          <w:sz w:val="32"/>
          <w:highlight w:val="none"/>
        </w:rPr>
        <w:t xml:space="preserve"> 招标公告</w:t>
      </w:r>
      <w:bookmarkEnd w:id="8"/>
    </w:p>
    <w:p w14:paraId="10BADF65">
      <w:pPr>
        <w:rPr>
          <w:rFonts w:hint="eastAsia"/>
          <w:color w:val="auto"/>
          <w:highlight w:val="none"/>
        </w:rPr>
      </w:pPr>
      <w:bookmarkStart w:id="9" w:name="EBe65df8b4e9eb47949dce45f4943f46c7"/>
      <w:r>
        <w:rPr>
          <w:rFonts w:hint="eastAsia"/>
          <w:color w:val="auto"/>
          <w:sz w:val="20"/>
          <w:highlight w:val="none"/>
        </w:rPr>
        <w:t xml:space="preserve"> </w:t>
      </w:r>
      <w:bookmarkEnd w:id="9"/>
    </w:p>
    <w:tbl>
      <w:tblPr>
        <w:tblStyle w:val="15"/>
        <w:tblW w:w="5174" w:type="pct"/>
        <w:tblCellSpacing w:w="15" w:type="dxa"/>
        <w:tblInd w:w="-279" w:type="dxa"/>
        <w:tblLayout w:type="autofit"/>
        <w:tblCellMar>
          <w:top w:w="15" w:type="dxa"/>
          <w:left w:w="15" w:type="dxa"/>
          <w:bottom w:w="15" w:type="dxa"/>
          <w:right w:w="15" w:type="dxa"/>
        </w:tblCellMar>
      </w:tblPr>
      <w:tblGrid>
        <w:gridCol w:w="8575"/>
        <w:gridCol w:w="97"/>
      </w:tblGrid>
      <w:tr w14:paraId="482ADB56">
        <w:trPr>
          <w:tblCellSpacing w:w="15" w:type="dxa"/>
        </w:trPr>
        <w:tc>
          <w:tcPr>
            <w:tcW w:w="8530" w:type="dxa"/>
            <w:noWrap w:val="0"/>
            <w:tcMar>
              <w:top w:w="15" w:type="dxa"/>
              <w:left w:w="15" w:type="dxa"/>
              <w:bottom w:w="15" w:type="dxa"/>
              <w:right w:w="15" w:type="dxa"/>
            </w:tcMar>
            <w:vAlign w:val="center"/>
          </w:tcPr>
          <w:p w14:paraId="03DF5976">
            <w:pPr>
              <w:widowControl/>
              <w:spacing w:line="675" w:lineRule="atLeas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lang w:eastAsia="zh-CN"/>
              </w:rPr>
              <w:t>大冶市第二中学改扩建工程（二期二标段）</w:t>
            </w:r>
            <w:r>
              <w:rPr>
                <w:rFonts w:ascii="宋体" w:hAnsi="宋体" w:cs="宋体"/>
                <w:color w:val="auto"/>
                <w:kern w:val="0"/>
                <w:sz w:val="21"/>
                <w:szCs w:val="21"/>
                <w:highlight w:val="none"/>
              </w:rPr>
              <w:t>招标公告</w:t>
            </w:r>
          </w:p>
        </w:tc>
        <w:tc>
          <w:tcPr>
            <w:tcW w:w="52" w:type="dxa"/>
            <w:noWrap w:val="0"/>
            <w:vAlign w:val="center"/>
          </w:tcPr>
          <w:p w14:paraId="1D9B4D70">
            <w:pPr>
              <w:rPr>
                <w:rFonts w:ascii="宋体" w:hAnsi="宋体" w:cs="宋体"/>
                <w:color w:val="auto"/>
                <w:kern w:val="0"/>
                <w:sz w:val="21"/>
                <w:szCs w:val="21"/>
                <w:highlight w:val="none"/>
              </w:rPr>
            </w:pPr>
          </w:p>
        </w:tc>
      </w:tr>
      <w:tr w14:paraId="2C9E70E5">
        <w:tblPrEx>
          <w:tblCellMar>
            <w:top w:w="15" w:type="dxa"/>
            <w:left w:w="15" w:type="dxa"/>
            <w:bottom w:w="15" w:type="dxa"/>
            <w:right w:w="15" w:type="dxa"/>
          </w:tblCellMar>
        </w:tblPrEx>
        <w:trPr>
          <w:tblCellSpacing w:w="15" w:type="dxa"/>
        </w:trPr>
        <w:tc>
          <w:tcPr>
            <w:tcW w:w="8530" w:type="dxa"/>
            <w:noWrap w:val="0"/>
            <w:tcMar>
              <w:top w:w="15" w:type="dxa"/>
              <w:left w:w="15" w:type="dxa"/>
              <w:bottom w:w="15" w:type="dxa"/>
              <w:right w:w="15" w:type="dxa"/>
            </w:tcMar>
            <w:vAlign w:val="center"/>
          </w:tcPr>
          <w:p w14:paraId="7B56AED7">
            <w:pPr>
              <w:keepNext w:val="0"/>
              <w:keepLines w:val="0"/>
              <w:pageBreakBefore w:val="0"/>
              <w:widowControl/>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招标编号：</w:t>
            </w:r>
            <w:bookmarkStart w:id="10" w:name="OLE_LINK4"/>
            <w:r>
              <w:rPr>
                <w:rFonts w:hint="eastAsia" w:ascii="宋体" w:hAnsi="宋体" w:eastAsia="宋体" w:cs="宋体"/>
                <w:color w:val="auto"/>
                <w:kern w:val="0"/>
                <w:sz w:val="21"/>
                <w:szCs w:val="21"/>
                <w:highlight w:val="none"/>
              </w:rPr>
              <w:t>HBDY-</w:t>
            </w:r>
            <w:bookmarkEnd w:id="10"/>
          </w:p>
          <w:p w14:paraId="5A3D088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1.招标条件</w:t>
            </w:r>
          </w:p>
          <w:p w14:paraId="206673F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本招标项目</w:t>
            </w:r>
            <w:r>
              <w:rPr>
                <w:rFonts w:hint="eastAsia" w:ascii="宋体" w:hAnsi="宋体" w:cs="宋体"/>
                <w:sz w:val="21"/>
                <w:szCs w:val="21"/>
                <w:lang w:eastAsia="zh-CN"/>
              </w:rPr>
              <w:t>大冶市第二中学改扩建工程（二期二标段）</w:t>
            </w:r>
            <w:r>
              <w:rPr>
                <w:rFonts w:hint="eastAsia" w:ascii="宋体" w:hAnsi="宋体" w:eastAsia="宋体" w:cs="宋体"/>
                <w:sz w:val="21"/>
                <w:szCs w:val="21"/>
              </w:rPr>
              <w:t>已由</w:t>
            </w:r>
            <w:r>
              <w:rPr>
                <w:rFonts w:hint="eastAsia" w:ascii="宋体" w:hAnsi="宋体" w:cs="宋体"/>
                <w:sz w:val="21"/>
                <w:szCs w:val="21"/>
                <w:lang w:val="en-US" w:eastAsia="zh-CN"/>
              </w:rPr>
              <w:t xml:space="preserve"> 大冶市发展和改革局以</w:t>
            </w:r>
            <w:r>
              <w:rPr>
                <w:rFonts w:hint="eastAsia" w:ascii="宋体" w:hAnsi="宋体" w:cs="宋体"/>
                <w:sz w:val="21"/>
                <w:szCs w:val="21"/>
                <w:highlight w:val="none"/>
                <w:lang w:val="en-US" w:eastAsia="zh-CN"/>
              </w:rPr>
              <w:t>冶发改审批服务﹝2022﹞180号批准建设</w:t>
            </w:r>
            <w:r>
              <w:rPr>
                <w:rFonts w:hint="eastAsia" w:ascii="宋体" w:hAnsi="宋体" w:eastAsia="宋体" w:cs="宋体"/>
                <w:sz w:val="21"/>
                <w:szCs w:val="21"/>
                <w:highlight w:val="none"/>
              </w:rPr>
              <w:t>，项目业主为</w:t>
            </w:r>
            <w:r>
              <w:rPr>
                <w:rFonts w:hint="eastAsia" w:ascii="宋体" w:hAnsi="宋体" w:cs="宋体"/>
                <w:sz w:val="21"/>
                <w:szCs w:val="21"/>
                <w:highlight w:val="none"/>
                <w:lang w:val="en-US" w:eastAsia="zh-CN"/>
              </w:rPr>
              <w:t>湖北省</w:t>
            </w:r>
            <w:r>
              <w:rPr>
                <w:rFonts w:hint="eastAsia" w:ascii="宋体" w:hAnsi="宋体" w:cs="宋体"/>
                <w:sz w:val="21"/>
                <w:szCs w:val="21"/>
                <w:highlight w:val="none"/>
                <w:lang w:eastAsia="zh-CN"/>
              </w:rPr>
              <w:t>大冶市第二中学</w:t>
            </w:r>
            <w:r>
              <w:rPr>
                <w:rFonts w:hint="eastAsia" w:ascii="宋体" w:hAnsi="宋体" w:eastAsia="宋体" w:cs="宋体"/>
                <w:sz w:val="21"/>
                <w:szCs w:val="21"/>
                <w:highlight w:val="none"/>
              </w:rPr>
              <w:t>，建设资金来自</w:t>
            </w:r>
            <w:r>
              <w:rPr>
                <w:rFonts w:hint="eastAsia" w:ascii="宋体" w:hAnsi="宋体" w:cs="宋体"/>
                <w:sz w:val="21"/>
                <w:szCs w:val="21"/>
                <w:highlight w:val="none"/>
                <w:u w:val="single"/>
                <w:lang w:val="en-US" w:eastAsia="zh-CN"/>
              </w:rPr>
              <w:t>财政资金</w:t>
            </w:r>
            <w:r>
              <w:rPr>
                <w:rFonts w:hint="eastAsia" w:ascii="宋体" w:hAnsi="宋体" w:eastAsia="宋体" w:cs="宋体"/>
                <w:sz w:val="21"/>
                <w:szCs w:val="21"/>
                <w:highlight w:val="none"/>
              </w:rPr>
              <w:t xml:space="preserve"> (资金来源)，项目出资比例为 100% ，招标人为</w:t>
            </w:r>
            <w:r>
              <w:rPr>
                <w:rFonts w:hint="eastAsia" w:ascii="宋体" w:hAnsi="宋体" w:cs="宋体"/>
                <w:sz w:val="21"/>
                <w:szCs w:val="21"/>
                <w:highlight w:val="none"/>
                <w:lang w:val="en-US" w:eastAsia="zh-CN"/>
              </w:rPr>
              <w:t>湖北省</w:t>
            </w:r>
            <w:r>
              <w:rPr>
                <w:rFonts w:hint="eastAsia" w:ascii="宋体" w:hAnsi="宋体" w:cs="宋体"/>
                <w:sz w:val="21"/>
                <w:szCs w:val="21"/>
                <w:highlight w:val="none"/>
                <w:lang w:eastAsia="zh-CN"/>
              </w:rPr>
              <w:t>大冶市第二中学</w:t>
            </w:r>
            <w:r>
              <w:rPr>
                <w:rFonts w:hint="eastAsia" w:ascii="宋体" w:hAnsi="宋体" w:eastAsia="宋体" w:cs="宋体"/>
                <w:sz w:val="21"/>
                <w:szCs w:val="21"/>
                <w:highlight w:val="none"/>
              </w:rPr>
              <w:t xml:space="preserve"> ，招标代理机构为</w:t>
            </w:r>
            <w:r>
              <w:rPr>
                <w:rFonts w:hint="eastAsia" w:ascii="宋体" w:hAnsi="宋体" w:cs="宋体"/>
                <w:sz w:val="21"/>
                <w:szCs w:val="21"/>
                <w:highlight w:val="none"/>
                <w:lang w:eastAsia="zh-CN"/>
              </w:rPr>
              <w:t>湖北锦辰工程管理有限公司</w:t>
            </w:r>
            <w:r>
              <w:rPr>
                <w:rFonts w:hint="eastAsia" w:ascii="宋体" w:hAnsi="宋体" w:eastAsia="宋体" w:cs="宋体"/>
                <w:sz w:val="21"/>
                <w:szCs w:val="21"/>
                <w:highlight w:val="none"/>
              </w:rPr>
              <w:t>。项目已具备招标条件，现对该项目的施工进行公开招标。</w:t>
            </w:r>
          </w:p>
          <w:p w14:paraId="4F00886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2.项目概况与招标范围</w:t>
            </w:r>
          </w:p>
          <w:p w14:paraId="0B9990B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2.1项目概况</w:t>
            </w:r>
          </w:p>
          <w:p w14:paraId="4F61D77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建设地点：大冶市</w:t>
            </w:r>
            <w:r>
              <w:rPr>
                <w:rFonts w:hint="eastAsia" w:ascii="宋体" w:hAnsi="宋体" w:cs="宋体"/>
                <w:sz w:val="21"/>
                <w:szCs w:val="21"/>
                <w:highlight w:val="none"/>
                <w:lang w:val="en-US" w:eastAsia="zh-CN"/>
              </w:rPr>
              <w:t>金牛镇</w:t>
            </w:r>
            <w:r>
              <w:rPr>
                <w:rFonts w:hint="eastAsia" w:ascii="宋体" w:hAnsi="宋体" w:eastAsia="宋体" w:cs="宋体"/>
                <w:sz w:val="21"/>
                <w:szCs w:val="21"/>
                <w:highlight w:val="none"/>
              </w:rPr>
              <w:t xml:space="preserve">。 </w:t>
            </w:r>
          </w:p>
          <w:p w14:paraId="34F9B8E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建设规模：</w:t>
            </w:r>
            <w:r>
              <w:rPr>
                <w:rFonts w:hint="eastAsia" w:ascii="宋体" w:hAnsi="宋体" w:cs="宋体"/>
                <w:sz w:val="21"/>
                <w:szCs w:val="21"/>
                <w:highlight w:val="none"/>
                <w:lang w:val="en-US" w:eastAsia="zh-CN"/>
              </w:rPr>
              <w:t>架空层、附属工程、西侧道路挡土墙、室外雨污管网、旧教学楼、篮球场、运动场、室外附属照明工程、室外道路等</w:t>
            </w:r>
            <w:r>
              <w:rPr>
                <w:rFonts w:hint="eastAsia" w:ascii="宋体" w:hAnsi="宋体" w:eastAsia="宋体" w:cs="宋体"/>
                <w:sz w:val="21"/>
                <w:szCs w:val="21"/>
                <w:highlight w:val="none"/>
                <w:lang w:val="en-US" w:eastAsia="zh-CN"/>
              </w:rPr>
              <w:t>。</w:t>
            </w:r>
          </w:p>
          <w:p w14:paraId="540DA45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其他：/</w:t>
            </w:r>
          </w:p>
          <w:p w14:paraId="4E567A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2.2招标范围</w:t>
            </w:r>
          </w:p>
          <w:p w14:paraId="6E6A1A6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招标范围：施工设计图纸及工程量清单中描述的全部内容。</w:t>
            </w:r>
          </w:p>
          <w:p w14:paraId="6938AAA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标段划分：1个标段</w:t>
            </w:r>
          </w:p>
          <w:p w14:paraId="716F83B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计划工期：</w:t>
            </w:r>
            <w:r>
              <w:rPr>
                <w:rFonts w:hint="eastAsia" w:ascii="宋体" w:hAnsi="宋体" w:cs="宋体"/>
                <w:sz w:val="21"/>
                <w:szCs w:val="21"/>
                <w:highlight w:val="none"/>
                <w:lang w:val="en-US" w:eastAsia="zh-CN"/>
              </w:rPr>
              <w:t>180</w:t>
            </w:r>
            <w:r>
              <w:rPr>
                <w:rFonts w:hint="eastAsia" w:ascii="宋体" w:hAnsi="宋体" w:eastAsia="宋体" w:cs="宋体"/>
                <w:sz w:val="21"/>
                <w:szCs w:val="21"/>
                <w:highlight w:val="none"/>
              </w:rPr>
              <w:t>日历天</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计划开工日期2026-11-20</w:t>
            </w:r>
          </w:p>
          <w:p w14:paraId="2EFA752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合同估算价：</w:t>
            </w:r>
            <w:r>
              <w:rPr>
                <w:rFonts w:hint="eastAsia" w:ascii="宋体" w:hAnsi="宋体" w:eastAsia="宋体" w:cs="宋体"/>
                <w:sz w:val="21"/>
                <w:szCs w:val="21"/>
                <w:highlight w:val="none"/>
                <w:lang w:val="en-US" w:eastAsia="zh-CN"/>
              </w:rPr>
              <w:t>2583.3144</w:t>
            </w:r>
            <w:r>
              <w:rPr>
                <w:rFonts w:hint="eastAsia" w:ascii="宋体" w:hAnsi="宋体" w:cs="宋体"/>
                <w:sz w:val="21"/>
                <w:szCs w:val="21"/>
                <w:highlight w:val="none"/>
                <w:lang w:val="en-US" w:eastAsia="zh-CN"/>
              </w:rPr>
              <w:t>万</w:t>
            </w:r>
            <w:r>
              <w:rPr>
                <w:rFonts w:hint="eastAsia" w:ascii="宋体" w:hAnsi="宋体" w:eastAsia="宋体" w:cs="宋体"/>
                <w:sz w:val="21"/>
                <w:szCs w:val="21"/>
                <w:highlight w:val="none"/>
                <w:lang w:eastAsia="zh-CN"/>
              </w:rPr>
              <w:t>元</w:t>
            </w:r>
          </w:p>
          <w:p w14:paraId="57829FB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yellow"/>
                <w:lang w:eastAsia="zh-CN"/>
              </w:rPr>
            </w:pPr>
            <w:r>
              <w:rPr>
                <w:rFonts w:hint="eastAsia" w:ascii="宋体" w:hAnsi="宋体" w:eastAsia="宋体" w:cs="宋体"/>
                <w:sz w:val="21"/>
                <w:szCs w:val="21"/>
              </w:rPr>
              <w:t>2.3其他：本项目控制价明细金额为</w:t>
            </w:r>
            <w:r>
              <w:rPr>
                <w:rFonts w:hint="eastAsia" w:ascii="宋体" w:hAnsi="宋体" w:eastAsia="宋体" w:cs="宋体"/>
                <w:sz w:val="21"/>
                <w:szCs w:val="21"/>
                <w:lang w:val="en-US" w:eastAsia="zh-CN"/>
              </w:rPr>
              <w:t>2807.9504</w:t>
            </w:r>
            <w:r>
              <w:rPr>
                <w:rFonts w:hint="eastAsia" w:ascii="宋体" w:hAnsi="宋体" w:cs="宋体"/>
                <w:sz w:val="21"/>
                <w:szCs w:val="21"/>
                <w:lang w:val="en-US" w:eastAsia="zh-CN"/>
              </w:rPr>
              <w:t>万</w:t>
            </w:r>
            <w:r>
              <w:rPr>
                <w:rFonts w:hint="eastAsia" w:ascii="宋体" w:hAnsi="宋体" w:eastAsia="宋体" w:cs="宋体"/>
                <w:sz w:val="21"/>
                <w:szCs w:val="21"/>
              </w:rPr>
              <w:t xml:space="preserve">元，总价下浮后得到审定金额为 </w:t>
            </w:r>
            <w:r>
              <w:rPr>
                <w:rFonts w:hint="eastAsia" w:ascii="宋体" w:hAnsi="宋体" w:cs="宋体"/>
                <w:sz w:val="21"/>
                <w:szCs w:val="21"/>
                <w:lang w:val="en-US" w:eastAsia="zh-CN"/>
              </w:rPr>
              <w:t>2583.3144万</w:t>
            </w:r>
            <w:r>
              <w:rPr>
                <w:rFonts w:hint="eastAsia" w:ascii="宋体" w:hAnsi="宋体" w:eastAsia="宋体" w:cs="宋体"/>
                <w:sz w:val="21"/>
                <w:szCs w:val="21"/>
              </w:rPr>
              <w:t xml:space="preserve"> 元，即为本项目最高限价</w:t>
            </w:r>
            <w:r>
              <w:rPr>
                <w:rFonts w:hint="eastAsia" w:ascii="宋体" w:hAnsi="宋体" w:cs="宋体"/>
                <w:sz w:val="21"/>
                <w:szCs w:val="21"/>
                <w:lang w:eastAsia="zh-CN"/>
              </w:rPr>
              <w:t>。</w:t>
            </w:r>
          </w:p>
          <w:p w14:paraId="34E06EE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3.投标人资格要求</w:t>
            </w:r>
          </w:p>
          <w:p w14:paraId="598CC63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3.1本标段招标要求投标人须具备 ：</w:t>
            </w:r>
          </w:p>
          <w:p w14:paraId="049E0D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①在中华人民共和国境内注册的法人或其他组织；②建设行政主管部门颁发的有效的建筑工程施工总承包三级及以上资质；具备有效的安全生产许可证；③投标人拟派项目经理须具备建筑工程专业二级及以上注册建造师执业资格，具备有效的安全生产考核合格证书（B证），且未担任其他在施建设工程项目的项目经理；</w:t>
            </w:r>
            <w:r>
              <w:rPr>
                <w:rFonts w:hint="eastAsia" w:ascii="宋体" w:hAnsi="宋体" w:cs="宋体"/>
                <w:sz w:val="21"/>
                <w:szCs w:val="21"/>
                <w:highlight w:val="none"/>
                <w:lang w:val="en-US" w:eastAsia="zh-CN"/>
              </w:rPr>
              <w:t>④</w:t>
            </w:r>
            <w:r>
              <w:rPr>
                <w:rFonts w:hint="eastAsia" w:ascii="Times New Roman" w:hAnsi="Times New Roman" w:cs="Times New Roman"/>
                <w:color w:val="auto"/>
                <w:szCs w:val="21"/>
                <w:highlight w:val="none"/>
                <w:lang w:val="en-US" w:eastAsia="zh-CN"/>
              </w:rPr>
              <w:t>近五年（投标截止时间往前推算5年）至少承接过一项单项金额2000万元及以上或建筑面积5000平方米及以上的房屋建筑工程施工业绩。提供中标通知书复印件或施工合同扫描件，（如提供的中标通知书复印件或施工合同扫描件无法表明上述要求的业绩金额或建设规模，还应由该业绩的甲方（或项目建设单位业主）出具证明材料，否则该项业绩评标时不予认定）；⑤</w:t>
            </w:r>
            <w:r>
              <w:rPr>
                <w:rFonts w:hint="eastAsia" w:ascii="宋体" w:hAnsi="宋体" w:eastAsia="宋体" w:cs="宋体"/>
                <w:sz w:val="21"/>
                <w:szCs w:val="21"/>
                <w:highlight w:val="none"/>
              </w:rPr>
              <w:t>信誉要求：1）没</w:t>
            </w:r>
            <w:r>
              <w:rPr>
                <w:rFonts w:hint="eastAsia" w:ascii="宋体" w:hAnsi="宋体" w:eastAsia="宋体" w:cs="宋体"/>
                <w:sz w:val="21"/>
                <w:szCs w:val="21"/>
              </w:rPr>
              <w:t>有被依法暂停或取消投标资格，2）没有被责令停产停业、暂扣或者吊销许可证、暂扣或者吊销执照，3）没有进入清算程序，或被宣告破产，或其他丧失履约能力的情形，4）在最近三年内没有发生重大工程质量问题；5）在“国家企业信用信息公示系统”（ www.gsxt.gov.cn）没有被列入严重违法失信企业名单；6）在“信用中国”网站（www.creditchina.gov.cn）或“中国执行信息公开网”（http://zxgk.court.gov.cn/shixin/）没有被列入失信被执行人名单；7）在近三年内投标人或其法定代表人、拟委任的项目经理没有行贿犯罪行为；8）不存在法律法规或投标人须知第1.4.3（19）目规定的不得存在的其他情形。</w:t>
            </w:r>
          </w:p>
          <w:p w14:paraId="0C95AD5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3.</w:t>
            </w:r>
            <w:r>
              <w:rPr>
                <w:rFonts w:hint="eastAsia" w:ascii="宋体" w:hAnsi="宋体" w:eastAsia="宋体" w:cs="宋体"/>
                <w:sz w:val="21"/>
                <w:szCs w:val="21"/>
                <w:highlight w:val="none"/>
              </w:rPr>
              <w:t>2本标段不接受联合体投标</w:t>
            </w:r>
          </w:p>
          <w:p w14:paraId="3487D29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3.3各投标人均可就本招标项目上述标段中的 1(具体数量）个标段投标。</w:t>
            </w:r>
          </w:p>
          <w:p w14:paraId="500E53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3.4本次招标本项目属于政府采购工程。</w:t>
            </w:r>
          </w:p>
          <w:p w14:paraId="07178CA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3.5本项目属</w:t>
            </w:r>
            <w:r>
              <w:rPr>
                <w:rFonts w:hint="eastAsia" w:ascii="宋体" w:hAnsi="宋体" w:eastAsia="宋体" w:cs="宋体"/>
                <w:sz w:val="21"/>
                <w:szCs w:val="21"/>
                <w:highlight w:val="none"/>
              </w:rPr>
              <w:t>性：</w:t>
            </w:r>
            <w:r>
              <w:rPr>
                <w:rFonts w:hint="eastAsia" w:ascii="宋体" w:hAnsi="宋体" w:eastAsia="宋体" w:cs="宋体"/>
                <w:sz w:val="21"/>
                <w:szCs w:val="21"/>
                <w:highlight w:val="none"/>
                <w:lang w:val="en-US" w:eastAsia="zh-CN"/>
              </w:rPr>
              <w:t>项目整体预留专门面向中小企业采购</w:t>
            </w:r>
            <w:r>
              <w:rPr>
                <w:rFonts w:hint="eastAsia" w:ascii="宋体" w:hAnsi="宋体" w:eastAsia="宋体" w:cs="宋体"/>
                <w:sz w:val="21"/>
                <w:szCs w:val="21"/>
                <w:highlight w:val="none"/>
              </w:rPr>
              <w:t>。</w:t>
            </w:r>
          </w:p>
          <w:p w14:paraId="044535A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3.6其它要求：投标人资格条件的具体要求详见招标文件第二章投标人须知前附表1.4.1投标人资质条件、能力和信誉(资格审查标准)</w:t>
            </w:r>
          </w:p>
          <w:p w14:paraId="74F443D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4.招标文件的获取</w:t>
            </w:r>
          </w:p>
          <w:p w14:paraId="72DD2B4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凡有意参加投标者（若为联合体投标，指联合体所有成员），应当在大冶市公共资源交易平台（以下简称“电子交易平台”，下同）（网址： http://36.133.17.9:8081/TPBidder/memberLogin）进行注册登记，并办理 CA 数字证书（具体 操作参见“电子交易平台”—软件指南—交易主体注册登记指南）。</w:t>
            </w:r>
          </w:p>
          <w:p w14:paraId="64C768F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 完成网员注册后，请于</w:t>
            </w:r>
            <w:r>
              <w:rPr>
                <w:rFonts w:hint="eastAsia" w:ascii="宋体" w:hAnsi="宋体" w:eastAsia="宋体" w:cs="宋体"/>
                <w:sz w:val="21"/>
                <w:szCs w:val="21"/>
                <w:highlight w:val="yellow"/>
                <w:u w:val="single"/>
              </w:rPr>
              <w:t xml:space="preserve"> </w:t>
            </w:r>
            <w:r>
              <w:rPr>
                <w:rFonts w:hint="eastAsia" w:ascii="宋体" w:hAnsi="宋体" w:eastAsia="宋体" w:cs="宋体"/>
                <w:color w:val="0000FF"/>
                <w:sz w:val="21"/>
                <w:szCs w:val="21"/>
                <w:highlight w:val="yellow"/>
                <w:u w:val="single"/>
              </w:rPr>
              <w:t>202</w:t>
            </w:r>
            <w:r>
              <w:rPr>
                <w:rFonts w:hint="eastAsia" w:ascii="宋体" w:hAnsi="宋体" w:cs="宋体"/>
                <w:color w:val="0000FF"/>
                <w:sz w:val="21"/>
                <w:szCs w:val="21"/>
                <w:highlight w:val="yellow"/>
                <w:u w:val="single"/>
                <w:lang w:val="en-US" w:eastAsia="zh-CN"/>
              </w:rPr>
              <w:t>6</w:t>
            </w:r>
            <w:r>
              <w:rPr>
                <w:rFonts w:hint="eastAsia" w:ascii="宋体" w:hAnsi="宋体" w:eastAsia="宋体" w:cs="宋体"/>
                <w:color w:val="0000FF"/>
                <w:sz w:val="21"/>
                <w:szCs w:val="21"/>
                <w:highlight w:val="yellow"/>
                <w:u w:val="single"/>
              </w:rPr>
              <w:t>年</w:t>
            </w:r>
            <w:r>
              <w:rPr>
                <w:rFonts w:hint="eastAsia" w:ascii="宋体" w:hAnsi="宋体" w:cs="宋体"/>
                <w:color w:val="0000FF"/>
                <w:sz w:val="21"/>
                <w:szCs w:val="21"/>
                <w:highlight w:val="yellow"/>
                <w:u w:val="single"/>
                <w:lang w:val="en-US" w:eastAsia="zh-CN"/>
              </w:rPr>
              <w:t xml:space="preserve"> </w:t>
            </w:r>
            <w:r>
              <w:rPr>
                <w:rFonts w:hint="eastAsia" w:ascii="宋体" w:hAnsi="宋体" w:eastAsia="宋体" w:cs="宋体"/>
                <w:color w:val="0000FF"/>
                <w:sz w:val="21"/>
                <w:szCs w:val="21"/>
                <w:highlight w:val="yellow"/>
                <w:u w:val="single"/>
              </w:rPr>
              <w:t>月</w:t>
            </w:r>
            <w:r>
              <w:rPr>
                <w:rFonts w:hint="eastAsia" w:ascii="宋体" w:hAnsi="宋体" w:cs="宋体"/>
                <w:color w:val="0000FF"/>
                <w:sz w:val="21"/>
                <w:szCs w:val="21"/>
                <w:highlight w:val="yellow"/>
                <w:u w:val="single"/>
                <w:lang w:val="en-US" w:eastAsia="zh-CN"/>
              </w:rPr>
              <w:t xml:space="preserve">  </w:t>
            </w:r>
            <w:r>
              <w:rPr>
                <w:rFonts w:hint="eastAsia" w:ascii="宋体" w:hAnsi="宋体" w:eastAsia="宋体" w:cs="宋体"/>
                <w:color w:val="0000FF"/>
                <w:sz w:val="21"/>
                <w:szCs w:val="21"/>
                <w:highlight w:val="yellow"/>
                <w:u w:val="single"/>
              </w:rPr>
              <w:t>日至 202</w:t>
            </w:r>
            <w:r>
              <w:rPr>
                <w:rFonts w:hint="eastAsia" w:ascii="宋体" w:hAnsi="宋体" w:cs="宋体"/>
                <w:color w:val="0000FF"/>
                <w:sz w:val="21"/>
                <w:szCs w:val="21"/>
                <w:highlight w:val="yellow"/>
                <w:u w:val="single"/>
                <w:lang w:val="en-US" w:eastAsia="zh-CN"/>
              </w:rPr>
              <w:t>6</w:t>
            </w:r>
            <w:r>
              <w:rPr>
                <w:rFonts w:hint="eastAsia" w:ascii="宋体" w:hAnsi="宋体" w:eastAsia="宋体" w:cs="宋体"/>
                <w:color w:val="0000FF"/>
                <w:sz w:val="21"/>
                <w:szCs w:val="21"/>
                <w:highlight w:val="yellow"/>
                <w:u w:val="single"/>
              </w:rPr>
              <w:t>年</w:t>
            </w:r>
            <w:r>
              <w:rPr>
                <w:rFonts w:hint="eastAsia" w:ascii="宋体" w:hAnsi="宋体" w:cs="宋体"/>
                <w:color w:val="0000FF"/>
                <w:sz w:val="21"/>
                <w:szCs w:val="21"/>
                <w:highlight w:val="yellow"/>
                <w:u w:val="single"/>
                <w:lang w:val="en-US" w:eastAsia="zh-CN"/>
              </w:rPr>
              <w:t xml:space="preserve"> </w:t>
            </w:r>
            <w:r>
              <w:rPr>
                <w:rFonts w:hint="eastAsia" w:ascii="宋体" w:hAnsi="宋体" w:eastAsia="宋体" w:cs="宋体"/>
                <w:color w:val="0000FF"/>
                <w:sz w:val="21"/>
                <w:szCs w:val="21"/>
                <w:highlight w:val="yellow"/>
                <w:u w:val="single"/>
              </w:rPr>
              <w:t>月</w:t>
            </w:r>
            <w:r>
              <w:rPr>
                <w:rFonts w:hint="eastAsia" w:ascii="宋体" w:hAnsi="宋体" w:cs="宋体"/>
                <w:color w:val="0000FF"/>
                <w:sz w:val="21"/>
                <w:szCs w:val="21"/>
                <w:highlight w:val="yellow"/>
                <w:u w:val="single"/>
                <w:lang w:val="en-US" w:eastAsia="zh-CN"/>
              </w:rPr>
              <w:t xml:space="preserve">  </w:t>
            </w:r>
            <w:r>
              <w:rPr>
                <w:rFonts w:hint="eastAsia" w:ascii="宋体" w:hAnsi="宋体" w:eastAsia="宋体" w:cs="宋体"/>
                <w:color w:val="0000FF"/>
                <w:sz w:val="21"/>
                <w:szCs w:val="21"/>
                <w:highlight w:val="yellow"/>
                <w:u w:val="single"/>
              </w:rPr>
              <w:t>日</w:t>
            </w:r>
            <w:r>
              <w:rPr>
                <w:rFonts w:hint="eastAsia" w:ascii="宋体" w:hAnsi="宋体" w:eastAsia="宋体" w:cs="宋体"/>
                <w:sz w:val="21"/>
                <w:szCs w:val="21"/>
                <w:highlight w:val="yellow"/>
              </w:rPr>
              <w:t xml:space="preserve"> </w:t>
            </w:r>
            <w:r>
              <w:rPr>
                <w:rFonts w:hint="eastAsia" w:ascii="宋体" w:hAnsi="宋体" w:eastAsia="宋体" w:cs="宋体"/>
                <w:sz w:val="21"/>
                <w:szCs w:val="21"/>
              </w:rPr>
              <w:t>24：00 时止（北京时 间、下同），通过互联网使用 CA 数字证书登录“电子交易平台”，在所投标段免费下载招 标文件。联合体投标的，由联合体牵头人下载招标文件（具体操作参见“电子交易平台”— 软件指南—招标（资审）文件下载指南）。未按规定从“电子交易平台”下载招标文件的， 招标人 （“电子交易平台”）拒收其投标文件。</w:t>
            </w:r>
          </w:p>
          <w:p w14:paraId="13C0905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4.3 下载公告页面附件不算正式投标，如有意向正式投标，请在招标文件发售期内至大冶市公共资源交易平台（http://36.133.17.9:8081/TPBidder/memberLogin）下载后缀名为.DYZF,.DYZS(资格预审文件）格式的招标文件，并在大冶招投标网站-软件指南-投标工具下 载链接处下载投标工具，制作投标文件上传至大冶市公共资源交易平台。 </w:t>
            </w:r>
          </w:p>
          <w:p w14:paraId="24AD38C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5.投标文件的递交</w:t>
            </w:r>
          </w:p>
          <w:p w14:paraId="32E67C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5.1 投标文件递交截止时间为</w:t>
            </w:r>
            <w:r>
              <w:rPr>
                <w:rFonts w:hint="eastAsia" w:ascii="宋体" w:hAnsi="宋体" w:eastAsia="宋体" w:cs="宋体"/>
                <w:color w:val="0000FF"/>
                <w:sz w:val="21"/>
                <w:szCs w:val="21"/>
                <w:highlight w:val="yellow"/>
              </w:rPr>
              <w:t xml:space="preserve"> </w:t>
            </w:r>
            <w:r>
              <w:rPr>
                <w:rFonts w:hint="eastAsia" w:ascii="宋体" w:hAnsi="宋体" w:eastAsia="宋体" w:cs="宋体"/>
                <w:color w:val="0000FF"/>
                <w:sz w:val="21"/>
                <w:szCs w:val="21"/>
                <w:highlight w:val="yellow"/>
                <w:u w:val="single"/>
              </w:rPr>
              <w:t>202</w:t>
            </w:r>
            <w:r>
              <w:rPr>
                <w:rFonts w:hint="eastAsia" w:ascii="宋体" w:hAnsi="宋体" w:cs="宋体"/>
                <w:color w:val="0000FF"/>
                <w:sz w:val="21"/>
                <w:szCs w:val="21"/>
                <w:highlight w:val="yellow"/>
                <w:u w:val="single"/>
                <w:lang w:val="en-US" w:eastAsia="zh-CN"/>
              </w:rPr>
              <w:t>6</w:t>
            </w:r>
            <w:r>
              <w:rPr>
                <w:rFonts w:hint="eastAsia" w:ascii="宋体" w:hAnsi="宋体" w:eastAsia="宋体" w:cs="宋体"/>
                <w:color w:val="0000FF"/>
                <w:sz w:val="21"/>
                <w:szCs w:val="21"/>
                <w:highlight w:val="yellow"/>
                <w:u w:val="single"/>
              </w:rPr>
              <w:t>年</w:t>
            </w:r>
            <w:r>
              <w:rPr>
                <w:rFonts w:hint="eastAsia" w:ascii="宋体" w:hAnsi="宋体" w:cs="宋体"/>
                <w:color w:val="0000FF"/>
                <w:sz w:val="21"/>
                <w:szCs w:val="21"/>
                <w:highlight w:val="yellow"/>
                <w:u w:val="single"/>
                <w:lang w:val="en-US" w:eastAsia="zh-CN"/>
              </w:rPr>
              <w:t xml:space="preserve"> </w:t>
            </w:r>
            <w:r>
              <w:rPr>
                <w:rFonts w:hint="eastAsia" w:ascii="宋体" w:hAnsi="宋体" w:eastAsia="宋体" w:cs="宋体"/>
                <w:color w:val="0000FF"/>
                <w:sz w:val="21"/>
                <w:szCs w:val="21"/>
                <w:highlight w:val="yellow"/>
                <w:u w:val="single"/>
              </w:rPr>
              <w:t>月</w:t>
            </w:r>
            <w:r>
              <w:rPr>
                <w:rFonts w:hint="eastAsia" w:ascii="宋体" w:hAnsi="宋体" w:cs="宋体"/>
                <w:color w:val="0000FF"/>
                <w:sz w:val="21"/>
                <w:szCs w:val="21"/>
                <w:highlight w:val="yellow"/>
                <w:u w:val="single"/>
                <w:lang w:val="en-US" w:eastAsia="zh-CN"/>
              </w:rPr>
              <w:t xml:space="preserve"> </w:t>
            </w:r>
            <w:r>
              <w:rPr>
                <w:rFonts w:hint="eastAsia" w:ascii="宋体" w:hAnsi="宋体" w:eastAsia="宋体" w:cs="宋体"/>
                <w:color w:val="0000FF"/>
                <w:sz w:val="21"/>
                <w:szCs w:val="21"/>
                <w:highlight w:val="yellow"/>
                <w:u w:val="single"/>
              </w:rPr>
              <w:t>日</w:t>
            </w:r>
            <w:r>
              <w:rPr>
                <w:rFonts w:hint="eastAsia" w:ascii="宋体" w:hAnsi="宋体" w:eastAsia="宋体" w:cs="宋体"/>
                <w:sz w:val="21"/>
                <w:szCs w:val="21"/>
                <w:highlight w:val="yellow"/>
              </w:rPr>
              <w:t xml:space="preserve"> 09 时 00 分</w:t>
            </w:r>
            <w:r>
              <w:rPr>
                <w:rFonts w:hint="eastAsia" w:ascii="宋体" w:hAnsi="宋体" w:eastAsia="宋体" w:cs="宋体"/>
                <w:sz w:val="21"/>
                <w:szCs w:val="21"/>
              </w:rPr>
              <w:t xml:space="preserve">。 </w:t>
            </w:r>
          </w:p>
          <w:p w14:paraId="013F8AE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5.2 投标人应当在投标截止时间前，通过互联网使用 CA 数字证书登录“电子交易平台”， 选择所投标段将加密的电子投标文件上传,投标人完成投标文件上传后，“电子交易平台” 即时向投标人发出电子签收凭证，递交时间以电子签收凭证载明的传输完成时间为准。逾期 未完成上传或未加密的投标文件，招标人（“电子交易平台”）将拒收。</w:t>
            </w:r>
          </w:p>
          <w:p w14:paraId="77C3802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6.投标相关事宜</w:t>
            </w:r>
          </w:p>
          <w:p w14:paraId="0EBBFC5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1、本项目采用“全流程电子标、远程不见面”开标方式，投标人无须到大冶市公共资源交易中心现场参加开标会议，无须到达现场递交投标资料。招标人或代理机构和所有投标 人应当在投标文件递交截止时间前，通过互联网使用 CA 数字证书登录远程不见面开标大厅（登录“电子交易平台”-业务管理-开评标-不见面开标系统，以下简称“开标大厅”）选 择所投项目进行在线签到，在线准时参加开标活动。 2、投标人操作流程：登录“电子交易 平台”→完成交易主体注册→上传相关资料→办理 CA 数字证书并绑定→使用 CA 数字证书登 录“电子交易平台”→下载招标文件→缴纳投标保证金（如有要求）→上传加密的电子投标 文件→使用 CA 数字证书登录“开标大厅”→解密电子投标文件→参与开标。未登录“电子 交易平台”进行的业务操作一律无效。</w:t>
            </w:r>
          </w:p>
          <w:p w14:paraId="20EB0F9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7.评标办法</w:t>
            </w:r>
          </w:p>
          <w:p w14:paraId="2C928E6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本次招标评标办法采用“评定分离（综合评估法）”方法实施招投标活动。</w:t>
            </w:r>
          </w:p>
          <w:p w14:paraId="476FE40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8.发布公告的媒介</w:t>
            </w:r>
          </w:p>
          <w:p w14:paraId="03CDFA5A">
            <w:pPr>
              <w:spacing w:line="400" w:lineRule="exact"/>
              <w:rPr>
                <w:rFonts w:ascii="宋体" w:hAnsi="宋体" w:cs="宋体"/>
                <w:color w:val="000000"/>
                <w:kern w:val="0"/>
                <w:szCs w:val="21"/>
              </w:rPr>
            </w:pPr>
            <w:r>
              <w:rPr>
                <w:rFonts w:hint="eastAsia" w:ascii="宋体" w:hAnsi="宋体" w:eastAsia="宋体" w:cs="宋体"/>
                <w:sz w:val="21"/>
                <w:szCs w:val="21"/>
              </w:rPr>
              <w:t>  </w:t>
            </w:r>
            <w:r>
              <w:rPr>
                <w:rFonts w:ascii="宋体" w:hAnsi="宋体" w:cs="宋体"/>
                <w:color w:val="000000"/>
                <w:kern w:val="0"/>
                <w:szCs w:val="21"/>
              </w:rPr>
              <w:t>本次招标公告同时在</w:t>
            </w:r>
            <w:r>
              <w:rPr>
                <w:rFonts w:hint="eastAsia" w:ascii="宋体" w:hAnsi="宋体" w:cs="宋体"/>
                <w:color w:val="000000"/>
                <w:kern w:val="0"/>
                <w:szCs w:val="21"/>
              </w:rPr>
              <w:t>湖北省公共资源交易电子服务系统（网址：www.hbggzyfwpt.cn）、大冶政府网招投标版块（http://36.133.17.9:8081/ztb/）(发布公告的媒介名称)</w:t>
            </w:r>
          </w:p>
          <w:p w14:paraId="187F91C1">
            <w:pPr>
              <w:spacing w:line="400" w:lineRule="exact"/>
              <w:rPr>
                <w:rFonts w:hint="eastAsia" w:ascii="宋体" w:hAnsi="宋体" w:cs="宋体"/>
                <w:color w:val="000000"/>
                <w:kern w:val="0"/>
                <w:szCs w:val="21"/>
              </w:rPr>
            </w:pPr>
            <w:r>
              <w:rPr>
                <w:rFonts w:ascii="宋体" w:hAnsi="宋体" w:cs="宋体"/>
                <w:color w:val="000000"/>
                <w:kern w:val="0"/>
                <w:szCs w:val="21"/>
              </w:rPr>
              <w:t>上发布。</w:t>
            </w:r>
          </w:p>
          <w:p w14:paraId="28541AD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sz w:val="21"/>
                <w:szCs w:val="21"/>
              </w:rPr>
              <w:t>9.联系方式</w:t>
            </w:r>
          </w:p>
        </w:tc>
        <w:tc>
          <w:tcPr>
            <w:tcW w:w="52" w:type="dxa"/>
            <w:noWrap w:val="0"/>
            <w:vAlign w:val="center"/>
          </w:tcPr>
          <w:p w14:paraId="278C82C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p>
        </w:tc>
      </w:tr>
      <w:tr w14:paraId="57B3AFFE">
        <w:tblPrEx>
          <w:tblCellMar>
            <w:top w:w="15" w:type="dxa"/>
            <w:left w:w="15" w:type="dxa"/>
            <w:bottom w:w="15" w:type="dxa"/>
            <w:right w:w="15" w:type="dxa"/>
          </w:tblCellMar>
        </w:tblPrEx>
        <w:trPr>
          <w:tblCellSpacing w:w="15" w:type="dxa"/>
        </w:trPr>
        <w:tc>
          <w:tcPr>
            <w:tcW w:w="8612" w:type="dxa"/>
            <w:gridSpan w:val="2"/>
            <w:noWrap w:val="0"/>
            <w:tcMar>
              <w:top w:w="15" w:type="dxa"/>
              <w:left w:w="15" w:type="dxa"/>
              <w:bottom w:w="15" w:type="dxa"/>
              <w:right w:w="15" w:type="dxa"/>
            </w:tcMar>
            <w:vAlign w:val="center"/>
          </w:tcPr>
          <w:tbl>
            <w:tblPr>
              <w:tblStyle w:val="15"/>
              <w:tblW w:w="5000" w:type="pct"/>
              <w:tblCellSpacing w:w="15" w:type="dxa"/>
              <w:tblInd w:w="0" w:type="dxa"/>
              <w:tblLayout w:type="autofit"/>
              <w:tblCellMar>
                <w:top w:w="15" w:type="dxa"/>
                <w:left w:w="15" w:type="dxa"/>
                <w:bottom w:w="15" w:type="dxa"/>
                <w:right w:w="15" w:type="dxa"/>
              </w:tblCellMar>
            </w:tblPr>
            <w:tblGrid>
              <w:gridCol w:w="1164"/>
              <w:gridCol w:w="2626"/>
              <w:gridCol w:w="1903"/>
              <w:gridCol w:w="2889"/>
            </w:tblGrid>
            <w:tr w14:paraId="0EAF8F12">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164D17A9">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招标人:</w:t>
                  </w:r>
                </w:p>
              </w:tc>
              <w:tc>
                <w:tcPr>
                  <w:tcW w:w="2513" w:type="dxa"/>
                  <w:noWrap w:val="0"/>
                  <w:tcMar>
                    <w:top w:w="15" w:type="dxa"/>
                    <w:left w:w="15" w:type="dxa"/>
                    <w:bottom w:w="15" w:type="dxa"/>
                    <w:right w:w="15" w:type="dxa"/>
                  </w:tcMar>
                  <w:vAlign w:val="center"/>
                </w:tcPr>
                <w:p w14:paraId="2502FDAD">
                  <w:pPr>
                    <w:widowControl/>
                    <w:jc w:val="lef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湖北省</w:t>
                  </w:r>
                  <w:r>
                    <w:rPr>
                      <w:rFonts w:hint="eastAsia" w:ascii="宋体" w:hAnsi="宋体" w:cs="宋体"/>
                      <w:color w:val="auto"/>
                      <w:kern w:val="0"/>
                      <w:sz w:val="21"/>
                      <w:szCs w:val="21"/>
                      <w:highlight w:val="none"/>
                      <w:lang w:eastAsia="zh-CN"/>
                    </w:rPr>
                    <w:t>大冶市第二中学</w:t>
                  </w:r>
                </w:p>
              </w:tc>
              <w:tc>
                <w:tcPr>
                  <w:tcW w:w="1813" w:type="dxa"/>
                  <w:noWrap w:val="0"/>
                  <w:tcMar>
                    <w:top w:w="15" w:type="dxa"/>
                    <w:left w:w="15" w:type="dxa"/>
                    <w:bottom w:w="15" w:type="dxa"/>
                    <w:right w:w="15" w:type="dxa"/>
                  </w:tcMar>
                  <w:vAlign w:val="center"/>
                </w:tcPr>
                <w:p w14:paraId="24EDD666">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代理机构:</w:t>
                  </w:r>
                </w:p>
              </w:tc>
              <w:tc>
                <w:tcPr>
                  <w:tcW w:w="2752" w:type="dxa"/>
                  <w:noWrap w:val="0"/>
                  <w:tcMar>
                    <w:top w:w="15" w:type="dxa"/>
                    <w:left w:w="15" w:type="dxa"/>
                    <w:bottom w:w="15" w:type="dxa"/>
                    <w:right w:w="15" w:type="dxa"/>
                  </w:tcMar>
                  <w:vAlign w:val="center"/>
                </w:tcPr>
                <w:p w14:paraId="6067DE5C">
                  <w:pPr>
                    <w:widowControl/>
                    <w:jc w:val="lef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湖北锦辰工程管理有限公司</w:t>
                  </w:r>
                </w:p>
              </w:tc>
            </w:tr>
            <w:tr w14:paraId="1C34233B">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15303614">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地址:</w:t>
                  </w:r>
                </w:p>
              </w:tc>
              <w:tc>
                <w:tcPr>
                  <w:tcW w:w="2513" w:type="dxa"/>
                  <w:noWrap w:val="0"/>
                  <w:tcMar>
                    <w:top w:w="15" w:type="dxa"/>
                    <w:left w:w="15" w:type="dxa"/>
                    <w:bottom w:w="15" w:type="dxa"/>
                    <w:right w:w="15" w:type="dxa"/>
                  </w:tcMar>
                  <w:vAlign w:val="center"/>
                </w:tcPr>
                <w:p w14:paraId="09A5A274">
                  <w:pPr>
                    <w:widowControl/>
                    <w:jc w:val="lef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大冶市金牛镇学府路36号</w:t>
                  </w:r>
                </w:p>
              </w:tc>
              <w:tc>
                <w:tcPr>
                  <w:tcW w:w="1813" w:type="dxa"/>
                  <w:noWrap w:val="0"/>
                  <w:tcMar>
                    <w:top w:w="15" w:type="dxa"/>
                    <w:left w:w="15" w:type="dxa"/>
                    <w:bottom w:w="15" w:type="dxa"/>
                    <w:right w:w="15" w:type="dxa"/>
                  </w:tcMar>
                  <w:vAlign w:val="center"/>
                </w:tcPr>
                <w:p w14:paraId="6582D575">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地址:</w:t>
                  </w:r>
                </w:p>
              </w:tc>
              <w:tc>
                <w:tcPr>
                  <w:tcW w:w="2752" w:type="dxa"/>
                  <w:noWrap w:val="0"/>
                  <w:tcMar>
                    <w:top w:w="15" w:type="dxa"/>
                    <w:left w:w="15" w:type="dxa"/>
                    <w:bottom w:w="15" w:type="dxa"/>
                    <w:right w:w="15" w:type="dxa"/>
                  </w:tcMar>
                  <w:vAlign w:val="center"/>
                </w:tcPr>
                <w:p w14:paraId="207E3DD4">
                  <w:pPr>
                    <w:widowControl/>
                    <w:jc w:val="left"/>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eastAsia="zh-CN"/>
                    </w:rPr>
                    <w:t>大冶市金贸大厦农商银行4楼</w:t>
                  </w:r>
                </w:p>
              </w:tc>
            </w:tr>
            <w:tr w14:paraId="188E9705">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074A1887">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邮编:</w:t>
                  </w:r>
                </w:p>
              </w:tc>
              <w:tc>
                <w:tcPr>
                  <w:tcW w:w="2513" w:type="dxa"/>
                  <w:noWrap w:val="0"/>
                  <w:tcMar>
                    <w:top w:w="15" w:type="dxa"/>
                    <w:left w:w="15" w:type="dxa"/>
                    <w:bottom w:w="15" w:type="dxa"/>
                    <w:right w:w="15" w:type="dxa"/>
                  </w:tcMar>
                  <w:vAlign w:val="center"/>
                </w:tcPr>
                <w:p w14:paraId="09028822">
                  <w:pPr>
                    <w:widowControl/>
                    <w:jc w:val="left"/>
                    <w:rPr>
                      <w:rFonts w:ascii="宋体" w:hAnsi="宋体" w:cs="宋体"/>
                      <w:color w:val="auto"/>
                      <w:kern w:val="0"/>
                      <w:sz w:val="21"/>
                      <w:szCs w:val="21"/>
                      <w:highlight w:val="none"/>
                    </w:rPr>
                  </w:pPr>
                </w:p>
              </w:tc>
              <w:tc>
                <w:tcPr>
                  <w:tcW w:w="1813" w:type="dxa"/>
                  <w:noWrap w:val="0"/>
                  <w:tcMar>
                    <w:top w:w="15" w:type="dxa"/>
                    <w:left w:w="15" w:type="dxa"/>
                    <w:bottom w:w="15" w:type="dxa"/>
                    <w:right w:w="15" w:type="dxa"/>
                  </w:tcMar>
                  <w:vAlign w:val="center"/>
                </w:tcPr>
                <w:p w14:paraId="74C5621D">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邮编:</w:t>
                  </w:r>
                </w:p>
              </w:tc>
              <w:tc>
                <w:tcPr>
                  <w:tcW w:w="2752" w:type="dxa"/>
                  <w:noWrap w:val="0"/>
                  <w:tcMar>
                    <w:top w:w="15" w:type="dxa"/>
                    <w:left w:w="15" w:type="dxa"/>
                    <w:bottom w:w="15" w:type="dxa"/>
                    <w:right w:w="15" w:type="dxa"/>
                  </w:tcMar>
                  <w:vAlign w:val="center"/>
                </w:tcPr>
                <w:p w14:paraId="47209206">
                  <w:pPr>
                    <w:widowControl/>
                    <w:jc w:val="left"/>
                    <w:rPr>
                      <w:rFonts w:ascii="宋体" w:hAnsi="宋体" w:cs="宋体"/>
                      <w:color w:val="auto"/>
                      <w:kern w:val="0"/>
                      <w:sz w:val="21"/>
                      <w:szCs w:val="21"/>
                      <w:highlight w:val="none"/>
                    </w:rPr>
                  </w:pPr>
                </w:p>
              </w:tc>
            </w:tr>
            <w:tr w14:paraId="351AA4BC">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462C5953">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联系人:</w:t>
                  </w:r>
                </w:p>
              </w:tc>
              <w:tc>
                <w:tcPr>
                  <w:tcW w:w="2513" w:type="dxa"/>
                  <w:noWrap w:val="0"/>
                  <w:tcMar>
                    <w:top w:w="15" w:type="dxa"/>
                    <w:left w:w="15" w:type="dxa"/>
                    <w:bottom w:w="15" w:type="dxa"/>
                    <w:right w:w="15" w:type="dxa"/>
                  </w:tcMar>
                  <w:vAlign w:val="center"/>
                </w:tcPr>
                <w:p w14:paraId="189B3B61">
                  <w:pPr>
                    <w:widowControl/>
                    <w:jc w:val="left"/>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刘剑</w:t>
                  </w:r>
                </w:p>
              </w:tc>
              <w:tc>
                <w:tcPr>
                  <w:tcW w:w="1813" w:type="dxa"/>
                  <w:noWrap w:val="0"/>
                  <w:tcMar>
                    <w:top w:w="15" w:type="dxa"/>
                    <w:left w:w="15" w:type="dxa"/>
                    <w:bottom w:w="15" w:type="dxa"/>
                    <w:right w:w="15" w:type="dxa"/>
                  </w:tcMar>
                  <w:vAlign w:val="center"/>
                </w:tcPr>
                <w:p w14:paraId="4E89132A">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联系人:</w:t>
                  </w:r>
                </w:p>
              </w:tc>
              <w:tc>
                <w:tcPr>
                  <w:tcW w:w="2752" w:type="dxa"/>
                  <w:noWrap w:val="0"/>
                  <w:tcMar>
                    <w:top w:w="15" w:type="dxa"/>
                    <w:left w:w="15" w:type="dxa"/>
                    <w:bottom w:w="15" w:type="dxa"/>
                    <w:right w:w="15" w:type="dxa"/>
                  </w:tcMar>
                  <w:vAlign w:val="center"/>
                </w:tcPr>
                <w:p w14:paraId="452F0B5F">
                  <w:pPr>
                    <w:widowControl/>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李胜利</w:t>
                  </w:r>
                </w:p>
              </w:tc>
            </w:tr>
            <w:tr w14:paraId="67402C28">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35583F4A">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电话:</w:t>
                  </w:r>
                </w:p>
              </w:tc>
              <w:tc>
                <w:tcPr>
                  <w:tcW w:w="2513" w:type="dxa"/>
                  <w:noWrap w:val="0"/>
                  <w:tcMar>
                    <w:top w:w="15" w:type="dxa"/>
                    <w:left w:w="15" w:type="dxa"/>
                    <w:bottom w:w="15" w:type="dxa"/>
                    <w:right w:w="15" w:type="dxa"/>
                  </w:tcMar>
                  <w:vAlign w:val="center"/>
                </w:tcPr>
                <w:p w14:paraId="5851F02B">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lang w:val="en-US" w:eastAsia="zh-CN"/>
                    </w:rPr>
                    <w:t>18086329779</w:t>
                  </w:r>
                </w:p>
              </w:tc>
              <w:tc>
                <w:tcPr>
                  <w:tcW w:w="1813" w:type="dxa"/>
                  <w:noWrap w:val="0"/>
                  <w:tcMar>
                    <w:top w:w="15" w:type="dxa"/>
                    <w:left w:w="15" w:type="dxa"/>
                    <w:bottom w:w="15" w:type="dxa"/>
                    <w:right w:w="15" w:type="dxa"/>
                  </w:tcMar>
                  <w:vAlign w:val="center"/>
                </w:tcPr>
                <w:p w14:paraId="1ADBD85C">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电话:</w:t>
                  </w:r>
                </w:p>
              </w:tc>
              <w:tc>
                <w:tcPr>
                  <w:tcW w:w="2752" w:type="dxa"/>
                  <w:noWrap w:val="0"/>
                  <w:tcMar>
                    <w:top w:w="15" w:type="dxa"/>
                    <w:left w:w="15" w:type="dxa"/>
                    <w:bottom w:w="15" w:type="dxa"/>
                    <w:right w:w="15" w:type="dxa"/>
                  </w:tcMar>
                  <w:vAlign w:val="center"/>
                </w:tcPr>
                <w:p w14:paraId="4AE749ED">
                  <w:pPr>
                    <w:widowControl/>
                    <w:jc w:val="left"/>
                    <w:rPr>
                      <w:rFonts w:hint="default" w:ascii="宋体" w:hAnsi="宋体" w:eastAsia="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rPr>
                    <w:t>13872104488</w:t>
                  </w:r>
                </w:p>
              </w:tc>
            </w:tr>
            <w:tr w14:paraId="637DCCB5">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3FFC1BAF">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传真:</w:t>
                  </w:r>
                </w:p>
              </w:tc>
              <w:tc>
                <w:tcPr>
                  <w:tcW w:w="2513" w:type="dxa"/>
                  <w:noWrap w:val="0"/>
                  <w:tcMar>
                    <w:top w:w="15" w:type="dxa"/>
                    <w:left w:w="15" w:type="dxa"/>
                    <w:bottom w:w="15" w:type="dxa"/>
                    <w:right w:w="15" w:type="dxa"/>
                  </w:tcMar>
                  <w:vAlign w:val="center"/>
                </w:tcPr>
                <w:p w14:paraId="7CDE2B1F">
                  <w:pPr>
                    <w:widowControl/>
                    <w:jc w:val="left"/>
                    <w:rPr>
                      <w:rFonts w:ascii="宋体" w:hAnsi="宋体" w:cs="宋体"/>
                      <w:color w:val="auto"/>
                      <w:kern w:val="0"/>
                      <w:sz w:val="21"/>
                      <w:szCs w:val="21"/>
                      <w:highlight w:val="none"/>
                    </w:rPr>
                  </w:pPr>
                </w:p>
              </w:tc>
              <w:tc>
                <w:tcPr>
                  <w:tcW w:w="1813" w:type="dxa"/>
                  <w:noWrap w:val="0"/>
                  <w:tcMar>
                    <w:top w:w="15" w:type="dxa"/>
                    <w:left w:w="15" w:type="dxa"/>
                    <w:bottom w:w="15" w:type="dxa"/>
                    <w:right w:w="15" w:type="dxa"/>
                  </w:tcMar>
                  <w:vAlign w:val="center"/>
                </w:tcPr>
                <w:p w14:paraId="3A070B66">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传真:</w:t>
                  </w:r>
                </w:p>
              </w:tc>
              <w:tc>
                <w:tcPr>
                  <w:tcW w:w="2752" w:type="dxa"/>
                  <w:noWrap w:val="0"/>
                  <w:tcMar>
                    <w:top w:w="15" w:type="dxa"/>
                    <w:left w:w="15" w:type="dxa"/>
                    <w:bottom w:w="15" w:type="dxa"/>
                    <w:right w:w="15" w:type="dxa"/>
                  </w:tcMar>
                  <w:vAlign w:val="center"/>
                </w:tcPr>
                <w:p w14:paraId="5C88C3A9">
                  <w:pPr>
                    <w:widowControl/>
                    <w:jc w:val="left"/>
                    <w:rPr>
                      <w:rFonts w:ascii="宋体" w:hAnsi="宋体" w:cs="宋体"/>
                      <w:color w:val="auto"/>
                      <w:kern w:val="0"/>
                      <w:sz w:val="21"/>
                      <w:szCs w:val="21"/>
                      <w:highlight w:val="none"/>
                    </w:rPr>
                  </w:pPr>
                </w:p>
              </w:tc>
            </w:tr>
            <w:tr w14:paraId="64246CF3">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28CA429F">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电子邮件:</w:t>
                  </w:r>
                </w:p>
              </w:tc>
              <w:tc>
                <w:tcPr>
                  <w:tcW w:w="2513" w:type="dxa"/>
                  <w:noWrap w:val="0"/>
                  <w:tcMar>
                    <w:top w:w="15" w:type="dxa"/>
                    <w:left w:w="15" w:type="dxa"/>
                    <w:bottom w:w="15" w:type="dxa"/>
                    <w:right w:w="15" w:type="dxa"/>
                  </w:tcMar>
                  <w:vAlign w:val="center"/>
                </w:tcPr>
                <w:p w14:paraId="22B154B6">
                  <w:pPr>
                    <w:widowControl/>
                    <w:jc w:val="left"/>
                    <w:rPr>
                      <w:rFonts w:ascii="宋体" w:hAnsi="宋体" w:cs="宋体"/>
                      <w:color w:val="auto"/>
                      <w:kern w:val="0"/>
                      <w:sz w:val="21"/>
                      <w:szCs w:val="21"/>
                      <w:highlight w:val="none"/>
                    </w:rPr>
                  </w:pPr>
                </w:p>
              </w:tc>
              <w:tc>
                <w:tcPr>
                  <w:tcW w:w="1813" w:type="dxa"/>
                  <w:noWrap w:val="0"/>
                  <w:tcMar>
                    <w:top w:w="15" w:type="dxa"/>
                    <w:left w:w="15" w:type="dxa"/>
                    <w:bottom w:w="15" w:type="dxa"/>
                    <w:right w:w="15" w:type="dxa"/>
                  </w:tcMar>
                  <w:vAlign w:val="center"/>
                </w:tcPr>
                <w:p w14:paraId="2835EB63">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电子邮件:</w:t>
                  </w:r>
                </w:p>
              </w:tc>
              <w:tc>
                <w:tcPr>
                  <w:tcW w:w="2752" w:type="dxa"/>
                  <w:noWrap w:val="0"/>
                  <w:tcMar>
                    <w:top w:w="15" w:type="dxa"/>
                    <w:left w:w="15" w:type="dxa"/>
                    <w:bottom w:w="15" w:type="dxa"/>
                    <w:right w:w="15" w:type="dxa"/>
                  </w:tcMar>
                  <w:vAlign w:val="center"/>
                </w:tcPr>
                <w:p w14:paraId="459FB665">
                  <w:pPr>
                    <w:widowControl/>
                    <w:jc w:val="left"/>
                    <w:rPr>
                      <w:rFonts w:ascii="宋体" w:hAnsi="宋体" w:cs="宋体"/>
                      <w:color w:val="auto"/>
                      <w:kern w:val="0"/>
                      <w:sz w:val="21"/>
                      <w:szCs w:val="21"/>
                      <w:highlight w:val="none"/>
                    </w:rPr>
                  </w:pPr>
                </w:p>
              </w:tc>
            </w:tr>
            <w:tr w14:paraId="1EC35624">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407F1319">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网址:</w:t>
                  </w:r>
                </w:p>
              </w:tc>
              <w:tc>
                <w:tcPr>
                  <w:tcW w:w="2513" w:type="dxa"/>
                  <w:noWrap w:val="0"/>
                  <w:tcMar>
                    <w:top w:w="15" w:type="dxa"/>
                    <w:left w:w="15" w:type="dxa"/>
                    <w:bottom w:w="15" w:type="dxa"/>
                    <w:right w:w="15" w:type="dxa"/>
                  </w:tcMar>
                  <w:vAlign w:val="center"/>
                </w:tcPr>
                <w:p w14:paraId="2F133A41">
                  <w:pPr>
                    <w:widowControl/>
                    <w:jc w:val="left"/>
                    <w:rPr>
                      <w:rFonts w:ascii="宋体" w:hAnsi="宋体" w:cs="宋体"/>
                      <w:color w:val="auto"/>
                      <w:kern w:val="0"/>
                      <w:sz w:val="21"/>
                      <w:szCs w:val="21"/>
                      <w:highlight w:val="none"/>
                    </w:rPr>
                  </w:pPr>
                </w:p>
              </w:tc>
              <w:tc>
                <w:tcPr>
                  <w:tcW w:w="1813" w:type="dxa"/>
                  <w:noWrap w:val="0"/>
                  <w:tcMar>
                    <w:top w:w="15" w:type="dxa"/>
                    <w:left w:w="15" w:type="dxa"/>
                    <w:bottom w:w="15" w:type="dxa"/>
                    <w:right w:w="15" w:type="dxa"/>
                  </w:tcMar>
                  <w:vAlign w:val="center"/>
                </w:tcPr>
                <w:p w14:paraId="490C64B4">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网址:</w:t>
                  </w:r>
                </w:p>
              </w:tc>
              <w:tc>
                <w:tcPr>
                  <w:tcW w:w="2752" w:type="dxa"/>
                  <w:noWrap w:val="0"/>
                  <w:tcMar>
                    <w:top w:w="15" w:type="dxa"/>
                    <w:left w:w="15" w:type="dxa"/>
                    <w:bottom w:w="15" w:type="dxa"/>
                    <w:right w:w="15" w:type="dxa"/>
                  </w:tcMar>
                  <w:vAlign w:val="center"/>
                </w:tcPr>
                <w:p w14:paraId="5FFF57FF">
                  <w:pPr>
                    <w:widowControl/>
                    <w:jc w:val="left"/>
                    <w:rPr>
                      <w:rFonts w:ascii="宋体" w:hAnsi="宋体" w:cs="宋体"/>
                      <w:color w:val="auto"/>
                      <w:kern w:val="0"/>
                      <w:sz w:val="21"/>
                      <w:szCs w:val="21"/>
                      <w:highlight w:val="none"/>
                    </w:rPr>
                  </w:pPr>
                </w:p>
              </w:tc>
            </w:tr>
            <w:tr w14:paraId="1B3F5500">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3B9030B8">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开户银行:</w:t>
                  </w:r>
                </w:p>
              </w:tc>
              <w:tc>
                <w:tcPr>
                  <w:tcW w:w="2513" w:type="dxa"/>
                  <w:noWrap w:val="0"/>
                  <w:tcMar>
                    <w:top w:w="15" w:type="dxa"/>
                    <w:left w:w="15" w:type="dxa"/>
                    <w:bottom w:w="15" w:type="dxa"/>
                    <w:right w:w="15" w:type="dxa"/>
                  </w:tcMar>
                  <w:vAlign w:val="center"/>
                </w:tcPr>
                <w:p w14:paraId="78F6D2F0">
                  <w:pPr>
                    <w:widowControl/>
                    <w:jc w:val="left"/>
                    <w:rPr>
                      <w:rFonts w:ascii="宋体" w:hAnsi="宋体" w:cs="宋体"/>
                      <w:color w:val="auto"/>
                      <w:kern w:val="0"/>
                      <w:sz w:val="21"/>
                      <w:szCs w:val="21"/>
                      <w:highlight w:val="none"/>
                    </w:rPr>
                  </w:pPr>
                </w:p>
              </w:tc>
              <w:tc>
                <w:tcPr>
                  <w:tcW w:w="1813" w:type="dxa"/>
                  <w:noWrap w:val="0"/>
                  <w:tcMar>
                    <w:top w:w="15" w:type="dxa"/>
                    <w:left w:w="15" w:type="dxa"/>
                    <w:bottom w:w="15" w:type="dxa"/>
                    <w:right w:w="15" w:type="dxa"/>
                  </w:tcMar>
                  <w:vAlign w:val="center"/>
                </w:tcPr>
                <w:p w14:paraId="7E2C6B85">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开户银行:</w:t>
                  </w:r>
                </w:p>
              </w:tc>
              <w:tc>
                <w:tcPr>
                  <w:tcW w:w="2752" w:type="dxa"/>
                  <w:noWrap w:val="0"/>
                  <w:tcMar>
                    <w:top w:w="15" w:type="dxa"/>
                    <w:left w:w="15" w:type="dxa"/>
                    <w:bottom w:w="15" w:type="dxa"/>
                    <w:right w:w="15" w:type="dxa"/>
                  </w:tcMar>
                  <w:vAlign w:val="center"/>
                </w:tcPr>
                <w:p w14:paraId="0D31EF9F">
                  <w:pPr>
                    <w:widowControl/>
                    <w:jc w:val="left"/>
                    <w:rPr>
                      <w:rFonts w:ascii="宋体" w:hAnsi="宋体" w:cs="宋体"/>
                      <w:color w:val="auto"/>
                      <w:kern w:val="0"/>
                      <w:sz w:val="21"/>
                      <w:szCs w:val="21"/>
                      <w:highlight w:val="none"/>
                    </w:rPr>
                  </w:pPr>
                </w:p>
              </w:tc>
            </w:tr>
            <w:tr w14:paraId="6A7D6565">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6456D4FA">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账 号:</w:t>
                  </w:r>
                </w:p>
              </w:tc>
              <w:tc>
                <w:tcPr>
                  <w:tcW w:w="2513" w:type="dxa"/>
                  <w:noWrap w:val="0"/>
                  <w:tcMar>
                    <w:top w:w="15" w:type="dxa"/>
                    <w:left w:w="15" w:type="dxa"/>
                    <w:bottom w:w="15" w:type="dxa"/>
                    <w:right w:w="15" w:type="dxa"/>
                  </w:tcMar>
                  <w:vAlign w:val="center"/>
                </w:tcPr>
                <w:p w14:paraId="2245F180">
                  <w:pPr>
                    <w:widowControl/>
                    <w:jc w:val="left"/>
                    <w:rPr>
                      <w:rFonts w:ascii="宋体" w:hAnsi="宋体" w:cs="宋体"/>
                      <w:color w:val="auto"/>
                      <w:kern w:val="0"/>
                      <w:sz w:val="21"/>
                      <w:szCs w:val="21"/>
                      <w:highlight w:val="none"/>
                    </w:rPr>
                  </w:pPr>
                </w:p>
              </w:tc>
              <w:tc>
                <w:tcPr>
                  <w:tcW w:w="1813" w:type="dxa"/>
                  <w:noWrap w:val="0"/>
                  <w:tcMar>
                    <w:top w:w="15" w:type="dxa"/>
                    <w:left w:w="15" w:type="dxa"/>
                    <w:bottom w:w="15" w:type="dxa"/>
                    <w:right w:w="15" w:type="dxa"/>
                  </w:tcMar>
                  <w:vAlign w:val="center"/>
                </w:tcPr>
                <w:p w14:paraId="39FF0C66">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账 号:</w:t>
                  </w:r>
                </w:p>
              </w:tc>
              <w:tc>
                <w:tcPr>
                  <w:tcW w:w="2752" w:type="dxa"/>
                  <w:noWrap w:val="0"/>
                  <w:tcMar>
                    <w:top w:w="15" w:type="dxa"/>
                    <w:left w:w="15" w:type="dxa"/>
                    <w:bottom w:w="15" w:type="dxa"/>
                    <w:right w:w="15" w:type="dxa"/>
                  </w:tcMar>
                  <w:vAlign w:val="center"/>
                </w:tcPr>
                <w:p w14:paraId="41CEE741">
                  <w:pPr>
                    <w:widowControl/>
                    <w:jc w:val="left"/>
                    <w:rPr>
                      <w:rFonts w:ascii="宋体" w:hAnsi="宋体" w:cs="宋体"/>
                      <w:color w:val="auto"/>
                      <w:kern w:val="0"/>
                      <w:sz w:val="21"/>
                      <w:szCs w:val="21"/>
                      <w:highlight w:val="none"/>
                    </w:rPr>
                  </w:pPr>
                </w:p>
              </w:tc>
            </w:tr>
            <w:tr w14:paraId="2CDCDC82">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5ACB8C32">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行政监督部门名称:</w:t>
                  </w:r>
                </w:p>
              </w:tc>
              <w:tc>
                <w:tcPr>
                  <w:tcW w:w="2513" w:type="dxa"/>
                  <w:noWrap w:val="0"/>
                  <w:tcMar>
                    <w:top w:w="15" w:type="dxa"/>
                    <w:left w:w="15" w:type="dxa"/>
                    <w:bottom w:w="15" w:type="dxa"/>
                    <w:right w:w="15" w:type="dxa"/>
                  </w:tcMar>
                  <w:vAlign w:val="center"/>
                </w:tcPr>
                <w:p w14:paraId="3AFCD55B">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大冶市住房和城乡建设局</w:t>
                  </w:r>
                </w:p>
              </w:tc>
              <w:tc>
                <w:tcPr>
                  <w:tcW w:w="1813" w:type="dxa"/>
                  <w:noWrap w:val="0"/>
                  <w:tcMar>
                    <w:top w:w="15" w:type="dxa"/>
                    <w:left w:w="15" w:type="dxa"/>
                    <w:bottom w:w="15" w:type="dxa"/>
                    <w:right w:w="15" w:type="dxa"/>
                  </w:tcMar>
                  <w:vAlign w:val="center"/>
                </w:tcPr>
                <w:p w14:paraId="51CE2DB8">
                  <w:pPr>
                    <w:widowControl/>
                    <w:jc w:val="left"/>
                    <w:rPr>
                      <w:rFonts w:ascii="宋体" w:hAnsi="宋体" w:cs="宋体"/>
                      <w:color w:val="auto"/>
                      <w:kern w:val="0"/>
                      <w:sz w:val="21"/>
                      <w:szCs w:val="21"/>
                      <w:highlight w:val="none"/>
                    </w:rPr>
                  </w:pPr>
                </w:p>
              </w:tc>
              <w:tc>
                <w:tcPr>
                  <w:tcW w:w="2752" w:type="dxa"/>
                  <w:noWrap w:val="0"/>
                  <w:tcMar>
                    <w:top w:w="15" w:type="dxa"/>
                    <w:left w:w="15" w:type="dxa"/>
                    <w:bottom w:w="15" w:type="dxa"/>
                    <w:right w:w="15" w:type="dxa"/>
                  </w:tcMar>
                  <w:vAlign w:val="center"/>
                </w:tcPr>
                <w:p w14:paraId="4CE49E97">
                  <w:pPr>
                    <w:widowControl/>
                    <w:jc w:val="left"/>
                    <w:rPr>
                      <w:rFonts w:ascii="宋体" w:hAnsi="宋体" w:cs="宋体"/>
                      <w:color w:val="auto"/>
                      <w:kern w:val="0"/>
                      <w:sz w:val="21"/>
                      <w:szCs w:val="21"/>
                      <w:highlight w:val="none"/>
                    </w:rPr>
                  </w:pPr>
                </w:p>
              </w:tc>
            </w:tr>
            <w:tr w14:paraId="2EDA215B">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73BF9B69">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地址:</w:t>
                  </w:r>
                </w:p>
              </w:tc>
              <w:tc>
                <w:tcPr>
                  <w:tcW w:w="2513" w:type="dxa"/>
                  <w:noWrap w:val="0"/>
                  <w:tcMar>
                    <w:top w:w="15" w:type="dxa"/>
                    <w:left w:w="15" w:type="dxa"/>
                    <w:bottom w:w="15" w:type="dxa"/>
                    <w:right w:w="15" w:type="dxa"/>
                  </w:tcMar>
                  <w:vAlign w:val="center"/>
                </w:tcPr>
                <w:p w14:paraId="43C12025">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大冶市大棋西路2号</w:t>
                  </w:r>
                </w:p>
              </w:tc>
              <w:tc>
                <w:tcPr>
                  <w:tcW w:w="1813" w:type="dxa"/>
                  <w:noWrap w:val="0"/>
                  <w:tcMar>
                    <w:top w:w="15" w:type="dxa"/>
                    <w:left w:w="15" w:type="dxa"/>
                    <w:bottom w:w="15" w:type="dxa"/>
                    <w:right w:w="15" w:type="dxa"/>
                  </w:tcMar>
                  <w:vAlign w:val="center"/>
                </w:tcPr>
                <w:p w14:paraId="084C483D">
                  <w:pPr>
                    <w:widowControl/>
                    <w:jc w:val="left"/>
                    <w:rPr>
                      <w:rFonts w:ascii="宋体" w:hAnsi="宋体" w:cs="宋体"/>
                      <w:color w:val="auto"/>
                      <w:kern w:val="0"/>
                      <w:sz w:val="21"/>
                      <w:szCs w:val="21"/>
                      <w:highlight w:val="none"/>
                    </w:rPr>
                  </w:pPr>
                </w:p>
              </w:tc>
              <w:tc>
                <w:tcPr>
                  <w:tcW w:w="2752" w:type="dxa"/>
                  <w:noWrap w:val="0"/>
                  <w:tcMar>
                    <w:top w:w="15" w:type="dxa"/>
                    <w:left w:w="15" w:type="dxa"/>
                    <w:bottom w:w="15" w:type="dxa"/>
                    <w:right w:w="15" w:type="dxa"/>
                  </w:tcMar>
                  <w:vAlign w:val="center"/>
                </w:tcPr>
                <w:p w14:paraId="6206D848">
                  <w:pPr>
                    <w:widowControl/>
                    <w:jc w:val="left"/>
                    <w:rPr>
                      <w:rFonts w:ascii="宋体" w:hAnsi="宋体" w:cs="宋体"/>
                      <w:color w:val="auto"/>
                      <w:kern w:val="0"/>
                      <w:sz w:val="21"/>
                      <w:szCs w:val="21"/>
                      <w:highlight w:val="none"/>
                    </w:rPr>
                  </w:pPr>
                </w:p>
              </w:tc>
            </w:tr>
            <w:tr w14:paraId="72FF1D1D">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486BAC57">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邮编:</w:t>
                  </w:r>
                </w:p>
              </w:tc>
              <w:tc>
                <w:tcPr>
                  <w:tcW w:w="2513" w:type="dxa"/>
                  <w:noWrap w:val="0"/>
                  <w:tcMar>
                    <w:top w:w="15" w:type="dxa"/>
                    <w:left w:w="15" w:type="dxa"/>
                    <w:bottom w:w="15" w:type="dxa"/>
                    <w:right w:w="15" w:type="dxa"/>
                  </w:tcMar>
                  <w:vAlign w:val="center"/>
                </w:tcPr>
                <w:p w14:paraId="5E41741C">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435100</w:t>
                  </w:r>
                </w:p>
              </w:tc>
              <w:tc>
                <w:tcPr>
                  <w:tcW w:w="1813" w:type="dxa"/>
                  <w:noWrap w:val="0"/>
                  <w:tcMar>
                    <w:top w:w="15" w:type="dxa"/>
                    <w:left w:w="15" w:type="dxa"/>
                    <w:bottom w:w="15" w:type="dxa"/>
                    <w:right w:w="15" w:type="dxa"/>
                  </w:tcMar>
                  <w:vAlign w:val="center"/>
                </w:tcPr>
                <w:p w14:paraId="3CB5766C">
                  <w:pPr>
                    <w:widowControl/>
                    <w:jc w:val="left"/>
                    <w:rPr>
                      <w:rFonts w:ascii="宋体" w:hAnsi="宋体" w:cs="宋体"/>
                      <w:color w:val="auto"/>
                      <w:kern w:val="0"/>
                      <w:sz w:val="21"/>
                      <w:szCs w:val="21"/>
                      <w:highlight w:val="none"/>
                    </w:rPr>
                  </w:pPr>
                </w:p>
              </w:tc>
              <w:tc>
                <w:tcPr>
                  <w:tcW w:w="2752" w:type="dxa"/>
                  <w:noWrap w:val="0"/>
                  <w:tcMar>
                    <w:top w:w="15" w:type="dxa"/>
                    <w:left w:w="15" w:type="dxa"/>
                    <w:bottom w:w="15" w:type="dxa"/>
                    <w:right w:w="15" w:type="dxa"/>
                  </w:tcMar>
                  <w:vAlign w:val="center"/>
                </w:tcPr>
                <w:p w14:paraId="38939EBB">
                  <w:pPr>
                    <w:widowControl/>
                    <w:jc w:val="left"/>
                    <w:rPr>
                      <w:rFonts w:ascii="宋体" w:hAnsi="宋体" w:cs="宋体"/>
                      <w:color w:val="auto"/>
                      <w:kern w:val="0"/>
                      <w:sz w:val="21"/>
                      <w:szCs w:val="21"/>
                      <w:highlight w:val="none"/>
                    </w:rPr>
                  </w:pPr>
                </w:p>
              </w:tc>
            </w:tr>
            <w:tr w14:paraId="69ACA868">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5444D16B">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电话:</w:t>
                  </w:r>
                </w:p>
              </w:tc>
              <w:tc>
                <w:tcPr>
                  <w:tcW w:w="2513" w:type="dxa"/>
                  <w:noWrap w:val="0"/>
                  <w:tcMar>
                    <w:top w:w="15" w:type="dxa"/>
                    <w:left w:w="15" w:type="dxa"/>
                    <w:bottom w:w="15" w:type="dxa"/>
                    <w:right w:w="15" w:type="dxa"/>
                  </w:tcMar>
                  <w:vAlign w:val="center"/>
                </w:tcPr>
                <w:p w14:paraId="240D4FA3">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0714-8770555</w:t>
                  </w:r>
                </w:p>
              </w:tc>
              <w:tc>
                <w:tcPr>
                  <w:tcW w:w="1813" w:type="dxa"/>
                  <w:noWrap w:val="0"/>
                  <w:tcMar>
                    <w:top w:w="15" w:type="dxa"/>
                    <w:left w:w="15" w:type="dxa"/>
                    <w:bottom w:w="15" w:type="dxa"/>
                    <w:right w:w="15" w:type="dxa"/>
                  </w:tcMar>
                  <w:vAlign w:val="center"/>
                </w:tcPr>
                <w:p w14:paraId="52B6C582">
                  <w:pPr>
                    <w:widowControl/>
                    <w:jc w:val="left"/>
                    <w:rPr>
                      <w:rFonts w:ascii="宋体" w:hAnsi="宋体" w:cs="宋体"/>
                      <w:color w:val="auto"/>
                      <w:kern w:val="0"/>
                      <w:sz w:val="21"/>
                      <w:szCs w:val="21"/>
                      <w:highlight w:val="none"/>
                    </w:rPr>
                  </w:pPr>
                </w:p>
              </w:tc>
              <w:tc>
                <w:tcPr>
                  <w:tcW w:w="2752" w:type="dxa"/>
                  <w:noWrap w:val="0"/>
                  <w:tcMar>
                    <w:top w:w="15" w:type="dxa"/>
                    <w:left w:w="15" w:type="dxa"/>
                    <w:bottom w:w="15" w:type="dxa"/>
                    <w:right w:w="15" w:type="dxa"/>
                  </w:tcMar>
                  <w:vAlign w:val="center"/>
                </w:tcPr>
                <w:p w14:paraId="35894E9C">
                  <w:pPr>
                    <w:widowControl/>
                    <w:jc w:val="left"/>
                    <w:rPr>
                      <w:rFonts w:ascii="宋体" w:hAnsi="宋体" w:cs="宋体"/>
                      <w:color w:val="auto"/>
                      <w:kern w:val="0"/>
                      <w:sz w:val="21"/>
                      <w:szCs w:val="21"/>
                      <w:highlight w:val="none"/>
                    </w:rPr>
                  </w:pPr>
                </w:p>
              </w:tc>
            </w:tr>
            <w:tr w14:paraId="20718024">
              <w:tblPrEx>
                <w:tblCellMar>
                  <w:top w:w="15" w:type="dxa"/>
                  <w:left w:w="15" w:type="dxa"/>
                  <w:bottom w:w="15" w:type="dxa"/>
                  <w:right w:w="15" w:type="dxa"/>
                </w:tblCellMar>
              </w:tblPrEx>
              <w:trPr>
                <w:tblCellSpacing w:w="15" w:type="dxa"/>
              </w:trPr>
              <w:tc>
                <w:tcPr>
                  <w:tcW w:w="1083" w:type="dxa"/>
                  <w:noWrap w:val="0"/>
                  <w:tcMar>
                    <w:top w:w="15" w:type="dxa"/>
                    <w:left w:w="15" w:type="dxa"/>
                    <w:bottom w:w="15" w:type="dxa"/>
                    <w:right w:w="15" w:type="dxa"/>
                  </w:tcMar>
                  <w:vAlign w:val="center"/>
                </w:tcPr>
                <w:p w14:paraId="127452ED">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传真:</w:t>
                  </w:r>
                </w:p>
              </w:tc>
              <w:tc>
                <w:tcPr>
                  <w:tcW w:w="2513" w:type="dxa"/>
                  <w:noWrap w:val="0"/>
                  <w:tcMar>
                    <w:top w:w="15" w:type="dxa"/>
                    <w:left w:w="15" w:type="dxa"/>
                    <w:bottom w:w="15" w:type="dxa"/>
                    <w:right w:w="15" w:type="dxa"/>
                  </w:tcMar>
                  <w:vAlign w:val="center"/>
                </w:tcPr>
                <w:p w14:paraId="08EA2A6E">
                  <w:pPr>
                    <w:widowControl/>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0714-8770555</w:t>
                  </w:r>
                </w:p>
              </w:tc>
              <w:tc>
                <w:tcPr>
                  <w:tcW w:w="1813" w:type="dxa"/>
                  <w:noWrap w:val="0"/>
                  <w:tcMar>
                    <w:top w:w="15" w:type="dxa"/>
                    <w:left w:w="15" w:type="dxa"/>
                    <w:bottom w:w="15" w:type="dxa"/>
                    <w:right w:w="15" w:type="dxa"/>
                  </w:tcMar>
                  <w:vAlign w:val="center"/>
                </w:tcPr>
                <w:p w14:paraId="700E9B69">
                  <w:pPr>
                    <w:widowControl/>
                    <w:jc w:val="left"/>
                    <w:rPr>
                      <w:rFonts w:ascii="宋体" w:hAnsi="宋体" w:cs="宋体"/>
                      <w:color w:val="auto"/>
                      <w:kern w:val="0"/>
                      <w:sz w:val="21"/>
                      <w:szCs w:val="21"/>
                      <w:highlight w:val="none"/>
                    </w:rPr>
                  </w:pPr>
                </w:p>
              </w:tc>
              <w:tc>
                <w:tcPr>
                  <w:tcW w:w="2752" w:type="dxa"/>
                  <w:noWrap w:val="0"/>
                  <w:tcMar>
                    <w:top w:w="15" w:type="dxa"/>
                    <w:left w:w="15" w:type="dxa"/>
                    <w:bottom w:w="15" w:type="dxa"/>
                    <w:right w:w="15" w:type="dxa"/>
                  </w:tcMar>
                  <w:vAlign w:val="center"/>
                </w:tcPr>
                <w:p w14:paraId="1066161C">
                  <w:pPr>
                    <w:widowControl/>
                    <w:jc w:val="left"/>
                    <w:rPr>
                      <w:rFonts w:ascii="宋体" w:hAnsi="宋体" w:cs="宋体"/>
                      <w:color w:val="auto"/>
                      <w:kern w:val="0"/>
                      <w:sz w:val="21"/>
                      <w:szCs w:val="21"/>
                      <w:highlight w:val="none"/>
                    </w:rPr>
                  </w:pPr>
                </w:p>
              </w:tc>
            </w:tr>
          </w:tbl>
          <w:p w14:paraId="73AFF762">
            <w:pPr>
              <w:rPr>
                <w:rFonts w:ascii="宋体" w:hAnsi="宋体" w:cs="宋体"/>
                <w:color w:val="auto"/>
                <w:kern w:val="0"/>
                <w:sz w:val="21"/>
                <w:szCs w:val="21"/>
                <w:highlight w:val="none"/>
              </w:rPr>
            </w:pPr>
          </w:p>
        </w:tc>
      </w:tr>
      <w:tr w14:paraId="6F158BE7">
        <w:tblPrEx>
          <w:tblCellMar>
            <w:top w:w="15" w:type="dxa"/>
            <w:left w:w="15" w:type="dxa"/>
            <w:bottom w:w="15" w:type="dxa"/>
            <w:right w:w="15" w:type="dxa"/>
          </w:tblCellMar>
        </w:tblPrEx>
        <w:trPr>
          <w:tblCellSpacing w:w="15" w:type="dxa"/>
        </w:trPr>
        <w:tc>
          <w:tcPr>
            <w:tcW w:w="8530" w:type="dxa"/>
            <w:noWrap w:val="0"/>
            <w:tcMar>
              <w:top w:w="15" w:type="dxa"/>
              <w:left w:w="15" w:type="dxa"/>
              <w:bottom w:w="15" w:type="dxa"/>
              <w:right w:w="15" w:type="dxa"/>
            </w:tcMar>
            <w:vAlign w:val="center"/>
          </w:tcPr>
          <w:p w14:paraId="4C4CE1B7">
            <w:pPr>
              <w:widowControl/>
              <w:spacing w:line="675" w:lineRule="atLeast"/>
              <w:jc w:val="right"/>
              <w:rPr>
                <w:rFonts w:ascii="宋体" w:hAnsi="宋体" w:cs="宋体"/>
                <w:color w:val="auto"/>
                <w:kern w:val="0"/>
                <w:sz w:val="21"/>
                <w:szCs w:val="21"/>
                <w:highlight w:val="none"/>
              </w:rPr>
            </w:pPr>
            <w:r>
              <w:rPr>
                <w:rFonts w:ascii="宋体" w:hAnsi="宋体" w:cs="宋体"/>
                <w:color w:val="auto"/>
                <w:kern w:val="0"/>
                <w:sz w:val="21"/>
                <w:szCs w:val="21"/>
                <w:highlight w:val="yellow"/>
              </w:rPr>
              <w:t>202</w:t>
            </w:r>
            <w:r>
              <w:rPr>
                <w:rFonts w:hint="eastAsia" w:ascii="宋体" w:hAnsi="宋体" w:cs="宋体"/>
                <w:color w:val="auto"/>
                <w:kern w:val="0"/>
                <w:sz w:val="21"/>
                <w:szCs w:val="21"/>
                <w:highlight w:val="yellow"/>
                <w:lang w:val="en-US" w:eastAsia="zh-CN"/>
              </w:rPr>
              <w:t>6</w:t>
            </w:r>
            <w:r>
              <w:rPr>
                <w:rFonts w:ascii="宋体" w:hAnsi="宋体" w:cs="宋体"/>
                <w:color w:val="auto"/>
                <w:kern w:val="0"/>
                <w:sz w:val="21"/>
                <w:szCs w:val="21"/>
                <w:highlight w:val="yellow"/>
              </w:rPr>
              <w:t>年</w:t>
            </w:r>
            <w:r>
              <w:rPr>
                <w:rFonts w:hint="eastAsia" w:ascii="宋体" w:hAnsi="宋体" w:cs="宋体"/>
                <w:color w:val="auto"/>
                <w:kern w:val="0"/>
                <w:sz w:val="21"/>
                <w:szCs w:val="21"/>
                <w:highlight w:val="yellow"/>
                <w:lang w:val="en-US" w:eastAsia="zh-CN"/>
              </w:rPr>
              <w:t>10</w:t>
            </w:r>
            <w:r>
              <w:rPr>
                <w:rFonts w:ascii="宋体" w:hAnsi="宋体" w:cs="宋体"/>
                <w:color w:val="auto"/>
                <w:kern w:val="0"/>
                <w:sz w:val="21"/>
                <w:szCs w:val="21"/>
                <w:highlight w:val="yellow"/>
              </w:rPr>
              <w:t>月</w:t>
            </w:r>
            <w:r>
              <w:rPr>
                <w:rFonts w:hint="eastAsia" w:ascii="宋体" w:hAnsi="宋体" w:cs="宋体"/>
                <w:color w:val="auto"/>
                <w:kern w:val="0"/>
                <w:sz w:val="21"/>
                <w:szCs w:val="21"/>
                <w:highlight w:val="yellow"/>
              </w:rPr>
              <w:t xml:space="preserve"> </w:t>
            </w:r>
            <w:r>
              <w:rPr>
                <w:rFonts w:hint="eastAsia" w:ascii="宋体" w:hAnsi="宋体" w:cs="宋体"/>
                <w:color w:val="auto"/>
                <w:kern w:val="0"/>
                <w:sz w:val="21"/>
                <w:szCs w:val="21"/>
                <w:highlight w:val="yellow"/>
                <w:lang w:val="en-US" w:eastAsia="zh-CN"/>
              </w:rPr>
              <w:t>8</w:t>
            </w:r>
            <w:r>
              <w:rPr>
                <w:rFonts w:ascii="宋体" w:hAnsi="宋体" w:cs="宋体"/>
                <w:color w:val="auto"/>
                <w:kern w:val="0"/>
                <w:sz w:val="21"/>
                <w:szCs w:val="21"/>
                <w:highlight w:val="yellow"/>
              </w:rPr>
              <w:t>日</w:t>
            </w:r>
          </w:p>
        </w:tc>
        <w:tc>
          <w:tcPr>
            <w:tcW w:w="52" w:type="dxa"/>
            <w:noWrap w:val="0"/>
            <w:vAlign w:val="center"/>
          </w:tcPr>
          <w:p w14:paraId="39801486">
            <w:pPr>
              <w:rPr>
                <w:rFonts w:ascii="宋体" w:hAnsi="宋体" w:cs="宋体"/>
                <w:color w:val="auto"/>
                <w:kern w:val="0"/>
                <w:sz w:val="21"/>
                <w:szCs w:val="21"/>
                <w:highlight w:val="none"/>
              </w:rPr>
            </w:pPr>
          </w:p>
        </w:tc>
      </w:tr>
      <w:tr w14:paraId="608C61C7">
        <w:tblPrEx>
          <w:tblCellMar>
            <w:top w:w="15" w:type="dxa"/>
            <w:left w:w="15" w:type="dxa"/>
            <w:bottom w:w="15" w:type="dxa"/>
            <w:right w:w="15" w:type="dxa"/>
          </w:tblCellMar>
        </w:tblPrEx>
        <w:trPr>
          <w:tblCellSpacing w:w="15" w:type="dxa"/>
        </w:trPr>
        <w:tc>
          <w:tcPr>
            <w:tcW w:w="8530" w:type="dxa"/>
            <w:noWrap w:val="0"/>
            <w:vAlign w:val="center"/>
          </w:tcPr>
          <w:p w14:paraId="4B256167">
            <w:pPr>
              <w:rPr>
                <w:rFonts w:ascii="宋体" w:hAnsi="宋体" w:cs="宋体"/>
                <w:color w:val="auto"/>
                <w:kern w:val="0"/>
                <w:sz w:val="21"/>
                <w:szCs w:val="21"/>
                <w:highlight w:val="none"/>
              </w:rPr>
            </w:pPr>
          </w:p>
        </w:tc>
        <w:tc>
          <w:tcPr>
            <w:tcW w:w="52" w:type="dxa"/>
            <w:noWrap w:val="0"/>
            <w:vAlign w:val="center"/>
          </w:tcPr>
          <w:p w14:paraId="2291594B">
            <w:pPr>
              <w:rPr>
                <w:rFonts w:ascii="宋体" w:hAnsi="宋体" w:cs="宋体"/>
                <w:color w:val="auto"/>
                <w:kern w:val="0"/>
                <w:sz w:val="21"/>
                <w:szCs w:val="21"/>
                <w:highlight w:val="none"/>
              </w:rPr>
            </w:pPr>
          </w:p>
        </w:tc>
      </w:tr>
      <w:tr w14:paraId="521BEE35">
        <w:tblPrEx>
          <w:tblCellMar>
            <w:top w:w="15" w:type="dxa"/>
            <w:left w:w="15" w:type="dxa"/>
            <w:bottom w:w="15" w:type="dxa"/>
            <w:right w:w="15" w:type="dxa"/>
          </w:tblCellMar>
        </w:tblPrEx>
        <w:trPr>
          <w:tblCellSpacing w:w="15" w:type="dxa"/>
        </w:trPr>
        <w:tc>
          <w:tcPr>
            <w:tcW w:w="8612" w:type="dxa"/>
            <w:gridSpan w:val="2"/>
            <w:noWrap w:val="0"/>
            <w:tcMar>
              <w:top w:w="15" w:type="dxa"/>
              <w:left w:w="15" w:type="dxa"/>
              <w:bottom w:w="15" w:type="dxa"/>
              <w:right w:w="15" w:type="dxa"/>
            </w:tcMar>
            <w:vAlign w:val="center"/>
          </w:tcPr>
          <w:p w14:paraId="1A237509">
            <w:pPr>
              <w:widowControl/>
              <w:spacing w:line="675" w:lineRule="atLeast"/>
              <w:jc w:val="left"/>
              <w:rPr>
                <w:rFonts w:ascii="宋体" w:hAnsi="宋体" w:cs="宋体"/>
                <w:color w:val="auto"/>
                <w:kern w:val="0"/>
                <w:sz w:val="21"/>
                <w:szCs w:val="21"/>
                <w:highlight w:val="none"/>
              </w:rPr>
            </w:pPr>
            <w:r>
              <w:rPr>
                <w:rFonts w:ascii="宋体" w:hAnsi="宋体" w:cs="宋体"/>
                <w:color w:val="auto"/>
                <w:kern w:val="0"/>
                <w:sz w:val="21"/>
                <w:szCs w:val="21"/>
                <w:highlight w:val="none"/>
              </w:rPr>
              <w:t>备注:1. 投标人拟派的项目经理（建造师）（下同）不得同时担任两个及以上建设工程项目的项目经理（项目负责人）。存在下列情形之一的，视为未担任其他在施建设工程项目的项目经理：（1）同一工程相邻分段发包或分期施工的;（2）合同约定的工程验收合格的；（3）因非承包方原因致使工程项目停工超过120天（含），经建设单位同意的。 2. “在所投标段免费下载招标文件”是指投标人拟参加某标段投标的，应按规定下载该标段的招标文件。投标人的下载活动“电子交易平台”将予以记录，并可在“下载情况查询”中查看，该记录作为投标人是否下载该标段招标文件的依据。</w:t>
            </w:r>
          </w:p>
        </w:tc>
      </w:tr>
    </w:tbl>
    <w:p w14:paraId="5489E9BB">
      <w:pPr>
        <w:rPr>
          <w:rFonts w:hint="eastAsia"/>
          <w:color w:val="auto"/>
          <w:highlight w:val="none"/>
        </w:rPr>
      </w:pPr>
    </w:p>
    <w:p w14:paraId="2EDFEF25">
      <w:pPr>
        <w:keepNext/>
        <w:keepLines/>
        <w:pageBreakBefore/>
        <w:spacing w:after="312" w:afterLines="100" w:line="380" w:lineRule="exact"/>
        <w:ind w:left="1270" w:leftChars="300" w:hanging="640" w:hangingChars="200"/>
        <w:jc w:val="center"/>
        <w:outlineLvl w:val="0"/>
        <w:rPr>
          <w:rFonts w:hint="eastAsia" w:ascii="黑体" w:hAnsi="黑体" w:eastAsia="黑体"/>
          <w:bCs/>
          <w:color w:val="auto"/>
          <w:sz w:val="32"/>
          <w:highlight w:val="none"/>
        </w:rPr>
      </w:pPr>
      <w:bookmarkStart w:id="11" w:name="_Toc521075324"/>
      <w:bookmarkStart w:id="12" w:name="_Toc2185"/>
      <w:bookmarkStart w:id="13" w:name="_Toc521074899"/>
      <w:r>
        <w:rPr>
          <w:rFonts w:hint="eastAsia" w:ascii="黑体" w:hAnsi="黑体" w:eastAsia="黑体"/>
          <w:bCs/>
          <w:color w:val="auto"/>
          <w:sz w:val="32"/>
          <w:highlight w:val="none"/>
        </w:rPr>
        <w:t>第二章  投标人须知</w:t>
      </w:r>
      <w:bookmarkEnd w:id="11"/>
      <w:bookmarkEnd w:id="12"/>
      <w:bookmarkEnd w:id="13"/>
    </w:p>
    <w:p w14:paraId="0E56172A">
      <w:pPr>
        <w:rPr>
          <w:rFonts w:hint="eastAsia"/>
          <w:color w:val="auto"/>
          <w:highlight w:val="none"/>
        </w:rPr>
      </w:pPr>
      <w:bookmarkStart w:id="14" w:name="EBdb604df3a93e4922bcbcc59dfa8e944d"/>
      <w:r>
        <w:rPr>
          <w:rFonts w:hint="eastAsia"/>
          <w:color w:val="auto"/>
          <w:sz w:val="20"/>
          <w:highlight w:val="none"/>
        </w:rPr>
        <w:t xml:space="preserve"> </w:t>
      </w:r>
      <w:bookmarkEnd w:id="14"/>
    </w:p>
    <w:p w14:paraId="31ED1FFC">
      <w:pPr>
        <w:rPr>
          <w:rFonts w:hint="eastAsia"/>
          <w:color w:val="auto"/>
          <w:highlight w:val="none"/>
        </w:rPr>
      </w:pPr>
      <w:bookmarkStart w:id="15" w:name="EBd6e8eaa20e724b55b1e3cc905791420c"/>
      <w:r>
        <w:rPr>
          <w:rFonts w:hint="eastAsia"/>
          <w:color w:val="auto"/>
          <w:sz w:val="20"/>
          <w:highlight w:val="none"/>
        </w:rPr>
        <w:t xml:space="preserve"> </w:t>
      </w:r>
      <w:bookmarkEnd w:id="15"/>
    </w:p>
    <w:p w14:paraId="51875D51">
      <w:pPr>
        <w:pStyle w:val="31"/>
        <w:rPr>
          <w:rFonts w:hint="eastAsia"/>
          <w:color w:val="auto"/>
          <w:highlight w:val="none"/>
        </w:rPr>
      </w:pPr>
      <w:bookmarkStart w:id="16" w:name="_Toc7257"/>
      <w:bookmarkStart w:id="17" w:name="_Toc521075325"/>
      <w:bookmarkStart w:id="18" w:name="_Toc521074900"/>
      <w:r>
        <w:rPr>
          <w:rFonts w:hint="eastAsia"/>
          <w:color w:val="auto"/>
          <w:highlight w:val="none"/>
        </w:rPr>
        <w:t>投标人须知前附表</w:t>
      </w:r>
      <w:bookmarkEnd w:id="16"/>
      <w:bookmarkEnd w:id="17"/>
      <w:bookmarkEnd w:id="18"/>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2163"/>
        <w:gridCol w:w="5354"/>
      </w:tblGrid>
      <w:tr w14:paraId="069F3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97" w:type="dxa"/>
            <w:noWrap w:val="0"/>
            <w:vAlign w:val="center"/>
          </w:tcPr>
          <w:p w14:paraId="1C5BEA40">
            <w:pPr>
              <w:jc w:val="center"/>
              <w:rPr>
                <w:rFonts w:hint="eastAsia"/>
                <w:color w:val="auto"/>
                <w:highlight w:val="none"/>
              </w:rPr>
            </w:pPr>
            <w:r>
              <w:rPr>
                <w:rFonts w:hint="eastAsia"/>
                <w:color w:val="auto"/>
                <w:highlight w:val="none"/>
              </w:rPr>
              <w:t>条款号</w:t>
            </w:r>
          </w:p>
        </w:tc>
        <w:tc>
          <w:tcPr>
            <w:tcW w:w="2163" w:type="dxa"/>
            <w:noWrap w:val="0"/>
            <w:vAlign w:val="center"/>
          </w:tcPr>
          <w:p w14:paraId="369A1592">
            <w:pPr>
              <w:jc w:val="center"/>
              <w:rPr>
                <w:rFonts w:hint="eastAsia"/>
                <w:color w:val="auto"/>
                <w:highlight w:val="none"/>
              </w:rPr>
            </w:pPr>
            <w:r>
              <w:rPr>
                <w:rFonts w:hint="eastAsia"/>
                <w:color w:val="auto"/>
                <w:highlight w:val="none"/>
              </w:rPr>
              <w:t>条  款  名  称</w:t>
            </w:r>
          </w:p>
        </w:tc>
        <w:tc>
          <w:tcPr>
            <w:tcW w:w="5354" w:type="dxa"/>
            <w:noWrap w:val="0"/>
            <w:vAlign w:val="center"/>
          </w:tcPr>
          <w:p w14:paraId="2505D479">
            <w:pPr>
              <w:jc w:val="center"/>
              <w:rPr>
                <w:rFonts w:hint="eastAsia"/>
                <w:color w:val="auto"/>
                <w:highlight w:val="none"/>
              </w:rPr>
            </w:pPr>
            <w:r>
              <w:rPr>
                <w:rFonts w:hint="eastAsia"/>
                <w:color w:val="auto"/>
                <w:highlight w:val="none"/>
              </w:rPr>
              <w:t>编  列  内  容</w:t>
            </w:r>
          </w:p>
        </w:tc>
      </w:tr>
      <w:tr w14:paraId="0BF7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jc w:val="center"/>
        </w:trPr>
        <w:tc>
          <w:tcPr>
            <w:tcW w:w="897" w:type="dxa"/>
            <w:noWrap w:val="0"/>
            <w:vAlign w:val="center"/>
          </w:tcPr>
          <w:p w14:paraId="5BFC41A6">
            <w:pPr>
              <w:jc w:val="center"/>
              <w:rPr>
                <w:rFonts w:hint="eastAsia"/>
                <w:color w:val="auto"/>
                <w:highlight w:val="none"/>
              </w:rPr>
            </w:pPr>
            <w:r>
              <w:rPr>
                <w:rFonts w:hint="eastAsia"/>
                <w:color w:val="auto"/>
                <w:highlight w:val="none"/>
              </w:rPr>
              <w:t>1.1.2</w:t>
            </w:r>
          </w:p>
        </w:tc>
        <w:tc>
          <w:tcPr>
            <w:tcW w:w="2163" w:type="dxa"/>
            <w:noWrap w:val="0"/>
            <w:vAlign w:val="center"/>
          </w:tcPr>
          <w:p w14:paraId="2BD8999B">
            <w:pPr>
              <w:rPr>
                <w:rFonts w:hint="eastAsia"/>
                <w:color w:val="auto"/>
                <w:highlight w:val="none"/>
              </w:rPr>
            </w:pPr>
            <w:r>
              <w:rPr>
                <w:rFonts w:hint="eastAsia"/>
                <w:color w:val="auto"/>
                <w:highlight w:val="none"/>
              </w:rPr>
              <w:t>招标人</w:t>
            </w:r>
          </w:p>
        </w:tc>
        <w:tc>
          <w:tcPr>
            <w:tcW w:w="5354" w:type="dxa"/>
            <w:noWrap w:val="0"/>
            <w:vAlign w:val="center"/>
          </w:tcPr>
          <w:p w14:paraId="7093948B">
            <w:pPr>
              <w:rPr>
                <w:color w:val="auto"/>
                <w:highlight w:val="none"/>
              </w:rPr>
            </w:pPr>
            <w:r>
              <w:rPr>
                <w:rFonts w:hint="eastAsia"/>
                <w:color w:val="auto"/>
                <w:highlight w:val="none"/>
              </w:rPr>
              <w:t>名    称：</w:t>
            </w:r>
            <w:r>
              <w:rPr>
                <w:rFonts w:hint="eastAsia"/>
                <w:color w:val="auto"/>
                <w:highlight w:val="none"/>
                <w:lang w:val="en-US" w:eastAsia="zh-CN"/>
              </w:rPr>
              <w:t>湖北省</w:t>
            </w:r>
            <w:r>
              <w:rPr>
                <w:rFonts w:hint="eastAsia"/>
                <w:color w:val="auto"/>
                <w:highlight w:val="none"/>
                <w:lang w:eastAsia="zh-CN"/>
              </w:rPr>
              <w:t>大冶市第二中学</w:t>
            </w:r>
          </w:p>
          <w:p w14:paraId="1A9EE580">
            <w:pPr>
              <w:rPr>
                <w:rFonts w:hint="eastAsia"/>
                <w:color w:val="auto"/>
                <w:highlight w:val="none"/>
              </w:rPr>
            </w:pPr>
            <w:r>
              <w:rPr>
                <w:rFonts w:hint="eastAsia"/>
                <w:color w:val="auto"/>
                <w:highlight w:val="none"/>
              </w:rPr>
              <w:t>地    址：</w:t>
            </w:r>
            <w:r>
              <w:rPr>
                <w:rFonts w:hint="eastAsia" w:ascii="宋体" w:hAnsi="宋体" w:cs="宋体"/>
                <w:color w:val="auto"/>
                <w:kern w:val="0"/>
                <w:sz w:val="21"/>
                <w:szCs w:val="21"/>
                <w:highlight w:val="none"/>
                <w:lang w:eastAsia="zh-CN"/>
              </w:rPr>
              <w:t>大冶市金牛镇学府路36号</w:t>
            </w:r>
          </w:p>
          <w:p w14:paraId="1BCF7B14">
            <w:pPr>
              <w:rPr>
                <w:rFonts w:hint="default"/>
                <w:color w:val="auto"/>
                <w:highlight w:val="none"/>
                <w:lang w:val="en-US"/>
              </w:rPr>
            </w:pPr>
            <w:r>
              <w:rPr>
                <w:rFonts w:hint="eastAsia"/>
                <w:color w:val="auto"/>
                <w:highlight w:val="none"/>
              </w:rPr>
              <w:t>联 系 人：</w:t>
            </w:r>
            <w:r>
              <w:rPr>
                <w:rFonts w:hint="eastAsia" w:ascii="宋体" w:hAnsi="宋体" w:cs="宋体"/>
                <w:color w:val="auto"/>
                <w:kern w:val="0"/>
                <w:sz w:val="21"/>
                <w:szCs w:val="21"/>
                <w:highlight w:val="none"/>
                <w:lang w:val="en-US" w:eastAsia="zh-CN"/>
              </w:rPr>
              <w:t>刘剑</w:t>
            </w:r>
          </w:p>
          <w:p w14:paraId="60DCA19E">
            <w:pPr>
              <w:rPr>
                <w:rFonts w:hint="eastAsia"/>
                <w:color w:val="auto"/>
                <w:highlight w:val="none"/>
              </w:rPr>
            </w:pPr>
            <w:r>
              <w:rPr>
                <w:rFonts w:hint="eastAsia"/>
                <w:color w:val="auto"/>
                <w:highlight w:val="none"/>
              </w:rPr>
              <w:t>电    话：</w:t>
            </w:r>
            <w:r>
              <w:rPr>
                <w:rFonts w:hint="eastAsia"/>
                <w:color w:val="auto"/>
                <w:highlight w:val="none"/>
                <w:lang w:val="en-US" w:eastAsia="zh-CN"/>
              </w:rPr>
              <w:t>18086329779</w:t>
            </w:r>
          </w:p>
        </w:tc>
      </w:tr>
      <w:tr w14:paraId="7315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jc w:val="center"/>
        </w:trPr>
        <w:tc>
          <w:tcPr>
            <w:tcW w:w="897" w:type="dxa"/>
            <w:noWrap w:val="0"/>
            <w:vAlign w:val="center"/>
          </w:tcPr>
          <w:p w14:paraId="162FBDB3">
            <w:pPr>
              <w:jc w:val="center"/>
              <w:rPr>
                <w:rFonts w:hint="eastAsia"/>
                <w:color w:val="auto"/>
                <w:highlight w:val="none"/>
              </w:rPr>
            </w:pPr>
            <w:r>
              <w:rPr>
                <w:rFonts w:hint="eastAsia"/>
                <w:color w:val="auto"/>
                <w:highlight w:val="none"/>
              </w:rPr>
              <w:t>1.1.3</w:t>
            </w:r>
          </w:p>
        </w:tc>
        <w:tc>
          <w:tcPr>
            <w:tcW w:w="2163" w:type="dxa"/>
            <w:noWrap w:val="0"/>
            <w:vAlign w:val="center"/>
          </w:tcPr>
          <w:p w14:paraId="20CB2F17">
            <w:pPr>
              <w:rPr>
                <w:rFonts w:hint="eastAsia"/>
                <w:color w:val="auto"/>
                <w:highlight w:val="none"/>
              </w:rPr>
            </w:pPr>
            <w:r>
              <w:rPr>
                <w:rFonts w:hint="eastAsia"/>
                <w:color w:val="auto"/>
                <w:highlight w:val="none"/>
              </w:rPr>
              <w:t>招标代理机构</w:t>
            </w:r>
          </w:p>
        </w:tc>
        <w:tc>
          <w:tcPr>
            <w:tcW w:w="5354" w:type="dxa"/>
            <w:noWrap w:val="0"/>
            <w:vAlign w:val="center"/>
          </w:tcPr>
          <w:p w14:paraId="25FADBCC">
            <w:pPr>
              <w:rPr>
                <w:rFonts w:hint="eastAsia"/>
                <w:color w:val="auto"/>
                <w:highlight w:val="none"/>
              </w:rPr>
            </w:pPr>
            <w:r>
              <w:rPr>
                <w:rFonts w:hint="eastAsia"/>
                <w:color w:val="auto"/>
                <w:highlight w:val="none"/>
              </w:rPr>
              <w:t>名    称：</w:t>
            </w:r>
            <w:r>
              <w:rPr>
                <w:rFonts w:hint="eastAsia" w:ascii="宋体" w:hAnsi="宋体" w:cs="宋体"/>
                <w:color w:val="auto"/>
                <w:kern w:val="0"/>
                <w:sz w:val="21"/>
                <w:szCs w:val="21"/>
                <w:highlight w:val="none"/>
                <w:lang w:eastAsia="zh-CN"/>
              </w:rPr>
              <w:t>湖北锦辰工程管理有限公司</w:t>
            </w:r>
          </w:p>
          <w:p w14:paraId="746F716B">
            <w:pPr>
              <w:rPr>
                <w:rFonts w:hint="eastAsia"/>
                <w:color w:val="auto"/>
                <w:highlight w:val="yellow"/>
              </w:rPr>
            </w:pPr>
            <w:r>
              <w:rPr>
                <w:rFonts w:hint="eastAsia"/>
                <w:color w:val="auto"/>
                <w:highlight w:val="none"/>
              </w:rPr>
              <w:t>地    址：大冶市金贸大厦农商银行4楼</w:t>
            </w:r>
          </w:p>
          <w:p w14:paraId="3F8EA630">
            <w:pPr>
              <w:rPr>
                <w:rFonts w:hint="default" w:eastAsia="宋体"/>
                <w:color w:val="auto"/>
                <w:highlight w:val="none"/>
                <w:lang w:val="en-US" w:eastAsia="zh-CN"/>
              </w:rPr>
            </w:pPr>
            <w:r>
              <w:rPr>
                <w:rFonts w:hint="eastAsia"/>
                <w:color w:val="auto"/>
                <w:highlight w:val="none"/>
              </w:rPr>
              <w:t>联 系 人：</w:t>
            </w:r>
            <w:r>
              <w:rPr>
                <w:rFonts w:hint="eastAsia"/>
                <w:color w:val="auto"/>
                <w:highlight w:val="none"/>
                <w:lang w:val="en-US" w:eastAsia="zh-CN"/>
              </w:rPr>
              <w:t>李胜利</w:t>
            </w:r>
          </w:p>
          <w:p w14:paraId="3419BDFC">
            <w:pPr>
              <w:rPr>
                <w:rFonts w:hint="eastAsia"/>
                <w:color w:val="auto"/>
                <w:highlight w:val="none"/>
              </w:rPr>
            </w:pPr>
            <w:r>
              <w:rPr>
                <w:rFonts w:hint="eastAsia"/>
                <w:color w:val="auto"/>
                <w:highlight w:val="none"/>
              </w:rPr>
              <w:t>电    话：</w:t>
            </w:r>
            <w:r>
              <w:rPr>
                <w:rFonts w:hint="eastAsia"/>
                <w:color w:val="auto"/>
                <w:highlight w:val="none"/>
                <w:lang w:val="en-US" w:eastAsia="zh-CN"/>
              </w:rPr>
              <w:t>13872104488</w:t>
            </w:r>
          </w:p>
        </w:tc>
      </w:tr>
      <w:tr w14:paraId="1AE8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34DF54FF">
            <w:pPr>
              <w:jc w:val="center"/>
              <w:rPr>
                <w:rFonts w:hint="eastAsia"/>
                <w:color w:val="auto"/>
                <w:highlight w:val="none"/>
              </w:rPr>
            </w:pPr>
            <w:r>
              <w:rPr>
                <w:rFonts w:hint="eastAsia"/>
                <w:color w:val="auto"/>
                <w:highlight w:val="none"/>
              </w:rPr>
              <w:t>1.1.4</w:t>
            </w:r>
          </w:p>
        </w:tc>
        <w:tc>
          <w:tcPr>
            <w:tcW w:w="2163" w:type="dxa"/>
            <w:noWrap w:val="0"/>
            <w:vAlign w:val="center"/>
          </w:tcPr>
          <w:p w14:paraId="5E5D6176">
            <w:pPr>
              <w:rPr>
                <w:rFonts w:hint="eastAsia"/>
                <w:color w:val="auto"/>
                <w:highlight w:val="none"/>
              </w:rPr>
            </w:pPr>
            <w:r>
              <w:rPr>
                <w:rFonts w:hint="eastAsia"/>
                <w:color w:val="auto"/>
                <w:highlight w:val="none"/>
              </w:rPr>
              <w:t>项目名称</w:t>
            </w:r>
          </w:p>
        </w:tc>
        <w:tc>
          <w:tcPr>
            <w:tcW w:w="5354" w:type="dxa"/>
            <w:noWrap w:val="0"/>
            <w:vAlign w:val="center"/>
          </w:tcPr>
          <w:p w14:paraId="4E5F60EA">
            <w:pPr>
              <w:rPr>
                <w:color w:val="auto"/>
                <w:highlight w:val="none"/>
              </w:rPr>
            </w:pPr>
            <w:r>
              <w:rPr>
                <w:rFonts w:hint="eastAsia" w:ascii="宋体" w:hAnsi="宋体" w:cs="宋体"/>
                <w:sz w:val="21"/>
                <w:szCs w:val="21"/>
                <w:lang w:eastAsia="zh-CN"/>
              </w:rPr>
              <w:t>大冶市第二中学改扩建工程（二期二标段）</w:t>
            </w:r>
          </w:p>
        </w:tc>
      </w:tr>
      <w:tr w14:paraId="4734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09D68425">
            <w:pPr>
              <w:jc w:val="center"/>
              <w:rPr>
                <w:rFonts w:hint="eastAsia"/>
                <w:color w:val="auto"/>
                <w:highlight w:val="none"/>
              </w:rPr>
            </w:pPr>
            <w:r>
              <w:rPr>
                <w:rFonts w:hint="eastAsia"/>
                <w:color w:val="auto"/>
                <w:highlight w:val="none"/>
              </w:rPr>
              <w:t>1.1.5</w:t>
            </w:r>
          </w:p>
        </w:tc>
        <w:tc>
          <w:tcPr>
            <w:tcW w:w="2163" w:type="dxa"/>
            <w:noWrap w:val="0"/>
            <w:vAlign w:val="center"/>
          </w:tcPr>
          <w:p w14:paraId="74F3C4A7">
            <w:pPr>
              <w:rPr>
                <w:rFonts w:hint="eastAsia"/>
                <w:color w:val="auto"/>
                <w:highlight w:val="none"/>
              </w:rPr>
            </w:pPr>
            <w:r>
              <w:rPr>
                <w:rFonts w:hint="eastAsia"/>
                <w:color w:val="auto"/>
                <w:highlight w:val="none"/>
              </w:rPr>
              <w:t>建设地点</w:t>
            </w:r>
          </w:p>
        </w:tc>
        <w:tc>
          <w:tcPr>
            <w:tcW w:w="5354" w:type="dxa"/>
            <w:noWrap w:val="0"/>
            <w:vAlign w:val="center"/>
          </w:tcPr>
          <w:p w14:paraId="2C3604DA">
            <w:pPr>
              <w:rPr>
                <w:rFonts w:hint="eastAsia"/>
                <w:color w:val="auto"/>
                <w:highlight w:val="none"/>
              </w:rPr>
            </w:pPr>
            <w:r>
              <w:rPr>
                <w:rFonts w:hint="eastAsia" w:ascii="宋体" w:hAnsi="宋体" w:eastAsia="宋体" w:cs="宋体"/>
                <w:sz w:val="21"/>
                <w:szCs w:val="21"/>
              </w:rPr>
              <w:t>大冶市</w:t>
            </w:r>
            <w:r>
              <w:rPr>
                <w:rFonts w:hint="eastAsia" w:ascii="宋体" w:hAnsi="宋体" w:cs="宋体"/>
                <w:sz w:val="21"/>
                <w:szCs w:val="21"/>
                <w:lang w:val="en-US" w:eastAsia="zh-CN"/>
              </w:rPr>
              <w:t>金牛镇</w:t>
            </w:r>
          </w:p>
        </w:tc>
      </w:tr>
      <w:tr w14:paraId="0BFFF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27C58D11">
            <w:pPr>
              <w:spacing w:line="400" w:lineRule="exact"/>
              <w:jc w:val="center"/>
              <w:rPr>
                <w:rFonts w:hint="eastAsia"/>
                <w:color w:val="auto"/>
                <w:szCs w:val="21"/>
                <w:highlight w:val="none"/>
              </w:rPr>
            </w:pPr>
            <w:r>
              <w:rPr>
                <w:rFonts w:hint="eastAsia"/>
                <w:color w:val="auto"/>
                <w:szCs w:val="21"/>
                <w:highlight w:val="none"/>
              </w:rPr>
              <w:t>1.1.6</w:t>
            </w:r>
          </w:p>
        </w:tc>
        <w:tc>
          <w:tcPr>
            <w:tcW w:w="2163" w:type="dxa"/>
            <w:noWrap w:val="0"/>
            <w:vAlign w:val="center"/>
          </w:tcPr>
          <w:p w14:paraId="07CCA6D7">
            <w:pPr>
              <w:spacing w:line="400" w:lineRule="exact"/>
              <w:rPr>
                <w:rFonts w:hint="eastAsia"/>
                <w:color w:val="auto"/>
                <w:szCs w:val="21"/>
                <w:highlight w:val="none"/>
              </w:rPr>
            </w:pPr>
            <w:r>
              <w:rPr>
                <w:rFonts w:hint="eastAsia"/>
                <w:color w:val="auto"/>
                <w:highlight w:val="none"/>
              </w:rPr>
              <w:t>设计人</w:t>
            </w:r>
          </w:p>
        </w:tc>
        <w:tc>
          <w:tcPr>
            <w:tcW w:w="5354" w:type="dxa"/>
            <w:noWrap w:val="0"/>
            <w:vAlign w:val="center"/>
          </w:tcPr>
          <w:p w14:paraId="6F8BBAB3">
            <w:pPr>
              <w:rPr>
                <w:rFonts w:hint="eastAsia" w:eastAsia="宋体"/>
                <w:color w:val="auto"/>
                <w:highlight w:val="none"/>
                <w:lang w:eastAsia="zh-CN"/>
              </w:rPr>
            </w:pPr>
            <w:r>
              <w:rPr>
                <w:rFonts w:hint="eastAsia"/>
                <w:color w:val="auto"/>
                <w:highlight w:val="none"/>
                <w:lang w:val="en-US" w:eastAsia="zh-CN"/>
              </w:rPr>
              <w:t>/</w:t>
            </w:r>
          </w:p>
        </w:tc>
      </w:tr>
      <w:tr w14:paraId="1E127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10C28B36">
            <w:pPr>
              <w:spacing w:line="400" w:lineRule="exact"/>
              <w:jc w:val="center"/>
              <w:rPr>
                <w:rFonts w:hint="eastAsia"/>
                <w:color w:val="auto"/>
                <w:szCs w:val="21"/>
                <w:highlight w:val="none"/>
              </w:rPr>
            </w:pPr>
            <w:r>
              <w:rPr>
                <w:rFonts w:hint="eastAsia"/>
                <w:color w:val="auto"/>
                <w:szCs w:val="21"/>
                <w:highlight w:val="none"/>
              </w:rPr>
              <w:t>1.1.7</w:t>
            </w:r>
          </w:p>
        </w:tc>
        <w:tc>
          <w:tcPr>
            <w:tcW w:w="2163" w:type="dxa"/>
            <w:noWrap w:val="0"/>
            <w:vAlign w:val="center"/>
          </w:tcPr>
          <w:p w14:paraId="701E140A">
            <w:pPr>
              <w:spacing w:line="400" w:lineRule="exact"/>
              <w:rPr>
                <w:rFonts w:hint="eastAsia"/>
                <w:color w:val="auto"/>
                <w:szCs w:val="21"/>
                <w:highlight w:val="none"/>
              </w:rPr>
            </w:pPr>
            <w:r>
              <w:rPr>
                <w:rFonts w:hint="eastAsia"/>
                <w:color w:val="auto"/>
                <w:szCs w:val="21"/>
                <w:highlight w:val="none"/>
              </w:rPr>
              <w:t>监理人</w:t>
            </w:r>
          </w:p>
        </w:tc>
        <w:tc>
          <w:tcPr>
            <w:tcW w:w="5354" w:type="dxa"/>
            <w:noWrap w:val="0"/>
            <w:vAlign w:val="center"/>
          </w:tcPr>
          <w:p w14:paraId="5EDD19F0">
            <w:pPr>
              <w:rPr>
                <w:rFonts w:hint="eastAsia"/>
                <w:color w:val="auto"/>
                <w:highlight w:val="none"/>
              </w:rPr>
            </w:pPr>
            <w:bookmarkStart w:id="19" w:name="EBe35297867ddf4c22bc45e52d036471a1"/>
            <w:r>
              <w:rPr>
                <w:rFonts w:hint="eastAsia"/>
                <w:color w:val="auto"/>
                <w:highlight w:val="none"/>
              </w:rPr>
              <w:t xml:space="preserve"> </w:t>
            </w:r>
            <w:bookmarkEnd w:id="19"/>
            <w:r>
              <w:rPr>
                <w:rFonts w:hint="eastAsia"/>
                <w:color w:val="auto"/>
                <w:highlight w:val="none"/>
              </w:rPr>
              <w:t>/</w:t>
            </w:r>
          </w:p>
        </w:tc>
      </w:tr>
      <w:tr w14:paraId="48C6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704094CC">
            <w:pPr>
              <w:spacing w:line="400" w:lineRule="exact"/>
              <w:jc w:val="center"/>
              <w:rPr>
                <w:rFonts w:hint="eastAsia"/>
                <w:color w:val="auto"/>
                <w:szCs w:val="21"/>
                <w:highlight w:val="none"/>
              </w:rPr>
            </w:pPr>
            <w:r>
              <w:rPr>
                <w:rFonts w:hint="eastAsia"/>
                <w:color w:val="auto"/>
                <w:szCs w:val="21"/>
                <w:highlight w:val="none"/>
              </w:rPr>
              <w:t>1.1.8</w:t>
            </w:r>
          </w:p>
        </w:tc>
        <w:tc>
          <w:tcPr>
            <w:tcW w:w="2163" w:type="dxa"/>
            <w:noWrap w:val="0"/>
            <w:vAlign w:val="center"/>
          </w:tcPr>
          <w:p w14:paraId="5D01C941">
            <w:pPr>
              <w:spacing w:line="400" w:lineRule="exact"/>
              <w:rPr>
                <w:rFonts w:hint="eastAsia"/>
                <w:color w:val="auto"/>
                <w:szCs w:val="21"/>
                <w:highlight w:val="none"/>
              </w:rPr>
            </w:pPr>
            <w:r>
              <w:rPr>
                <w:rFonts w:hint="eastAsia"/>
                <w:color w:val="auto"/>
                <w:szCs w:val="21"/>
                <w:highlight w:val="none"/>
              </w:rPr>
              <w:t>代建人</w:t>
            </w:r>
          </w:p>
        </w:tc>
        <w:tc>
          <w:tcPr>
            <w:tcW w:w="5354" w:type="dxa"/>
            <w:noWrap w:val="0"/>
            <w:vAlign w:val="center"/>
          </w:tcPr>
          <w:p w14:paraId="06DFBA2D">
            <w:pPr>
              <w:rPr>
                <w:rFonts w:hint="eastAsia"/>
                <w:color w:val="auto"/>
                <w:highlight w:val="none"/>
              </w:rPr>
            </w:pPr>
            <w:bookmarkStart w:id="20" w:name="EBa2c3ce0228b84ffcb1b44d0bf9bdd710"/>
            <w:r>
              <w:rPr>
                <w:rFonts w:hint="eastAsia"/>
                <w:color w:val="auto"/>
                <w:highlight w:val="none"/>
              </w:rPr>
              <w:t xml:space="preserve"> </w:t>
            </w:r>
            <w:bookmarkEnd w:id="20"/>
            <w:r>
              <w:rPr>
                <w:rFonts w:hint="eastAsia"/>
                <w:color w:val="auto"/>
                <w:highlight w:val="none"/>
              </w:rPr>
              <w:t>/</w:t>
            </w:r>
          </w:p>
        </w:tc>
      </w:tr>
      <w:tr w14:paraId="7374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238FEC25">
            <w:pPr>
              <w:jc w:val="center"/>
              <w:rPr>
                <w:rFonts w:hint="eastAsia"/>
                <w:color w:val="auto"/>
                <w:highlight w:val="none"/>
              </w:rPr>
            </w:pPr>
            <w:r>
              <w:rPr>
                <w:rFonts w:hint="eastAsia"/>
                <w:color w:val="auto"/>
                <w:highlight w:val="none"/>
              </w:rPr>
              <w:t>1.2.1</w:t>
            </w:r>
          </w:p>
        </w:tc>
        <w:tc>
          <w:tcPr>
            <w:tcW w:w="2163" w:type="dxa"/>
            <w:noWrap w:val="0"/>
            <w:vAlign w:val="center"/>
          </w:tcPr>
          <w:p w14:paraId="0DC65867">
            <w:pPr>
              <w:rPr>
                <w:rFonts w:hint="eastAsia"/>
                <w:color w:val="auto"/>
                <w:highlight w:val="none"/>
              </w:rPr>
            </w:pPr>
            <w:r>
              <w:rPr>
                <w:rFonts w:hint="eastAsia"/>
                <w:color w:val="auto"/>
                <w:highlight w:val="none"/>
              </w:rPr>
              <w:t>资金来源</w:t>
            </w:r>
          </w:p>
        </w:tc>
        <w:tc>
          <w:tcPr>
            <w:tcW w:w="5354" w:type="dxa"/>
            <w:noWrap w:val="0"/>
            <w:vAlign w:val="center"/>
          </w:tcPr>
          <w:p w14:paraId="5947CFA7">
            <w:pPr>
              <w:rPr>
                <w:rFonts w:hint="default" w:eastAsia="宋体"/>
                <w:color w:val="auto"/>
                <w:highlight w:val="none"/>
                <w:lang w:val="en-US" w:eastAsia="zh-CN"/>
              </w:rPr>
            </w:pPr>
            <w:r>
              <w:rPr>
                <w:rFonts w:hint="eastAsia"/>
                <w:color w:val="auto"/>
                <w:highlight w:val="none"/>
                <w:lang w:val="en-US" w:eastAsia="zh-CN"/>
              </w:rPr>
              <w:t>财政资金</w:t>
            </w:r>
          </w:p>
        </w:tc>
      </w:tr>
      <w:tr w14:paraId="57D9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3EB88DF3">
            <w:pPr>
              <w:jc w:val="center"/>
              <w:rPr>
                <w:rFonts w:hint="eastAsia"/>
                <w:color w:val="auto"/>
                <w:highlight w:val="none"/>
              </w:rPr>
            </w:pPr>
            <w:r>
              <w:rPr>
                <w:rFonts w:hint="eastAsia"/>
                <w:color w:val="auto"/>
                <w:highlight w:val="none"/>
              </w:rPr>
              <w:t>1.2.2</w:t>
            </w:r>
          </w:p>
        </w:tc>
        <w:tc>
          <w:tcPr>
            <w:tcW w:w="2163" w:type="dxa"/>
            <w:noWrap w:val="0"/>
            <w:vAlign w:val="center"/>
          </w:tcPr>
          <w:p w14:paraId="43F6CE30">
            <w:pPr>
              <w:rPr>
                <w:rFonts w:hint="eastAsia"/>
                <w:color w:val="auto"/>
                <w:highlight w:val="none"/>
              </w:rPr>
            </w:pPr>
            <w:r>
              <w:rPr>
                <w:rFonts w:hint="eastAsia"/>
                <w:color w:val="auto"/>
                <w:highlight w:val="none"/>
              </w:rPr>
              <w:t>出资比例</w:t>
            </w:r>
          </w:p>
        </w:tc>
        <w:tc>
          <w:tcPr>
            <w:tcW w:w="5354" w:type="dxa"/>
            <w:noWrap w:val="0"/>
            <w:vAlign w:val="center"/>
          </w:tcPr>
          <w:p w14:paraId="0BECA504">
            <w:pPr>
              <w:rPr>
                <w:rFonts w:hint="eastAsia"/>
                <w:color w:val="auto"/>
                <w:highlight w:val="none"/>
              </w:rPr>
            </w:pPr>
            <w:bookmarkStart w:id="21" w:name="EBa76cedf52c134b4099d4a555d805b29a"/>
            <w:r>
              <w:rPr>
                <w:rFonts w:hint="eastAsia"/>
                <w:color w:val="auto"/>
                <w:highlight w:val="none"/>
              </w:rPr>
              <w:t xml:space="preserve"> </w:t>
            </w:r>
            <w:bookmarkEnd w:id="21"/>
            <w:r>
              <w:rPr>
                <w:rFonts w:hint="eastAsia"/>
                <w:color w:val="auto"/>
                <w:highlight w:val="none"/>
              </w:rPr>
              <w:t>100%</w:t>
            </w:r>
          </w:p>
        </w:tc>
      </w:tr>
      <w:tr w14:paraId="55F4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7AA29A11">
            <w:pPr>
              <w:jc w:val="center"/>
              <w:rPr>
                <w:rFonts w:hint="eastAsia"/>
                <w:color w:val="auto"/>
                <w:highlight w:val="none"/>
              </w:rPr>
            </w:pPr>
            <w:r>
              <w:rPr>
                <w:rFonts w:hint="eastAsia"/>
                <w:color w:val="auto"/>
                <w:highlight w:val="none"/>
              </w:rPr>
              <w:t>1.2.3</w:t>
            </w:r>
          </w:p>
        </w:tc>
        <w:tc>
          <w:tcPr>
            <w:tcW w:w="2163" w:type="dxa"/>
            <w:noWrap w:val="0"/>
            <w:vAlign w:val="center"/>
          </w:tcPr>
          <w:p w14:paraId="323477E7">
            <w:pPr>
              <w:rPr>
                <w:rFonts w:hint="eastAsia"/>
                <w:color w:val="auto"/>
                <w:highlight w:val="none"/>
              </w:rPr>
            </w:pPr>
            <w:r>
              <w:rPr>
                <w:rFonts w:hint="eastAsia"/>
                <w:color w:val="auto"/>
                <w:highlight w:val="none"/>
              </w:rPr>
              <w:t>资金落实情况</w:t>
            </w:r>
          </w:p>
        </w:tc>
        <w:tc>
          <w:tcPr>
            <w:tcW w:w="5354" w:type="dxa"/>
            <w:noWrap w:val="0"/>
            <w:vAlign w:val="center"/>
          </w:tcPr>
          <w:p w14:paraId="06C84732">
            <w:pPr>
              <w:rPr>
                <w:rFonts w:hint="eastAsia"/>
                <w:color w:val="auto"/>
                <w:highlight w:val="none"/>
              </w:rPr>
            </w:pPr>
            <w:bookmarkStart w:id="22" w:name="EB526e6bfc4c8f4bfea5705f11fdf04fa1"/>
            <w:r>
              <w:rPr>
                <w:rFonts w:hint="eastAsia"/>
                <w:color w:val="auto"/>
                <w:highlight w:val="none"/>
              </w:rPr>
              <w:t xml:space="preserve"> </w:t>
            </w:r>
            <w:bookmarkEnd w:id="22"/>
            <w:bookmarkStart w:id="23" w:name="EB48ad52cb094f46ed8eb28ae34e81c139"/>
            <w:r>
              <w:rPr>
                <w:rFonts w:hint="eastAsia"/>
                <w:color w:val="auto"/>
                <w:highlight w:val="none"/>
              </w:rPr>
              <w:t>已落实</w:t>
            </w:r>
            <w:bookmarkEnd w:id="23"/>
          </w:p>
        </w:tc>
      </w:tr>
      <w:tr w14:paraId="1A6E6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97" w:type="dxa"/>
            <w:noWrap w:val="0"/>
            <w:vAlign w:val="center"/>
          </w:tcPr>
          <w:p w14:paraId="1A7586B6">
            <w:pPr>
              <w:jc w:val="center"/>
              <w:rPr>
                <w:rFonts w:hint="eastAsia"/>
                <w:color w:val="auto"/>
                <w:highlight w:val="none"/>
              </w:rPr>
            </w:pPr>
            <w:r>
              <w:rPr>
                <w:rFonts w:hint="eastAsia"/>
                <w:color w:val="auto"/>
                <w:highlight w:val="none"/>
              </w:rPr>
              <w:t>1.2.4</w:t>
            </w:r>
          </w:p>
        </w:tc>
        <w:tc>
          <w:tcPr>
            <w:tcW w:w="2163" w:type="dxa"/>
            <w:noWrap w:val="0"/>
            <w:vAlign w:val="center"/>
          </w:tcPr>
          <w:p w14:paraId="56127082">
            <w:pPr>
              <w:rPr>
                <w:rFonts w:hint="eastAsia"/>
                <w:color w:val="auto"/>
                <w:szCs w:val="24"/>
                <w:highlight w:val="none"/>
              </w:rPr>
            </w:pPr>
            <w:r>
              <w:rPr>
                <w:rFonts w:hint="eastAsia"/>
                <w:color w:val="auto"/>
                <w:highlight w:val="none"/>
              </w:rPr>
              <w:t>项目性质</w:t>
            </w:r>
          </w:p>
        </w:tc>
        <w:tc>
          <w:tcPr>
            <w:tcW w:w="5354" w:type="dxa"/>
            <w:noWrap w:val="0"/>
            <w:vAlign w:val="center"/>
          </w:tcPr>
          <w:p w14:paraId="71107168">
            <w:pPr>
              <w:rPr>
                <w:color w:val="auto"/>
                <w:highlight w:val="none"/>
              </w:rPr>
            </w:pPr>
            <w:bookmarkStart w:id="24" w:name="EB5bd6114b038f4c0a8f525ce09a4db7f3"/>
            <w:r>
              <w:rPr>
                <w:rFonts w:hint="eastAsia"/>
                <w:color w:val="auto"/>
                <w:highlight w:val="none"/>
              </w:rPr>
              <w:t xml:space="preserve"> </w:t>
            </w:r>
            <w:bookmarkEnd w:id="24"/>
            <w:r>
              <w:rPr>
                <w:rFonts w:hint="eastAsia"/>
                <w:color w:val="auto"/>
                <w:highlight w:val="none"/>
                <w:lang w:eastAsia="zh-CN"/>
              </w:rPr>
              <w:t>□</w:t>
            </w:r>
            <w:r>
              <w:rPr>
                <w:rFonts w:hint="eastAsia"/>
                <w:color w:val="auto"/>
                <w:highlight w:val="none"/>
              </w:rPr>
              <w:t>本项目不属于政府采购工程，不执行政府采购政策。</w:t>
            </w:r>
          </w:p>
          <w:p w14:paraId="22EDC4F9">
            <w:pPr>
              <w:rPr>
                <w:rFonts w:hint="eastAsia"/>
                <w:color w:val="auto"/>
                <w:highlight w:val="none"/>
              </w:rPr>
            </w:pPr>
            <w:bookmarkStart w:id="25" w:name="EB50dc4ea7965d401da5b7f1ad3ba400c2"/>
            <w:r>
              <w:rPr>
                <w:rFonts w:hint="eastAsia"/>
                <w:color w:val="auto"/>
                <w:highlight w:val="none"/>
              </w:rPr>
              <w:t xml:space="preserve"> </w:t>
            </w:r>
            <w:bookmarkEnd w:id="25"/>
            <w:r>
              <w:rPr>
                <w:rFonts w:hint="eastAsia"/>
                <w:color w:val="auto"/>
                <w:highlight w:val="none"/>
                <w:lang w:eastAsia="zh-CN"/>
              </w:rPr>
              <w:t>☑</w:t>
            </w:r>
            <w:r>
              <w:rPr>
                <w:rFonts w:hint="eastAsia"/>
                <w:color w:val="auto"/>
                <w:highlight w:val="none"/>
              </w:rPr>
              <w:t>本项目属于政府采购工程，执行支持中小企业发展政策。</w:t>
            </w:r>
          </w:p>
          <w:p w14:paraId="24EF0853">
            <w:pPr>
              <w:rPr>
                <w:rFonts w:hint="eastAsia"/>
                <w:color w:val="auto"/>
                <w:highlight w:val="none"/>
              </w:rPr>
            </w:pPr>
            <w:r>
              <w:rPr>
                <w:rFonts w:hint="eastAsia"/>
                <w:color w:val="auto"/>
                <w:highlight w:val="none"/>
              </w:rPr>
              <w:t>采购标的对应的中小企业划型标准所属行业为建筑业。</w:t>
            </w:r>
          </w:p>
        </w:tc>
      </w:tr>
      <w:tr w14:paraId="5C768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897" w:type="dxa"/>
            <w:noWrap w:val="0"/>
            <w:vAlign w:val="center"/>
          </w:tcPr>
          <w:p w14:paraId="09A45975">
            <w:pPr>
              <w:jc w:val="center"/>
              <w:rPr>
                <w:rFonts w:hint="eastAsia"/>
                <w:color w:val="auto"/>
                <w:highlight w:val="none"/>
              </w:rPr>
            </w:pPr>
            <w:r>
              <w:rPr>
                <w:rFonts w:hint="eastAsia"/>
                <w:color w:val="auto"/>
                <w:highlight w:val="none"/>
              </w:rPr>
              <w:t>1.3.1</w:t>
            </w:r>
          </w:p>
        </w:tc>
        <w:tc>
          <w:tcPr>
            <w:tcW w:w="2163" w:type="dxa"/>
            <w:noWrap w:val="0"/>
            <w:vAlign w:val="center"/>
          </w:tcPr>
          <w:p w14:paraId="1479D6F2">
            <w:pPr>
              <w:rPr>
                <w:rFonts w:hint="eastAsia"/>
                <w:color w:val="auto"/>
                <w:highlight w:val="none"/>
              </w:rPr>
            </w:pPr>
            <w:r>
              <w:rPr>
                <w:rFonts w:hint="eastAsia"/>
                <w:color w:val="auto"/>
                <w:highlight w:val="none"/>
              </w:rPr>
              <w:t>招标范围</w:t>
            </w:r>
          </w:p>
        </w:tc>
        <w:tc>
          <w:tcPr>
            <w:tcW w:w="5354" w:type="dxa"/>
            <w:noWrap w:val="0"/>
            <w:vAlign w:val="center"/>
          </w:tcPr>
          <w:p w14:paraId="49857FE1">
            <w:pPr>
              <w:rPr>
                <w:rFonts w:ascii="宋体" w:hAnsi="宋体" w:cs="宋体"/>
                <w:color w:val="000000"/>
                <w:kern w:val="0"/>
                <w:szCs w:val="21"/>
              </w:rPr>
            </w:pPr>
            <w:r>
              <w:rPr>
                <w:rFonts w:ascii="宋体" w:hAnsi="宋体" w:cs="宋体"/>
                <w:color w:val="000000"/>
                <w:kern w:val="0"/>
                <w:szCs w:val="21"/>
              </w:rPr>
              <w:t>施工设计图纸及工程量清单中描述的全部内容</w:t>
            </w:r>
          </w:p>
          <w:p w14:paraId="1581C60D">
            <w:pPr>
              <w:rPr>
                <w:rFonts w:hint="eastAsia"/>
                <w:color w:val="auto"/>
                <w:highlight w:val="none"/>
              </w:rPr>
            </w:pPr>
            <w:r>
              <w:rPr>
                <w:rFonts w:hint="eastAsia"/>
                <w:color w:val="auto"/>
                <w:highlight w:val="none"/>
              </w:rPr>
              <w:t>关于招标范围的详细说明见第七章“技术标准和要求”。</w:t>
            </w:r>
          </w:p>
        </w:tc>
      </w:tr>
      <w:tr w14:paraId="2F6B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897" w:type="dxa"/>
            <w:noWrap w:val="0"/>
            <w:vAlign w:val="center"/>
          </w:tcPr>
          <w:p w14:paraId="0B580834">
            <w:pPr>
              <w:jc w:val="center"/>
              <w:rPr>
                <w:rFonts w:hint="eastAsia"/>
                <w:color w:val="auto"/>
                <w:highlight w:val="none"/>
              </w:rPr>
            </w:pPr>
            <w:r>
              <w:rPr>
                <w:rFonts w:hint="eastAsia"/>
                <w:color w:val="auto"/>
                <w:highlight w:val="none"/>
              </w:rPr>
              <w:t>1.3.2</w:t>
            </w:r>
          </w:p>
        </w:tc>
        <w:tc>
          <w:tcPr>
            <w:tcW w:w="2163" w:type="dxa"/>
            <w:noWrap w:val="0"/>
            <w:vAlign w:val="center"/>
          </w:tcPr>
          <w:p w14:paraId="2BD17DFC">
            <w:pPr>
              <w:rPr>
                <w:rFonts w:hint="eastAsia"/>
                <w:color w:val="auto"/>
                <w:highlight w:val="none"/>
              </w:rPr>
            </w:pPr>
            <w:r>
              <w:rPr>
                <w:rFonts w:hint="eastAsia"/>
                <w:color w:val="auto"/>
                <w:highlight w:val="none"/>
              </w:rPr>
              <w:t>计划工期</w:t>
            </w:r>
          </w:p>
        </w:tc>
        <w:tc>
          <w:tcPr>
            <w:tcW w:w="5354" w:type="dxa"/>
            <w:noWrap w:val="0"/>
            <w:vAlign w:val="center"/>
          </w:tcPr>
          <w:p w14:paraId="1CD1CEDB">
            <w:pPr>
              <w:rPr>
                <w:rFonts w:hint="eastAsia"/>
                <w:color w:val="auto"/>
                <w:highlight w:val="none"/>
              </w:rPr>
            </w:pPr>
            <w:r>
              <w:rPr>
                <w:rFonts w:hint="eastAsia"/>
                <w:color w:val="auto"/>
                <w:highlight w:val="none"/>
              </w:rPr>
              <w:t>计划工期：</w:t>
            </w:r>
            <w:r>
              <w:rPr>
                <w:rFonts w:hint="eastAsia"/>
                <w:color w:val="auto"/>
                <w:highlight w:val="none"/>
                <w:lang w:val="en-US" w:eastAsia="zh-CN"/>
              </w:rPr>
              <w:t>180日历天</w:t>
            </w:r>
          </w:p>
          <w:p w14:paraId="4275BFD2">
            <w:pPr>
              <w:rPr>
                <w:rFonts w:hint="eastAsia"/>
                <w:color w:val="auto"/>
                <w:highlight w:val="none"/>
              </w:rPr>
            </w:pPr>
            <w:r>
              <w:rPr>
                <w:rFonts w:hint="eastAsia"/>
                <w:color w:val="auto"/>
                <w:highlight w:val="none"/>
              </w:rPr>
              <w:t>计划开工日期：</w:t>
            </w:r>
            <w:bookmarkStart w:id="26" w:name="EBa3d429f18a2b41c6ab373b62b6e8fa93"/>
            <w:r>
              <w:rPr>
                <w:rFonts w:hint="eastAsia"/>
                <w:color w:val="auto"/>
                <w:highlight w:val="none"/>
                <w:lang w:val="en-US" w:eastAsia="zh-CN"/>
              </w:rPr>
              <w:t>2026.11.20</w:t>
            </w:r>
            <w:r>
              <w:rPr>
                <w:rFonts w:hint="eastAsia"/>
                <w:color w:val="auto"/>
                <w:highlight w:val="none"/>
              </w:rPr>
              <w:t xml:space="preserve"> </w:t>
            </w:r>
            <w:bookmarkEnd w:id="26"/>
          </w:p>
          <w:p w14:paraId="7BEDD961">
            <w:pPr>
              <w:rPr>
                <w:rFonts w:hint="eastAsia"/>
                <w:color w:val="auto"/>
                <w:highlight w:val="none"/>
              </w:rPr>
            </w:pPr>
            <w:r>
              <w:rPr>
                <w:rFonts w:hint="eastAsia"/>
                <w:color w:val="auto"/>
                <w:highlight w:val="none"/>
              </w:rPr>
              <w:t>计划竣工日期：</w:t>
            </w:r>
            <w:bookmarkStart w:id="27" w:name="EBa0fb05aab70846abae70aea014270618"/>
            <w:r>
              <w:rPr>
                <w:rFonts w:hint="eastAsia"/>
                <w:color w:val="auto"/>
                <w:highlight w:val="none"/>
                <w:lang w:val="en-US" w:eastAsia="zh-CN"/>
              </w:rPr>
              <w:t>2027.05.19</w:t>
            </w:r>
            <w:r>
              <w:rPr>
                <w:rFonts w:hint="eastAsia"/>
                <w:color w:val="auto"/>
                <w:highlight w:val="none"/>
              </w:rPr>
              <w:t xml:space="preserve"> </w:t>
            </w:r>
            <w:bookmarkEnd w:id="27"/>
          </w:p>
          <w:p w14:paraId="172D0B9C">
            <w:pPr>
              <w:rPr>
                <w:rFonts w:hint="eastAsia"/>
                <w:color w:val="auto"/>
                <w:highlight w:val="none"/>
              </w:rPr>
            </w:pPr>
            <w:r>
              <w:rPr>
                <w:rFonts w:hint="eastAsia"/>
                <w:color w:val="auto"/>
                <w:highlight w:val="none"/>
              </w:rPr>
              <w:t>除上述总工期外，发包人还要求以下区段工期：/</w:t>
            </w:r>
          </w:p>
          <w:p w14:paraId="5FB4AE0A">
            <w:pPr>
              <w:rPr>
                <w:rFonts w:hint="eastAsia"/>
                <w:color w:val="auto"/>
                <w:highlight w:val="none"/>
                <w:u w:val="single"/>
              </w:rPr>
            </w:pPr>
            <w:r>
              <w:rPr>
                <w:rFonts w:hint="eastAsia"/>
                <w:color w:val="auto"/>
                <w:highlight w:val="none"/>
              </w:rPr>
              <w:t>有关工期的详细要求见第七章“技术标准和要求”。</w:t>
            </w:r>
          </w:p>
        </w:tc>
      </w:tr>
      <w:tr w14:paraId="2A354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897" w:type="dxa"/>
            <w:noWrap w:val="0"/>
            <w:vAlign w:val="center"/>
          </w:tcPr>
          <w:p w14:paraId="26903FFF">
            <w:pPr>
              <w:jc w:val="center"/>
              <w:rPr>
                <w:rFonts w:hint="eastAsia"/>
                <w:color w:val="auto"/>
                <w:highlight w:val="none"/>
              </w:rPr>
            </w:pPr>
            <w:r>
              <w:rPr>
                <w:rFonts w:hint="eastAsia"/>
                <w:color w:val="auto"/>
                <w:highlight w:val="none"/>
              </w:rPr>
              <w:t>1.3.3</w:t>
            </w:r>
          </w:p>
        </w:tc>
        <w:tc>
          <w:tcPr>
            <w:tcW w:w="2163" w:type="dxa"/>
            <w:noWrap w:val="0"/>
            <w:vAlign w:val="center"/>
          </w:tcPr>
          <w:p w14:paraId="3501A911">
            <w:pPr>
              <w:rPr>
                <w:rFonts w:hint="eastAsia"/>
                <w:color w:val="auto"/>
                <w:highlight w:val="none"/>
              </w:rPr>
            </w:pPr>
            <w:r>
              <w:rPr>
                <w:rFonts w:hint="eastAsia"/>
                <w:color w:val="auto"/>
                <w:highlight w:val="none"/>
              </w:rPr>
              <w:t>质量要求</w:t>
            </w:r>
          </w:p>
        </w:tc>
        <w:tc>
          <w:tcPr>
            <w:tcW w:w="5354" w:type="dxa"/>
            <w:noWrap w:val="0"/>
            <w:vAlign w:val="center"/>
          </w:tcPr>
          <w:p w14:paraId="1FC9D352">
            <w:pPr>
              <w:rPr>
                <w:rFonts w:hint="eastAsia"/>
                <w:color w:val="auto"/>
                <w:highlight w:val="none"/>
              </w:rPr>
            </w:pPr>
            <w:r>
              <w:rPr>
                <w:rFonts w:hint="eastAsia"/>
                <w:color w:val="auto"/>
                <w:highlight w:val="none"/>
              </w:rPr>
              <w:t>质量目标：符合设计要求，达到国家现行验收规范合格标准</w:t>
            </w:r>
          </w:p>
          <w:p w14:paraId="1E1EDABA">
            <w:pPr>
              <w:rPr>
                <w:rFonts w:hint="eastAsia"/>
                <w:color w:val="auto"/>
                <w:highlight w:val="none"/>
              </w:rPr>
            </w:pPr>
            <w:r>
              <w:rPr>
                <w:rFonts w:hint="eastAsia"/>
                <w:color w:val="auto"/>
                <w:highlight w:val="none"/>
              </w:rPr>
              <w:t>关于质量要求的详细说明见第七章“技术标准和要求”。</w:t>
            </w:r>
          </w:p>
        </w:tc>
      </w:tr>
      <w:tr w14:paraId="68F6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897" w:type="dxa"/>
            <w:noWrap w:val="0"/>
            <w:vAlign w:val="center"/>
          </w:tcPr>
          <w:p w14:paraId="387056D2">
            <w:pPr>
              <w:jc w:val="center"/>
              <w:rPr>
                <w:rFonts w:hint="eastAsia"/>
                <w:color w:val="auto"/>
                <w:highlight w:val="none"/>
              </w:rPr>
            </w:pPr>
            <w:r>
              <w:rPr>
                <w:rFonts w:hint="eastAsia"/>
                <w:color w:val="auto"/>
                <w:highlight w:val="none"/>
              </w:rPr>
              <w:t>1.3.4</w:t>
            </w:r>
          </w:p>
        </w:tc>
        <w:tc>
          <w:tcPr>
            <w:tcW w:w="2163" w:type="dxa"/>
            <w:noWrap w:val="0"/>
            <w:vAlign w:val="center"/>
          </w:tcPr>
          <w:p w14:paraId="37C2E477">
            <w:pPr>
              <w:rPr>
                <w:rFonts w:hint="eastAsia"/>
                <w:color w:val="auto"/>
                <w:highlight w:val="none"/>
              </w:rPr>
            </w:pPr>
            <w:r>
              <w:rPr>
                <w:rFonts w:hint="eastAsia"/>
                <w:color w:val="auto"/>
                <w:highlight w:val="none"/>
              </w:rPr>
              <w:t>政府采购政策</w:t>
            </w:r>
          </w:p>
        </w:tc>
        <w:tc>
          <w:tcPr>
            <w:tcW w:w="5354" w:type="dxa"/>
            <w:noWrap w:val="0"/>
            <w:vAlign w:val="center"/>
          </w:tcPr>
          <w:p w14:paraId="052FFF37">
            <w:pPr>
              <w:rPr>
                <w:color w:val="auto"/>
                <w:highlight w:val="none"/>
              </w:rPr>
            </w:pPr>
            <w:r>
              <w:rPr>
                <w:rFonts w:hint="eastAsia"/>
                <w:color w:val="auto"/>
                <w:highlight w:val="none"/>
              </w:rPr>
              <w:t>根据相关规定，本项目采用以下方式支持中小企业发展</w:t>
            </w:r>
          </w:p>
          <w:p w14:paraId="23BF030A">
            <w:pPr>
              <w:rPr>
                <w:rFonts w:hint="eastAsia"/>
                <w:color w:val="auto"/>
                <w:highlight w:val="none"/>
              </w:rPr>
            </w:pPr>
            <w:bookmarkStart w:id="28" w:name="EB489cbe5595fc4753924dea518cf8e910"/>
            <w:r>
              <w:rPr>
                <w:rFonts w:hint="eastAsia"/>
                <w:color w:val="auto"/>
                <w:highlight w:val="none"/>
              </w:rPr>
              <w:t xml:space="preserve"> </w:t>
            </w:r>
            <w:bookmarkEnd w:id="28"/>
            <w:r>
              <w:rPr>
                <w:rFonts w:hint="eastAsia"/>
                <w:color w:val="auto"/>
                <w:highlight w:val="none"/>
                <w:lang w:eastAsia="zh-CN"/>
              </w:rPr>
              <w:t>☑</w:t>
            </w:r>
            <w:r>
              <w:rPr>
                <w:rFonts w:hint="eastAsia"/>
                <w:color w:val="auto"/>
                <w:highlight w:val="none"/>
              </w:rPr>
              <w:t>项目整体预留专门面向中小企业采购。</w:t>
            </w:r>
          </w:p>
          <w:p w14:paraId="1AAE0DB1">
            <w:pPr>
              <w:rPr>
                <w:rFonts w:hint="eastAsia"/>
                <w:color w:val="auto"/>
                <w:highlight w:val="none"/>
              </w:rPr>
            </w:pPr>
            <w:bookmarkStart w:id="29" w:name="EBdd1b3f836f184bb3b751d9007e711dde"/>
            <w:r>
              <w:rPr>
                <w:rFonts w:hint="eastAsia"/>
                <w:color w:val="auto"/>
                <w:highlight w:val="none"/>
              </w:rPr>
              <w:t xml:space="preserve"> </w:t>
            </w:r>
            <w:bookmarkEnd w:id="29"/>
            <w:r>
              <w:rPr>
                <w:rFonts w:hint="eastAsia"/>
                <w:color w:val="auto"/>
                <w:highlight w:val="none"/>
              </w:rPr>
              <w:t>□项目整体预留专门面向小微企业采购。</w:t>
            </w:r>
          </w:p>
          <w:p w14:paraId="2EFD266F">
            <w:pPr>
              <w:rPr>
                <w:rFonts w:hint="eastAsia"/>
                <w:color w:val="auto"/>
                <w:highlight w:val="none"/>
              </w:rPr>
            </w:pPr>
            <w:bookmarkStart w:id="30" w:name="EB2bb3a54c1bce47c7bc0b72a55b733e87"/>
            <w:r>
              <w:rPr>
                <w:rFonts w:hint="eastAsia"/>
                <w:color w:val="auto"/>
                <w:highlight w:val="none"/>
              </w:rPr>
              <w:t xml:space="preserve"> </w:t>
            </w:r>
            <w:bookmarkEnd w:id="30"/>
            <w:r>
              <w:rPr>
                <w:rFonts w:hint="eastAsia"/>
                <w:color w:val="auto"/>
                <w:highlight w:val="non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06148609">
            <w:pPr>
              <w:rPr>
                <w:rFonts w:hint="eastAsia"/>
                <w:color w:val="auto"/>
                <w:highlight w:val="none"/>
              </w:rPr>
            </w:pPr>
          </w:p>
          <w:p w14:paraId="438B1966">
            <w:pPr>
              <w:rPr>
                <w:rFonts w:hint="eastAsia"/>
                <w:color w:val="auto"/>
                <w:highlight w:val="none"/>
              </w:rPr>
            </w:pPr>
            <w:r>
              <w:rPr>
                <w:rFonts w:hint="eastAsia"/>
                <w:color w:val="auto"/>
                <w:highlight w:val="none"/>
              </w:rPr>
              <w:t>根据相关规定，本项目未预留份额专门面向中小企业采购，但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14:paraId="56D1E62E">
            <w:pPr>
              <w:rPr>
                <w:rFonts w:hint="eastAsia"/>
                <w:color w:val="auto"/>
                <w:highlight w:val="none"/>
              </w:rPr>
            </w:pPr>
            <w:r>
              <w:rPr>
                <w:rFonts w:hint="eastAsia"/>
                <w:color w:val="auto"/>
                <w:highlight w:val="none"/>
              </w:rPr>
              <w:t>　本项目不属于政府采购工程，不执行政府采购政策</w:t>
            </w:r>
          </w:p>
        </w:tc>
      </w:tr>
      <w:tr w14:paraId="07CB3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jc w:val="center"/>
        </w:trPr>
        <w:tc>
          <w:tcPr>
            <w:tcW w:w="897" w:type="dxa"/>
            <w:noWrap w:val="0"/>
            <w:vAlign w:val="center"/>
          </w:tcPr>
          <w:p w14:paraId="39045428">
            <w:pPr>
              <w:jc w:val="center"/>
              <w:rPr>
                <w:rFonts w:hint="eastAsia"/>
                <w:color w:val="auto"/>
                <w:highlight w:val="none"/>
              </w:rPr>
            </w:pPr>
            <w:r>
              <w:rPr>
                <w:rFonts w:hint="eastAsia"/>
                <w:color w:val="auto"/>
                <w:highlight w:val="none"/>
              </w:rPr>
              <w:t>1.4.1</w:t>
            </w:r>
          </w:p>
        </w:tc>
        <w:tc>
          <w:tcPr>
            <w:tcW w:w="2163" w:type="dxa"/>
            <w:noWrap w:val="0"/>
            <w:vAlign w:val="center"/>
          </w:tcPr>
          <w:p w14:paraId="19AC9A38">
            <w:pPr>
              <w:rPr>
                <w:rFonts w:hint="eastAsia"/>
                <w:color w:val="auto"/>
                <w:highlight w:val="none"/>
              </w:rPr>
            </w:pPr>
            <w:r>
              <w:rPr>
                <w:rFonts w:hint="eastAsia"/>
                <w:color w:val="auto"/>
                <w:highlight w:val="none"/>
              </w:rPr>
              <w:t>投标人资质条件、</w:t>
            </w:r>
          </w:p>
          <w:p w14:paraId="14FC4DEB">
            <w:pPr>
              <w:rPr>
                <w:rFonts w:hint="eastAsia"/>
                <w:color w:val="auto"/>
                <w:highlight w:val="none"/>
              </w:rPr>
            </w:pPr>
            <w:r>
              <w:rPr>
                <w:rFonts w:hint="eastAsia"/>
                <w:color w:val="auto"/>
                <w:highlight w:val="none"/>
              </w:rPr>
              <w:t>能力和信誉</w:t>
            </w:r>
          </w:p>
        </w:tc>
        <w:tc>
          <w:tcPr>
            <w:tcW w:w="5354" w:type="dxa"/>
            <w:noWrap w:val="0"/>
            <w:vAlign w:val="center"/>
          </w:tcPr>
          <w:p w14:paraId="17CF1717">
            <w:pPr>
              <w:rPr>
                <w:rFonts w:hint="eastAsia"/>
                <w:color w:val="auto"/>
                <w:highlight w:val="none"/>
              </w:rPr>
            </w:pPr>
            <w:r>
              <w:rPr>
                <w:rFonts w:hint="eastAsia"/>
                <w:b/>
                <w:color w:val="auto"/>
                <w:highlight w:val="none"/>
              </w:rPr>
              <w:t>资质条件：</w:t>
            </w:r>
            <w:r>
              <w:rPr>
                <w:rFonts w:hint="eastAsia"/>
                <w:color w:val="auto"/>
                <w:highlight w:val="none"/>
              </w:rPr>
              <w:t>见本章附录一</w:t>
            </w:r>
          </w:p>
          <w:p w14:paraId="2430F593">
            <w:pPr>
              <w:ind w:left="1136" w:hanging="1136" w:hangingChars="539"/>
              <w:rPr>
                <w:rFonts w:hint="eastAsia"/>
                <w:color w:val="auto"/>
                <w:highlight w:val="none"/>
              </w:rPr>
            </w:pPr>
            <w:r>
              <w:rPr>
                <w:rFonts w:hint="eastAsia"/>
                <w:b/>
                <w:color w:val="auto"/>
                <w:highlight w:val="none"/>
              </w:rPr>
              <w:t>财务要求：</w:t>
            </w:r>
            <w:r>
              <w:rPr>
                <w:rFonts w:hint="eastAsia"/>
                <w:color w:val="auto"/>
                <w:highlight w:val="none"/>
              </w:rPr>
              <w:t>见本章附录一</w:t>
            </w:r>
          </w:p>
          <w:p w14:paraId="21924EC0">
            <w:pPr>
              <w:ind w:left="1136" w:hanging="1136" w:hangingChars="539"/>
              <w:rPr>
                <w:rFonts w:hint="eastAsia"/>
                <w:color w:val="auto"/>
                <w:highlight w:val="none"/>
              </w:rPr>
            </w:pPr>
            <w:r>
              <w:rPr>
                <w:rFonts w:hint="eastAsia"/>
                <w:b/>
                <w:color w:val="auto"/>
                <w:highlight w:val="none"/>
              </w:rPr>
              <w:t>业绩要求：</w:t>
            </w:r>
            <w:r>
              <w:rPr>
                <w:rFonts w:hint="eastAsia"/>
                <w:color w:val="auto"/>
                <w:highlight w:val="none"/>
              </w:rPr>
              <w:t>见本章附录一且与招标公告或投标邀请书要求一致</w:t>
            </w:r>
          </w:p>
          <w:p w14:paraId="69B603B0">
            <w:pPr>
              <w:rPr>
                <w:rFonts w:hint="eastAsia"/>
                <w:color w:val="auto"/>
                <w:highlight w:val="none"/>
              </w:rPr>
            </w:pPr>
            <w:r>
              <w:rPr>
                <w:rFonts w:hint="eastAsia"/>
                <w:b/>
                <w:color w:val="auto"/>
                <w:highlight w:val="none"/>
              </w:rPr>
              <w:t>信誉要求：</w:t>
            </w:r>
            <w:r>
              <w:rPr>
                <w:rFonts w:hint="eastAsia"/>
                <w:color w:val="auto"/>
                <w:highlight w:val="none"/>
              </w:rPr>
              <w:t>见本章附录一</w:t>
            </w:r>
          </w:p>
          <w:p w14:paraId="5C65F0E6">
            <w:pPr>
              <w:rPr>
                <w:rFonts w:hint="eastAsia"/>
                <w:color w:val="auto"/>
                <w:highlight w:val="none"/>
              </w:rPr>
            </w:pPr>
            <w:r>
              <w:rPr>
                <w:rFonts w:hint="eastAsia"/>
                <w:b/>
                <w:color w:val="auto"/>
                <w:highlight w:val="none"/>
              </w:rPr>
              <w:t>项目经理资格：</w:t>
            </w:r>
            <w:r>
              <w:rPr>
                <w:rFonts w:hint="eastAsia"/>
                <w:color w:val="auto"/>
                <w:highlight w:val="none"/>
              </w:rPr>
              <w:t>见本章附录一</w:t>
            </w:r>
          </w:p>
          <w:p w14:paraId="74242CCD">
            <w:pPr>
              <w:rPr>
                <w:rFonts w:hint="eastAsia"/>
                <w:color w:val="auto"/>
                <w:highlight w:val="none"/>
              </w:rPr>
            </w:pPr>
            <w:r>
              <w:rPr>
                <w:rFonts w:hint="eastAsia"/>
                <w:b/>
                <w:color w:val="auto"/>
                <w:highlight w:val="none"/>
              </w:rPr>
              <w:t>其他要求：</w:t>
            </w:r>
            <w:r>
              <w:rPr>
                <w:rFonts w:hint="eastAsia"/>
                <w:color w:val="auto"/>
                <w:highlight w:val="none"/>
              </w:rPr>
              <w:t>见本章附录一</w:t>
            </w:r>
          </w:p>
        </w:tc>
      </w:tr>
      <w:tr w14:paraId="3BD8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897" w:type="dxa"/>
            <w:noWrap w:val="0"/>
            <w:vAlign w:val="center"/>
          </w:tcPr>
          <w:p w14:paraId="5E59026E">
            <w:pPr>
              <w:jc w:val="center"/>
              <w:rPr>
                <w:rFonts w:hint="eastAsia"/>
                <w:color w:val="auto"/>
                <w:highlight w:val="none"/>
              </w:rPr>
            </w:pPr>
            <w:r>
              <w:rPr>
                <w:rFonts w:hint="eastAsia"/>
                <w:color w:val="auto"/>
                <w:highlight w:val="none"/>
              </w:rPr>
              <w:t>1.4.2</w:t>
            </w:r>
          </w:p>
        </w:tc>
        <w:tc>
          <w:tcPr>
            <w:tcW w:w="2163" w:type="dxa"/>
            <w:noWrap w:val="0"/>
            <w:vAlign w:val="center"/>
          </w:tcPr>
          <w:p w14:paraId="6499D469">
            <w:pPr>
              <w:rPr>
                <w:rFonts w:hint="eastAsia"/>
                <w:color w:val="auto"/>
                <w:highlight w:val="none"/>
              </w:rPr>
            </w:pPr>
            <w:r>
              <w:rPr>
                <w:rFonts w:hint="eastAsia"/>
                <w:color w:val="auto"/>
                <w:highlight w:val="none"/>
              </w:rPr>
              <w:t>是否接受联合体投标</w:t>
            </w:r>
          </w:p>
        </w:tc>
        <w:tc>
          <w:tcPr>
            <w:tcW w:w="5354" w:type="dxa"/>
            <w:noWrap w:val="0"/>
            <w:vAlign w:val="center"/>
          </w:tcPr>
          <w:p w14:paraId="186156CC">
            <w:pPr>
              <w:rPr>
                <w:color w:val="auto"/>
                <w:highlight w:val="none"/>
              </w:rPr>
            </w:pPr>
            <w:bookmarkStart w:id="31" w:name="EB06b8c6f39c5e4f6ba05048a4990345f9"/>
            <w:bookmarkEnd w:id="31"/>
            <w:r>
              <w:rPr>
                <w:rFonts w:hint="eastAsia"/>
                <w:color w:val="auto"/>
                <w:highlight w:val="none"/>
                <w:lang w:eastAsia="zh-CN"/>
              </w:rPr>
              <w:t>☑</w:t>
            </w:r>
            <w:r>
              <w:rPr>
                <w:rFonts w:hint="eastAsia"/>
                <w:color w:val="auto"/>
                <w:highlight w:val="none"/>
              </w:rPr>
              <w:t>不接受</w:t>
            </w:r>
          </w:p>
          <w:p w14:paraId="304B6F1F">
            <w:pPr>
              <w:rPr>
                <w:rFonts w:hint="eastAsia"/>
                <w:color w:val="auto"/>
                <w:highlight w:val="none"/>
              </w:rPr>
            </w:pPr>
            <w:r>
              <w:rPr>
                <w:rFonts w:hint="eastAsia"/>
                <w:color w:val="auto"/>
                <w:highlight w:val="none"/>
                <w:lang w:eastAsia="zh-CN"/>
              </w:rPr>
              <w:t>□</w:t>
            </w:r>
            <w:r>
              <w:rPr>
                <w:rFonts w:hint="eastAsia"/>
                <w:color w:val="auto"/>
                <w:highlight w:val="none"/>
              </w:rPr>
              <w:t>接受，应满足下列要求：</w:t>
            </w:r>
          </w:p>
        </w:tc>
      </w:tr>
      <w:tr w14:paraId="0A9BA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897" w:type="dxa"/>
            <w:noWrap w:val="0"/>
            <w:vAlign w:val="center"/>
          </w:tcPr>
          <w:p w14:paraId="008C5460">
            <w:pPr>
              <w:jc w:val="center"/>
              <w:rPr>
                <w:rFonts w:hint="eastAsia"/>
                <w:color w:val="auto"/>
                <w:highlight w:val="none"/>
              </w:rPr>
            </w:pPr>
            <w:r>
              <w:rPr>
                <w:rFonts w:hint="eastAsia"/>
                <w:color w:val="auto"/>
                <w:highlight w:val="none"/>
              </w:rPr>
              <w:t>1.4.3</w:t>
            </w:r>
          </w:p>
        </w:tc>
        <w:tc>
          <w:tcPr>
            <w:tcW w:w="2163" w:type="dxa"/>
            <w:noWrap w:val="0"/>
            <w:vAlign w:val="center"/>
          </w:tcPr>
          <w:p w14:paraId="2DC029DE">
            <w:pPr>
              <w:rPr>
                <w:rFonts w:hint="eastAsia"/>
                <w:color w:val="auto"/>
                <w:highlight w:val="none"/>
              </w:rPr>
            </w:pPr>
            <w:r>
              <w:rPr>
                <w:rFonts w:hint="eastAsia"/>
                <w:color w:val="auto"/>
                <w:highlight w:val="none"/>
              </w:rPr>
              <w:t>不得存在的其他情形</w:t>
            </w:r>
          </w:p>
        </w:tc>
        <w:tc>
          <w:tcPr>
            <w:tcW w:w="5354" w:type="dxa"/>
            <w:noWrap w:val="0"/>
            <w:vAlign w:val="center"/>
          </w:tcPr>
          <w:p w14:paraId="10C94C14">
            <w:pPr>
              <w:rPr>
                <w:rFonts w:hint="eastAsia"/>
                <w:color w:val="auto"/>
                <w:highlight w:val="none"/>
              </w:rPr>
            </w:pPr>
            <w:bookmarkStart w:id="32" w:name="EBba01d1ea06e9453fa65855de7110ed47"/>
            <w:r>
              <w:rPr>
                <w:rFonts w:hint="eastAsia"/>
                <w:color w:val="auto"/>
                <w:highlight w:val="none"/>
              </w:rPr>
              <w:t xml:space="preserve"> </w:t>
            </w:r>
            <w:bookmarkEnd w:id="32"/>
            <w:r>
              <w:rPr>
                <w:rFonts w:hint="eastAsia"/>
                <w:color w:val="auto"/>
                <w:highlight w:val="none"/>
              </w:rPr>
              <w:t>/</w:t>
            </w:r>
          </w:p>
        </w:tc>
      </w:tr>
      <w:tr w14:paraId="34B14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897" w:type="dxa"/>
            <w:noWrap w:val="0"/>
            <w:vAlign w:val="center"/>
          </w:tcPr>
          <w:p w14:paraId="40BDD4F3">
            <w:pPr>
              <w:jc w:val="center"/>
              <w:rPr>
                <w:rFonts w:hint="eastAsia"/>
                <w:color w:val="auto"/>
                <w:highlight w:val="none"/>
              </w:rPr>
            </w:pPr>
            <w:r>
              <w:rPr>
                <w:rFonts w:hint="eastAsia"/>
                <w:color w:val="auto"/>
                <w:highlight w:val="none"/>
              </w:rPr>
              <w:t>1.9.1</w:t>
            </w:r>
          </w:p>
        </w:tc>
        <w:tc>
          <w:tcPr>
            <w:tcW w:w="2163" w:type="dxa"/>
            <w:noWrap w:val="0"/>
            <w:vAlign w:val="center"/>
          </w:tcPr>
          <w:p w14:paraId="68B1667A">
            <w:pPr>
              <w:rPr>
                <w:rFonts w:hint="eastAsia"/>
                <w:color w:val="auto"/>
                <w:highlight w:val="none"/>
              </w:rPr>
            </w:pPr>
            <w:r>
              <w:rPr>
                <w:rFonts w:hint="eastAsia"/>
                <w:color w:val="auto"/>
                <w:highlight w:val="none"/>
              </w:rPr>
              <w:t>踏勘现场</w:t>
            </w:r>
          </w:p>
        </w:tc>
        <w:tc>
          <w:tcPr>
            <w:tcW w:w="5354" w:type="dxa"/>
            <w:noWrap w:val="0"/>
            <w:vAlign w:val="center"/>
          </w:tcPr>
          <w:p w14:paraId="3D240BDE">
            <w:pPr>
              <w:rPr>
                <w:color w:val="auto"/>
                <w:highlight w:val="none"/>
              </w:rPr>
            </w:pPr>
            <w:bookmarkStart w:id="33" w:name="EB2b3507497843457484db37d6026f1558"/>
            <w:bookmarkEnd w:id="33"/>
            <w:bookmarkStart w:id="34" w:name="EBdca386b599214e769014deb5772fe50e"/>
            <w:r>
              <w:rPr>
                <w:rFonts w:hint="eastAsia"/>
                <w:color w:val="auto"/>
                <w:highlight w:val="none"/>
              </w:rPr>
              <w:t>☑</w:t>
            </w:r>
            <w:bookmarkEnd w:id="34"/>
            <w:r>
              <w:rPr>
                <w:rFonts w:hint="eastAsia"/>
                <w:color w:val="auto"/>
                <w:highlight w:val="none"/>
              </w:rPr>
              <w:t>不组织</w:t>
            </w:r>
          </w:p>
          <w:p w14:paraId="5D84BFD9">
            <w:pPr>
              <w:rPr>
                <w:rFonts w:hint="eastAsia"/>
                <w:color w:val="auto"/>
                <w:highlight w:val="none"/>
              </w:rPr>
            </w:pPr>
            <w:bookmarkStart w:id="35" w:name="EBde505258acea448eb5baf53403d57519"/>
            <w:r>
              <w:rPr>
                <w:rFonts w:hint="eastAsia"/>
                <w:color w:val="auto"/>
                <w:highlight w:val="none"/>
              </w:rPr>
              <w:t>□</w:t>
            </w:r>
            <w:bookmarkEnd w:id="35"/>
            <w:r>
              <w:rPr>
                <w:rFonts w:hint="eastAsia"/>
                <w:color w:val="auto"/>
                <w:highlight w:val="none"/>
              </w:rPr>
              <w:t>组织</w:t>
            </w:r>
          </w:p>
          <w:p w14:paraId="4D18D867">
            <w:pPr>
              <w:rPr>
                <w:rFonts w:hint="eastAsia"/>
                <w:color w:val="auto"/>
                <w:highlight w:val="none"/>
              </w:rPr>
            </w:pPr>
            <w:r>
              <w:rPr>
                <w:rFonts w:hint="eastAsia"/>
                <w:color w:val="auto"/>
                <w:highlight w:val="none"/>
              </w:rPr>
              <w:t>踏勘时间：</w:t>
            </w:r>
            <w:bookmarkStart w:id="36" w:name="EB6b51d79f731a42daab8eba9b86349f53"/>
            <w:r>
              <w:rPr>
                <w:rFonts w:hint="eastAsia"/>
                <w:color w:val="auto"/>
                <w:highlight w:val="none"/>
              </w:rPr>
              <w:t xml:space="preserve"> </w:t>
            </w:r>
            <w:bookmarkEnd w:id="36"/>
            <w:r>
              <w:rPr>
                <w:rFonts w:hint="eastAsia"/>
                <w:color w:val="auto"/>
                <w:highlight w:val="none"/>
              </w:rPr>
              <w:t>/</w:t>
            </w:r>
          </w:p>
          <w:p w14:paraId="3827B094">
            <w:pPr>
              <w:rPr>
                <w:rFonts w:hint="eastAsia"/>
                <w:color w:val="auto"/>
                <w:highlight w:val="none"/>
              </w:rPr>
            </w:pPr>
            <w:r>
              <w:rPr>
                <w:rFonts w:hint="eastAsia"/>
                <w:color w:val="auto"/>
                <w:highlight w:val="none"/>
              </w:rPr>
              <w:t>踏勘集中地点：/</w:t>
            </w:r>
          </w:p>
        </w:tc>
      </w:tr>
      <w:tr w14:paraId="4A58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97" w:type="dxa"/>
            <w:noWrap w:val="0"/>
            <w:vAlign w:val="center"/>
          </w:tcPr>
          <w:p w14:paraId="659BA8B2">
            <w:pPr>
              <w:jc w:val="center"/>
              <w:rPr>
                <w:rFonts w:hint="eastAsia"/>
                <w:color w:val="auto"/>
                <w:highlight w:val="none"/>
              </w:rPr>
            </w:pPr>
            <w:r>
              <w:rPr>
                <w:rFonts w:hint="eastAsia"/>
                <w:color w:val="auto"/>
                <w:highlight w:val="none"/>
              </w:rPr>
              <w:t>1.10.1</w:t>
            </w:r>
          </w:p>
        </w:tc>
        <w:tc>
          <w:tcPr>
            <w:tcW w:w="2163" w:type="dxa"/>
            <w:noWrap w:val="0"/>
            <w:vAlign w:val="center"/>
          </w:tcPr>
          <w:p w14:paraId="347ACDFC">
            <w:pPr>
              <w:rPr>
                <w:rFonts w:hint="eastAsia"/>
                <w:color w:val="auto"/>
                <w:highlight w:val="none"/>
              </w:rPr>
            </w:pPr>
            <w:r>
              <w:rPr>
                <w:rFonts w:hint="eastAsia"/>
                <w:color w:val="auto"/>
                <w:highlight w:val="none"/>
              </w:rPr>
              <w:t>投标预备会</w:t>
            </w:r>
          </w:p>
        </w:tc>
        <w:tc>
          <w:tcPr>
            <w:tcW w:w="5354" w:type="dxa"/>
            <w:noWrap w:val="0"/>
            <w:vAlign w:val="center"/>
          </w:tcPr>
          <w:p w14:paraId="3DC475FE">
            <w:pPr>
              <w:rPr>
                <w:color w:val="auto"/>
                <w:highlight w:val="none"/>
              </w:rPr>
            </w:pPr>
            <w:bookmarkStart w:id="37" w:name="EB8cccd03e322744b58e65fbc4b9b99511"/>
            <w:bookmarkEnd w:id="37"/>
            <w:bookmarkStart w:id="38" w:name="EB2d2a760b81f34d12a8d7c7efe9434e3d"/>
            <w:r>
              <w:rPr>
                <w:rFonts w:hint="eastAsia"/>
                <w:color w:val="auto"/>
                <w:highlight w:val="none"/>
              </w:rPr>
              <w:t>☑</w:t>
            </w:r>
            <w:bookmarkEnd w:id="38"/>
            <w:r>
              <w:rPr>
                <w:rFonts w:hint="eastAsia"/>
                <w:color w:val="auto"/>
                <w:highlight w:val="none"/>
              </w:rPr>
              <w:t>不召开</w:t>
            </w:r>
          </w:p>
          <w:p w14:paraId="059DCBF8">
            <w:pPr>
              <w:rPr>
                <w:rFonts w:hint="eastAsia"/>
                <w:color w:val="auto"/>
                <w:highlight w:val="none"/>
              </w:rPr>
            </w:pPr>
            <w:bookmarkStart w:id="39" w:name="EBfaf8e9a0cf2d4b538f9560ab0275abd9"/>
            <w:r>
              <w:rPr>
                <w:rFonts w:hint="eastAsia"/>
                <w:color w:val="auto"/>
                <w:highlight w:val="none"/>
              </w:rPr>
              <w:t>□</w:t>
            </w:r>
            <w:bookmarkEnd w:id="39"/>
            <w:r>
              <w:rPr>
                <w:rFonts w:hint="eastAsia"/>
                <w:color w:val="auto"/>
                <w:highlight w:val="none"/>
              </w:rPr>
              <w:t>召开，</w:t>
            </w:r>
          </w:p>
          <w:p w14:paraId="0E319728">
            <w:pPr>
              <w:rPr>
                <w:rFonts w:hint="eastAsia"/>
                <w:color w:val="auto"/>
                <w:highlight w:val="none"/>
              </w:rPr>
            </w:pPr>
            <w:r>
              <w:rPr>
                <w:rFonts w:hint="eastAsia"/>
                <w:color w:val="auto"/>
                <w:highlight w:val="none"/>
              </w:rPr>
              <w:t>召开时间：</w:t>
            </w:r>
            <w:bookmarkStart w:id="40" w:name="EBd826960d4b784621977ae9f1ad153238"/>
            <w:r>
              <w:rPr>
                <w:rFonts w:hint="eastAsia"/>
                <w:color w:val="auto"/>
                <w:highlight w:val="none"/>
              </w:rPr>
              <w:t xml:space="preserve"> </w:t>
            </w:r>
            <w:bookmarkEnd w:id="40"/>
            <w:r>
              <w:rPr>
                <w:rFonts w:hint="eastAsia"/>
                <w:color w:val="auto"/>
                <w:highlight w:val="none"/>
              </w:rPr>
              <w:t>/</w:t>
            </w:r>
          </w:p>
          <w:p w14:paraId="3F192126">
            <w:pPr>
              <w:rPr>
                <w:rFonts w:hint="eastAsia"/>
                <w:color w:val="auto"/>
                <w:highlight w:val="none"/>
              </w:rPr>
            </w:pPr>
            <w:r>
              <w:rPr>
                <w:rFonts w:hint="eastAsia"/>
                <w:color w:val="auto"/>
                <w:highlight w:val="none"/>
              </w:rPr>
              <w:t>召开地点：/</w:t>
            </w:r>
          </w:p>
        </w:tc>
      </w:tr>
      <w:tr w14:paraId="5700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7" w:type="dxa"/>
            <w:noWrap w:val="0"/>
            <w:vAlign w:val="center"/>
          </w:tcPr>
          <w:p w14:paraId="131C2319">
            <w:pPr>
              <w:jc w:val="center"/>
              <w:rPr>
                <w:rFonts w:hint="eastAsia"/>
                <w:color w:val="auto"/>
                <w:highlight w:val="none"/>
              </w:rPr>
            </w:pPr>
            <w:r>
              <w:rPr>
                <w:rFonts w:hint="eastAsia"/>
                <w:color w:val="auto"/>
                <w:highlight w:val="none"/>
              </w:rPr>
              <w:t>1.10.2</w:t>
            </w:r>
          </w:p>
        </w:tc>
        <w:tc>
          <w:tcPr>
            <w:tcW w:w="2163" w:type="dxa"/>
            <w:noWrap w:val="0"/>
            <w:vAlign w:val="center"/>
          </w:tcPr>
          <w:p w14:paraId="22C0B8F4">
            <w:pPr>
              <w:rPr>
                <w:rFonts w:hint="eastAsia"/>
                <w:color w:val="auto"/>
                <w:highlight w:val="none"/>
              </w:rPr>
            </w:pPr>
            <w:r>
              <w:rPr>
                <w:rFonts w:hint="eastAsia"/>
                <w:color w:val="auto"/>
                <w:highlight w:val="none"/>
              </w:rPr>
              <w:t>投标人提出问题的</w:t>
            </w:r>
          </w:p>
          <w:p w14:paraId="55EE0532">
            <w:pPr>
              <w:rPr>
                <w:rFonts w:hint="eastAsia"/>
                <w:color w:val="auto"/>
                <w:highlight w:val="none"/>
              </w:rPr>
            </w:pPr>
            <w:r>
              <w:rPr>
                <w:rFonts w:hint="eastAsia"/>
                <w:color w:val="auto"/>
                <w:highlight w:val="none"/>
              </w:rPr>
              <w:t>截止时间</w:t>
            </w:r>
          </w:p>
        </w:tc>
        <w:tc>
          <w:tcPr>
            <w:tcW w:w="5354" w:type="dxa"/>
            <w:noWrap w:val="0"/>
            <w:vAlign w:val="center"/>
          </w:tcPr>
          <w:p w14:paraId="1D8C5239">
            <w:pPr>
              <w:spacing w:line="312" w:lineRule="auto"/>
              <w:rPr>
                <w:rFonts w:hint="eastAsia"/>
                <w:color w:val="auto"/>
                <w:highlight w:val="none"/>
              </w:rPr>
            </w:pPr>
            <w:r>
              <w:rPr>
                <w:rFonts w:hint="eastAsia"/>
                <w:color w:val="auto"/>
                <w:highlight w:val="none"/>
              </w:rPr>
              <w:t>召开投标预备会</w:t>
            </w:r>
            <w:r>
              <w:rPr>
                <w:rFonts w:hint="eastAsia"/>
                <w:color w:val="auto"/>
                <w:szCs w:val="21"/>
                <w:highlight w:val="none"/>
              </w:rPr>
              <w:t>之日</w:t>
            </w:r>
            <w:bookmarkStart w:id="41" w:name="EB86cdbfcf5af94f9fb3026693d72b640f"/>
            <w:r>
              <w:rPr>
                <w:rFonts w:hint="eastAsia"/>
                <w:color w:val="auto"/>
                <w:szCs w:val="21"/>
                <w:highlight w:val="none"/>
              </w:rPr>
              <w:t xml:space="preserve"> </w:t>
            </w:r>
            <w:bookmarkEnd w:id="41"/>
            <w:r>
              <w:rPr>
                <w:rFonts w:hint="eastAsia"/>
                <w:color w:val="auto"/>
                <w:szCs w:val="21"/>
                <w:highlight w:val="none"/>
              </w:rPr>
              <w:t>/ 日前</w:t>
            </w:r>
          </w:p>
        </w:tc>
      </w:tr>
      <w:tr w14:paraId="7170A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jc w:val="center"/>
        </w:trPr>
        <w:tc>
          <w:tcPr>
            <w:tcW w:w="897" w:type="dxa"/>
            <w:noWrap w:val="0"/>
            <w:vAlign w:val="center"/>
          </w:tcPr>
          <w:p w14:paraId="1EB19158">
            <w:pPr>
              <w:jc w:val="center"/>
              <w:rPr>
                <w:rFonts w:hint="eastAsia"/>
                <w:color w:val="auto"/>
                <w:highlight w:val="none"/>
              </w:rPr>
            </w:pPr>
            <w:r>
              <w:rPr>
                <w:rFonts w:hint="eastAsia"/>
                <w:color w:val="auto"/>
                <w:highlight w:val="none"/>
              </w:rPr>
              <w:t>1.11</w:t>
            </w:r>
          </w:p>
        </w:tc>
        <w:tc>
          <w:tcPr>
            <w:tcW w:w="2163" w:type="dxa"/>
            <w:noWrap w:val="0"/>
            <w:vAlign w:val="center"/>
          </w:tcPr>
          <w:p w14:paraId="2614B717">
            <w:pPr>
              <w:rPr>
                <w:rFonts w:hint="eastAsia"/>
                <w:color w:val="auto"/>
                <w:highlight w:val="none"/>
              </w:rPr>
            </w:pPr>
            <w:r>
              <w:rPr>
                <w:rFonts w:hint="eastAsia"/>
                <w:color w:val="auto"/>
                <w:highlight w:val="none"/>
              </w:rPr>
              <w:t>分  包</w:t>
            </w:r>
          </w:p>
        </w:tc>
        <w:tc>
          <w:tcPr>
            <w:tcW w:w="5354" w:type="dxa"/>
            <w:noWrap w:val="0"/>
            <w:vAlign w:val="center"/>
          </w:tcPr>
          <w:p w14:paraId="78A924EA">
            <w:pPr>
              <w:rPr>
                <w:color w:val="auto"/>
                <w:highlight w:val="none"/>
              </w:rPr>
            </w:pPr>
            <w:bookmarkStart w:id="42" w:name="EB9574dde7f915417cbc074a20f50bdd73"/>
            <w:bookmarkEnd w:id="42"/>
            <w:r>
              <w:rPr>
                <w:rFonts w:hint="eastAsia"/>
                <w:color w:val="auto"/>
                <w:highlight w:val="none"/>
                <w:lang w:eastAsia="zh-CN"/>
              </w:rPr>
              <w:t>☑</w:t>
            </w:r>
            <w:r>
              <w:rPr>
                <w:rFonts w:hint="eastAsia"/>
                <w:color w:val="auto"/>
                <w:highlight w:val="none"/>
              </w:rPr>
              <w:t>不允许</w:t>
            </w:r>
          </w:p>
          <w:p w14:paraId="3629553E">
            <w:pPr>
              <w:rPr>
                <w:rFonts w:hint="eastAsia"/>
                <w:color w:val="auto"/>
                <w:highlight w:val="none"/>
              </w:rPr>
            </w:pPr>
            <w:r>
              <w:rPr>
                <w:rFonts w:hint="eastAsia"/>
                <w:color w:val="auto"/>
                <w:highlight w:val="none"/>
                <w:lang w:eastAsia="zh-CN"/>
              </w:rPr>
              <w:t>□</w:t>
            </w:r>
            <w:r>
              <w:rPr>
                <w:rFonts w:hint="eastAsia"/>
                <w:color w:val="auto"/>
                <w:highlight w:val="none"/>
              </w:rPr>
              <w:t>允许，</w:t>
            </w:r>
          </w:p>
          <w:p w14:paraId="6DA899FD">
            <w:pPr>
              <w:rPr>
                <w:rFonts w:hint="eastAsia"/>
                <w:color w:val="auto"/>
                <w:highlight w:val="none"/>
              </w:rPr>
            </w:pPr>
            <w:r>
              <w:rPr>
                <w:rFonts w:hint="eastAsia"/>
                <w:color w:val="auto"/>
                <w:highlight w:val="none"/>
              </w:rPr>
              <w:t>分包内容要求：</w:t>
            </w:r>
            <w:bookmarkStart w:id="43" w:name="EB4032fa89066c421fa816b3b53b85321d"/>
            <w:r>
              <w:rPr>
                <w:rFonts w:hint="eastAsia"/>
                <w:color w:val="auto"/>
                <w:highlight w:val="none"/>
              </w:rPr>
              <w:t>本项目主体结构不允许分包；承包人不具备施工资质的专业工程、部分非主体和非关键工作内容报监理及发包人审核允许后，在监理及发包人监督下可以进行分包，同时须满足国家和地方现行相关法律、法规。</w:t>
            </w:r>
            <w:bookmarkEnd w:id="43"/>
            <w:r>
              <w:rPr>
                <w:rFonts w:hint="eastAsia"/>
                <w:color w:val="auto"/>
                <w:highlight w:val="none"/>
              </w:rPr>
              <w:t xml:space="preserve">       </w:t>
            </w:r>
          </w:p>
          <w:p w14:paraId="57878083">
            <w:pPr>
              <w:rPr>
                <w:rFonts w:hint="eastAsia"/>
                <w:color w:val="auto"/>
                <w:highlight w:val="none"/>
              </w:rPr>
            </w:pPr>
            <w:r>
              <w:rPr>
                <w:rFonts w:hint="eastAsia"/>
                <w:color w:val="auto"/>
                <w:highlight w:val="none"/>
              </w:rPr>
              <w:t>分包金额要求：接受分包的第三人资质要求：</w:t>
            </w:r>
            <w:bookmarkStart w:id="44" w:name="EBa8ab8bcb07b5430383a1757ab2c96684"/>
            <w:r>
              <w:rPr>
                <w:rFonts w:hint="eastAsia"/>
                <w:color w:val="auto"/>
                <w:highlight w:val="none"/>
              </w:rPr>
              <w:t>1、符合项目需求及国家相关法律法规资质要求；2、各项内容具备相应的资质能力要求且满足招标人需求，报监理及发包人审核允许。</w:t>
            </w:r>
            <w:bookmarkEnd w:id="44"/>
          </w:p>
          <w:p w14:paraId="2CC320F8">
            <w:pPr>
              <w:rPr>
                <w:rFonts w:hint="eastAsia"/>
                <w:color w:val="auto"/>
                <w:highlight w:val="none"/>
              </w:rPr>
            </w:pPr>
            <w:r>
              <w:rPr>
                <w:rFonts w:hint="eastAsia"/>
                <w:color w:val="auto"/>
                <w:highlight w:val="none"/>
              </w:rPr>
              <w:t>接受分包的第三人资质要求：</w:t>
            </w:r>
            <w:r>
              <w:rPr>
                <w:rFonts w:hint="eastAsia"/>
                <w:color w:val="auto"/>
                <w:highlight w:val="none"/>
                <w:lang w:eastAsia="zh-CN"/>
              </w:rPr>
              <w:t>具备相应的资格条件，并不得再次分包</w:t>
            </w:r>
          </w:p>
        </w:tc>
      </w:tr>
      <w:tr w14:paraId="3E1F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897" w:type="dxa"/>
            <w:noWrap w:val="0"/>
            <w:vAlign w:val="center"/>
          </w:tcPr>
          <w:p w14:paraId="6CFEFE95">
            <w:pPr>
              <w:jc w:val="center"/>
              <w:rPr>
                <w:rFonts w:hint="eastAsia"/>
                <w:color w:val="auto"/>
                <w:highlight w:val="none"/>
              </w:rPr>
            </w:pPr>
            <w:r>
              <w:rPr>
                <w:rFonts w:hint="eastAsia"/>
                <w:color w:val="auto"/>
                <w:highlight w:val="none"/>
              </w:rPr>
              <w:t>1.12</w:t>
            </w:r>
          </w:p>
        </w:tc>
        <w:tc>
          <w:tcPr>
            <w:tcW w:w="2163" w:type="dxa"/>
            <w:noWrap w:val="0"/>
            <w:vAlign w:val="center"/>
          </w:tcPr>
          <w:p w14:paraId="097FD9D8">
            <w:pPr>
              <w:rPr>
                <w:rFonts w:hint="eastAsia"/>
                <w:color w:val="auto"/>
                <w:highlight w:val="none"/>
              </w:rPr>
            </w:pPr>
            <w:r>
              <w:rPr>
                <w:rFonts w:hint="eastAsia"/>
                <w:color w:val="auto"/>
                <w:highlight w:val="none"/>
              </w:rPr>
              <w:t>偏  离</w:t>
            </w:r>
          </w:p>
        </w:tc>
        <w:tc>
          <w:tcPr>
            <w:tcW w:w="5354" w:type="dxa"/>
            <w:noWrap w:val="0"/>
            <w:vAlign w:val="center"/>
          </w:tcPr>
          <w:p w14:paraId="43F69190">
            <w:pPr>
              <w:spacing w:line="288" w:lineRule="auto"/>
              <w:rPr>
                <w:color w:val="auto"/>
                <w:highlight w:val="none"/>
                <w:u w:val="single"/>
              </w:rPr>
            </w:pPr>
            <w:bookmarkStart w:id="45" w:name="EBdd16b8e7e1084c118c1a6af604337d06"/>
            <w:r>
              <w:rPr>
                <w:rFonts w:hint="eastAsia"/>
                <w:color w:val="auto"/>
                <w:highlight w:val="none"/>
              </w:rPr>
              <w:t xml:space="preserve"> </w:t>
            </w:r>
            <w:bookmarkEnd w:id="45"/>
            <w:bookmarkStart w:id="46" w:name="EB8df11249fb734da2869d5fb93d95e7e6"/>
            <w:r>
              <w:rPr>
                <w:rFonts w:hint="eastAsia"/>
                <w:color w:val="auto"/>
                <w:highlight w:val="none"/>
              </w:rPr>
              <w:t>☑</w:t>
            </w:r>
            <w:bookmarkEnd w:id="46"/>
            <w:r>
              <w:rPr>
                <w:rFonts w:hint="eastAsia"/>
                <w:color w:val="auto"/>
                <w:highlight w:val="none"/>
              </w:rPr>
              <w:t>不允许，不允许偏离的范围：</w:t>
            </w:r>
            <w:bookmarkStart w:id="47" w:name="EBa552ceeabb2741ab90c5cbb8d68c262d"/>
            <w:r>
              <w:rPr>
                <w:rFonts w:hint="eastAsia"/>
                <w:color w:val="auto"/>
                <w:highlight w:val="none"/>
              </w:rPr>
              <w:t>不允许负偏离</w:t>
            </w:r>
            <w:bookmarkEnd w:id="47"/>
            <w:r>
              <w:rPr>
                <w:color w:val="auto"/>
                <w:highlight w:val="none"/>
              </w:rPr>
              <w:t xml:space="preserve">      </w:t>
            </w:r>
            <w:bookmarkStart w:id="48" w:name="EB45e1003bc3c04a9dbeec4c759e81ae7a"/>
            <w:r>
              <w:rPr>
                <w:rFonts w:hint="eastAsia"/>
                <w:color w:val="auto"/>
                <w:highlight w:val="none"/>
              </w:rPr>
              <w:t xml:space="preserve"> </w:t>
            </w:r>
            <w:bookmarkEnd w:id="48"/>
          </w:p>
          <w:p w14:paraId="333E57CE">
            <w:pPr>
              <w:rPr>
                <w:color w:val="auto"/>
                <w:highlight w:val="none"/>
              </w:rPr>
            </w:pPr>
            <w:bookmarkStart w:id="49" w:name="EBa31b09fc7dc04be9a621a74d189df55d"/>
            <w:r>
              <w:rPr>
                <w:rFonts w:hint="eastAsia"/>
                <w:color w:val="auto"/>
                <w:highlight w:val="none"/>
              </w:rPr>
              <w:t xml:space="preserve"> </w:t>
            </w:r>
            <w:bookmarkEnd w:id="49"/>
            <w:r>
              <w:rPr>
                <w:rFonts w:hint="eastAsia"/>
                <w:color w:val="auto"/>
                <w:highlight w:val="none"/>
              </w:rPr>
              <w:t>允许，可偏离的项目和范围见第七章</w:t>
            </w:r>
          </w:p>
          <w:p w14:paraId="34D11772">
            <w:pPr>
              <w:rPr>
                <w:color w:val="auto"/>
                <w:highlight w:val="none"/>
              </w:rPr>
            </w:pPr>
            <w:r>
              <w:rPr>
                <w:color w:val="auto"/>
                <w:highlight w:val="none"/>
              </w:rPr>
              <w:t xml:space="preserve">       </w:t>
            </w:r>
            <w:r>
              <w:rPr>
                <w:rFonts w:hint="eastAsia"/>
                <w:color w:val="auto"/>
                <w:highlight w:val="none"/>
              </w:rPr>
              <w:t>“技术标准和要求”：</w:t>
            </w:r>
          </w:p>
          <w:p w14:paraId="5B11984D">
            <w:pPr>
              <w:rPr>
                <w:color w:val="auto"/>
                <w:highlight w:val="none"/>
              </w:rPr>
            </w:pPr>
            <w:r>
              <w:rPr>
                <w:color w:val="auto"/>
                <w:highlight w:val="none"/>
              </w:rPr>
              <w:t xml:space="preserve">        </w:t>
            </w:r>
            <w:r>
              <w:rPr>
                <w:rFonts w:hint="eastAsia"/>
                <w:color w:val="auto"/>
                <w:highlight w:val="none"/>
              </w:rPr>
              <w:t>允许偏离最高项数：</w:t>
            </w:r>
            <w:bookmarkStart w:id="50" w:name="EBcd6f7e2ee46a495cb40396d1646a751d"/>
            <w:r>
              <w:rPr>
                <w:rFonts w:hint="eastAsia"/>
                <w:color w:val="auto"/>
                <w:highlight w:val="none"/>
              </w:rPr>
              <w:t xml:space="preserve"> </w:t>
            </w:r>
            <w:bookmarkEnd w:id="50"/>
          </w:p>
          <w:p w14:paraId="53AE432B">
            <w:pPr>
              <w:rPr>
                <w:rFonts w:hint="eastAsia"/>
                <w:color w:val="auto"/>
                <w:highlight w:val="none"/>
              </w:rPr>
            </w:pPr>
            <w:r>
              <w:rPr>
                <w:color w:val="auto"/>
                <w:highlight w:val="none"/>
              </w:rPr>
              <w:t xml:space="preserve">        </w:t>
            </w:r>
            <w:r>
              <w:rPr>
                <w:rFonts w:hint="eastAsia"/>
                <w:color w:val="auto"/>
                <w:highlight w:val="none"/>
              </w:rPr>
              <w:t>偏差调整方法：</w:t>
            </w:r>
            <w:bookmarkStart w:id="51" w:name="EB0b100364dfce460c9782fd1ec6697b98"/>
            <w:r>
              <w:rPr>
                <w:rFonts w:hint="eastAsia"/>
                <w:color w:val="auto"/>
                <w:highlight w:val="none"/>
              </w:rPr>
              <w:t xml:space="preserve"> </w:t>
            </w:r>
            <w:bookmarkEnd w:id="51"/>
          </w:p>
        </w:tc>
      </w:tr>
      <w:tr w14:paraId="004F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noWrap w:val="0"/>
            <w:vAlign w:val="center"/>
          </w:tcPr>
          <w:p w14:paraId="2916CE17">
            <w:pPr>
              <w:jc w:val="center"/>
              <w:rPr>
                <w:rFonts w:hint="eastAsia"/>
                <w:color w:val="auto"/>
                <w:highlight w:val="none"/>
              </w:rPr>
            </w:pPr>
            <w:r>
              <w:rPr>
                <w:rFonts w:hint="eastAsia"/>
                <w:color w:val="auto"/>
                <w:highlight w:val="none"/>
              </w:rPr>
              <w:t>2.1.1</w:t>
            </w:r>
          </w:p>
        </w:tc>
        <w:tc>
          <w:tcPr>
            <w:tcW w:w="2163" w:type="dxa"/>
            <w:noWrap w:val="0"/>
            <w:vAlign w:val="center"/>
          </w:tcPr>
          <w:p w14:paraId="1BDB48F3">
            <w:pPr>
              <w:rPr>
                <w:rFonts w:hint="eastAsia"/>
                <w:color w:val="auto"/>
                <w:highlight w:val="none"/>
              </w:rPr>
            </w:pPr>
            <w:r>
              <w:rPr>
                <w:rFonts w:hint="eastAsia"/>
                <w:color w:val="auto"/>
                <w:highlight w:val="none"/>
              </w:rPr>
              <w:t>构成招标文件的其他材料</w:t>
            </w:r>
          </w:p>
        </w:tc>
        <w:tc>
          <w:tcPr>
            <w:tcW w:w="5354" w:type="dxa"/>
            <w:noWrap w:val="0"/>
            <w:vAlign w:val="center"/>
          </w:tcPr>
          <w:p w14:paraId="7E878BCE">
            <w:pPr>
              <w:spacing w:line="288" w:lineRule="auto"/>
              <w:rPr>
                <w:rFonts w:hint="eastAsia"/>
                <w:color w:val="auto"/>
                <w:highlight w:val="none"/>
              </w:rPr>
            </w:pPr>
            <w:bookmarkStart w:id="52" w:name="EB04368f880e5540a4aa0052c1c3ce28e4"/>
            <w:r>
              <w:rPr>
                <w:rFonts w:hint="eastAsia"/>
                <w:color w:val="auto"/>
                <w:highlight w:val="none"/>
              </w:rPr>
              <w:t xml:space="preserve"> </w:t>
            </w:r>
            <w:bookmarkEnd w:id="52"/>
            <w:bookmarkStart w:id="53" w:name="EB68f6fa6dde144521a06295cc91ad4cfb"/>
            <w:r>
              <w:rPr>
                <w:rFonts w:hint="eastAsia"/>
                <w:color w:val="auto"/>
                <w:highlight w:val="none"/>
              </w:rPr>
              <w:t>图纸、工程量清单、澄清答疑（如有）</w:t>
            </w:r>
            <w:bookmarkEnd w:id="53"/>
          </w:p>
        </w:tc>
      </w:tr>
      <w:tr w14:paraId="48CAE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noWrap w:val="0"/>
            <w:vAlign w:val="center"/>
          </w:tcPr>
          <w:p w14:paraId="23B5EC6A">
            <w:pPr>
              <w:jc w:val="center"/>
              <w:rPr>
                <w:rFonts w:hint="eastAsia"/>
                <w:color w:val="auto"/>
                <w:highlight w:val="none"/>
              </w:rPr>
            </w:pPr>
            <w:r>
              <w:rPr>
                <w:rFonts w:hint="eastAsia"/>
                <w:color w:val="auto"/>
                <w:highlight w:val="none"/>
              </w:rPr>
              <w:t>2.1.2（1）</w:t>
            </w:r>
          </w:p>
        </w:tc>
        <w:tc>
          <w:tcPr>
            <w:tcW w:w="2163" w:type="dxa"/>
            <w:noWrap w:val="0"/>
            <w:vAlign w:val="center"/>
          </w:tcPr>
          <w:p w14:paraId="18938AE8">
            <w:pPr>
              <w:rPr>
                <w:rFonts w:hint="eastAsia"/>
                <w:color w:val="auto"/>
                <w:highlight w:val="none"/>
              </w:rPr>
            </w:pPr>
            <w:r>
              <w:rPr>
                <w:rFonts w:hint="eastAsia"/>
                <w:color w:val="auto"/>
                <w:highlight w:val="none"/>
              </w:rPr>
              <w:t>本工程的计税方法</w:t>
            </w:r>
          </w:p>
        </w:tc>
        <w:tc>
          <w:tcPr>
            <w:tcW w:w="5354" w:type="dxa"/>
            <w:noWrap w:val="0"/>
            <w:vAlign w:val="center"/>
          </w:tcPr>
          <w:p w14:paraId="793A67C5">
            <w:pPr>
              <w:rPr>
                <w:color w:val="auto"/>
                <w:highlight w:val="none"/>
              </w:rPr>
            </w:pPr>
            <w:bookmarkStart w:id="54" w:name="EB345df8bf81d942cca2bc750132964bb4"/>
            <w:bookmarkEnd w:id="54"/>
            <w:bookmarkStart w:id="55" w:name="EBe56d08fe24d2492ebe1bf4619f0b2932"/>
            <w:r>
              <w:rPr>
                <w:rFonts w:hint="eastAsia"/>
                <w:color w:val="auto"/>
                <w:highlight w:val="none"/>
              </w:rPr>
              <w:t>☑</w:t>
            </w:r>
            <w:bookmarkEnd w:id="55"/>
            <w:r>
              <w:rPr>
                <w:rFonts w:hint="eastAsia"/>
                <w:color w:val="auto"/>
                <w:highlight w:val="none"/>
              </w:rPr>
              <w:t xml:space="preserve"> 一般计税方法        </w:t>
            </w:r>
          </w:p>
          <w:p w14:paraId="74E0CF1A">
            <w:pPr>
              <w:spacing w:line="288" w:lineRule="auto"/>
              <w:rPr>
                <w:rFonts w:hint="eastAsia"/>
                <w:color w:val="auto"/>
                <w:highlight w:val="none"/>
              </w:rPr>
            </w:pPr>
            <w:bookmarkStart w:id="56" w:name="EB979be58e403249c5a6b9867bb6c9ccfa"/>
            <w:r>
              <w:rPr>
                <w:rFonts w:hint="eastAsia"/>
                <w:color w:val="auto"/>
                <w:highlight w:val="none"/>
              </w:rPr>
              <w:t>□</w:t>
            </w:r>
            <w:bookmarkEnd w:id="56"/>
            <w:r>
              <w:rPr>
                <w:rFonts w:hint="eastAsia"/>
                <w:color w:val="auto"/>
                <w:highlight w:val="none"/>
              </w:rPr>
              <w:t>简易计税方法</w:t>
            </w:r>
          </w:p>
          <w:p w14:paraId="07CF3695">
            <w:pPr>
              <w:spacing w:line="288" w:lineRule="auto"/>
              <w:rPr>
                <w:rFonts w:hint="eastAsia"/>
                <w:color w:val="auto"/>
                <w:highlight w:val="none"/>
              </w:rPr>
            </w:pPr>
            <w:r>
              <w:rPr>
                <w:rFonts w:hint="eastAsia"/>
                <w:color w:val="auto"/>
                <w:highlight w:val="none"/>
              </w:rPr>
              <w:t>（清包工工程、甲供工程的建设工程适用简易计税方法）</w:t>
            </w:r>
          </w:p>
        </w:tc>
      </w:tr>
      <w:tr w14:paraId="0D1E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noWrap w:val="0"/>
            <w:vAlign w:val="center"/>
          </w:tcPr>
          <w:p w14:paraId="28B291F6">
            <w:pPr>
              <w:jc w:val="center"/>
              <w:rPr>
                <w:rFonts w:hint="eastAsia"/>
                <w:color w:val="auto"/>
                <w:highlight w:val="none"/>
              </w:rPr>
            </w:pPr>
            <w:r>
              <w:rPr>
                <w:rFonts w:hint="eastAsia"/>
                <w:color w:val="auto"/>
                <w:highlight w:val="none"/>
              </w:rPr>
              <w:t>2.1.2（2）</w:t>
            </w:r>
          </w:p>
        </w:tc>
        <w:tc>
          <w:tcPr>
            <w:tcW w:w="2163" w:type="dxa"/>
            <w:noWrap w:val="0"/>
            <w:vAlign w:val="center"/>
          </w:tcPr>
          <w:p w14:paraId="13B40C2C">
            <w:pPr>
              <w:spacing w:line="312" w:lineRule="auto"/>
              <w:rPr>
                <w:rFonts w:hint="eastAsia"/>
                <w:color w:val="auto"/>
                <w:highlight w:val="none"/>
              </w:rPr>
            </w:pPr>
            <w:r>
              <w:rPr>
                <w:rFonts w:hint="eastAsia"/>
                <w:color w:val="auto"/>
                <w:highlight w:val="none"/>
              </w:rPr>
              <w:t>招标控制价</w:t>
            </w:r>
          </w:p>
        </w:tc>
        <w:tc>
          <w:tcPr>
            <w:tcW w:w="5354" w:type="dxa"/>
            <w:noWrap w:val="0"/>
            <w:vAlign w:val="center"/>
          </w:tcPr>
          <w:p w14:paraId="52B87F8E">
            <w:pPr>
              <w:spacing w:line="312" w:lineRule="auto"/>
              <w:rPr>
                <w:rFonts w:hint="eastAsia"/>
                <w:color w:val="auto"/>
                <w:highlight w:val="none"/>
              </w:rPr>
            </w:pPr>
            <w:r>
              <w:rPr>
                <w:rFonts w:hint="eastAsia"/>
                <w:color w:val="auto"/>
                <w:highlight w:val="none"/>
              </w:rPr>
              <w:t>招标控制价总价为：</w:t>
            </w:r>
            <w:r>
              <w:rPr>
                <w:rFonts w:hint="eastAsia"/>
                <w:color w:val="auto"/>
                <w:highlight w:val="none"/>
                <w:lang w:val="en-US" w:eastAsia="zh-CN"/>
              </w:rPr>
              <w:t>25833144.00元</w:t>
            </w:r>
          </w:p>
          <w:p w14:paraId="5C3E8990">
            <w:pPr>
              <w:spacing w:line="312" w:lineRule="auto"/>
              <w:rPr>
                <w:rFonts w:hint="eastAsia"/>
                <w:color w:val="auto"/>
                <w:highlight w:val="none"/>
              </w:rPr>
            </w:pPr>
            <w:r>
              <w:rPr>
                <w:color w:val="auto"/>
                <w:highlight w:val="none"/>
              </w:rPr>
              <w:t>详见本须知附表</w:t>
            </w:r>
            <w:r>
              <w:rPr>
                <w:rFonts w:hint="eastAsia"/>
                <w:color w:val="auto"/>
                <w:highlight w:val="none"/>
              </w:rPr>
              <w:t>十二</w:t>
            </w:r>
            <w:r>
              <w:rPr>
                <w:color w:val="auto"/>
                <w:highlight w:val="none"/>
              </w:rPr>
              <w:t>：“招标控制价明细”。</w:t>
            </w:r>
          </w:p>
        </w:tc>
      </w:tr>
      <w:tr w14:paraId="5FF2F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noWrap w:val="0"/>
            <w:vAlign w:val="center"/>
          </w:tcPr>
          <w:p w14:paraId="3B5E4C0C">
            <w:pPr>
              <w:jc w:val="center"/>
              <w:rPr>
                <w:rFonts w:hint="eastAsia"/>
                <w:color w:val="auto"/>
                <w:highlight w:val="none"/>
              </w:rPr>
            </w:pPr>
            <w:r>
              <w:rPr>
                <w:rFonts w:hint="eastAsia"/>
                <w:color w:val="auto"/>
                <w:highlight w:val="none"/>
              </w:rPr>
              <w:t>2.2.1</w:t>
            </w:r>
          </w:p>
        </w:tc>
        <w:tc>
          <w:tcPr>
            <w:tcW w:w="2163" w:type="dxa"/>
            <w:noWrap w:val="0"/>
            <w:vAlign w:val="center"/>
          </w:tcPr>
          <w:p w14:paraId="464166F8">
            <w:pPr>
              <w:rPr>
                <w:rFonts w:hint="eastAsia"/>
                <w:color w:val="auto"/>
                <w:highlight w:val="none"/>
              </w:rPr>
            </w:pPr>
            <w:r>
              <w:rPr>
                <w:rFonts w:hint="eastAsia"/>
                <w:color w:val="auto"/>
                <w:highlight w:val="none"/>
              </w:rPr>
              <w:t>投标人要求澄清招标文件的截止时间</w:t>
            </w:r>
          </w:p>
        </w:tc>
        <w:tc>
          <w:tcPr>
            <w:tcW w:w="5354" w:type="dxa"/>
            <w:noWrap w:val="0"/>
            <w:vAlign w:val="center"/>
          </w:tcPr>
          <w:p w14:paraId="196A736E">
            <w:pPr>
              <w:spacing w:line="288" w:lineRule="auto"/>
              <w:rPr>
                <w:rFonts w:hint="eastAsia"/>
                <w:color w:val="auto"/>
                <w:highlight w:val="none"/>
              </w:rPr>
            </w:pPr>
            <w:r>
              <w:rPr>
                <w:rFonts w:hint="eastAsia"/>
                <w:color w:val="auto"/>
                <w:szCs w:val="21"/>
                <w:highlight w:val="none"/>
              </w:rPr>
              <w:t>递交投标文件截止之日</w:t>
            </w:r>
            <w:bookmarkStart w:id="57" w:name="EBff8a81f05bc8434890712da0f91deae3"/>
            <w:r>
              <w:rPr>
                <w:rFonts w:hint="eastAsia"/>
                <w:color w:val="auto"/>
                <w:szCs w:val="21"/>
                <w:highlight w:val="none"/>
              </w:rPr>
              <w:t xml:space="preserve"> </w:t>
            </w:r>
            <w:bookmarkEnd w:id="57"/>
            <w:r>
              <w:rPr>
                <w:rFonts w:hint="eastAsia"/>
                <w:color w:val="auto"/>
                <w:szCs w:val="21"/>
                <w:highlight w:val="none"/>
              </w:rPr>
              <w:t>1</w:t>
            </w:r>
            <w:r>
              <w:rPr>
                <w:rFonts w:hint="eastAsia"/>
                <w:color w:val="auto"/>
                <w:szCs w:val="21"/>
                <w:highlight w:val="none"/>
                <w:lang w:val="en-US" w:eastAsia="zh-CN"/>
              </w:rPr>
              <w:t>5</w:t>
            </w:r>
            <w:r>
              <w:rPr>
                <w:rFonts w:hint="eastAsia"/>
                <w:color w:val="auto"/>
                <w:szCs w:val="21"/>
                <w:highlight w:val="none"/>
              </w:rPr>
              <w:t>日前</w:t>
            </w:r>
          </w:p>
        </w:tc>
      </w:tr>
      <w:tr w14:paraId="2804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noWrap w:val="0"/>
            <w:vAlign w:val="center"/>
          </w:tcPr>
          <w:p w14:paraId="1D4EA506">
            <w:pPr>
              <w:jc w:val="center"/>
              <w:rPr>
                <w:rFonts w:hint="eastAsia"/>
                <w:color w:val="auto"/>
                <w:highlight w:val="none"/>
              </w:rPr>
            </w:pPr>
            <w:r>
              <w:rPr>
                <w:rFonts w:hint="eastAsia"/>
                <w:color w:val="auto"/>
                <w:highlight w:val="none"/>
              </w:rPr>
              <w:t>3.1.1</w:t>
            </w:r>
          </w:p>
        </w:tc>
        <w:tc>
          <w:tcPr>
            <w:tcW w:w="2163" w:type="dxa"/>
            <w:noWrap w:val="0"/>
            <w:vAlign w:val="center"/>
          </w:tcPr>
          <w:p w14:paraId="0E1B8179">
            <w:pPr>
              <w:rPr>
                <w:rFonts w:hint="eastAsia"/>
                <w:color w:val="auto"/>
                <w:highlight w:val="none"/>
              </w:rPr>
            </w:pPr>
            <w:r>
              <w:rPr>
                <w:rFonts w:hint="eastAsia"/>
                <w:color w:val="auto"/>
                <w:highlight w:val="none"/>
              </w:rPr>
              <w:t>构成投标文件的其他材料</w:t>
            </w:r>
          </w:p>
        </w:tc>
        <w:tc>
          <w:tcPr>
            <w:tcW w:w="5354" w:type="dxa"/>
            <w:noWrap w:val="0"/>
            <w:vAlign w:val="center"/>
          </w:tcPr>
          <w:p w14:paraId="74E61D9A">
            <w:pPr>
              <w:spacing w:line="288" w:lineRule="auto"/>
              <w:rPr>
                <w:rFonts w:hint="eastAsia"/>
                <w:color w:val="auto"/>
                <w:highlight w:val="none"/>
              </w:rPr>
            </w:pPr>
            <w:bookmarkStart w:id="58" w:name="EBb707a2a367b64b9cbb46481bb57cf790"/>
            <w:r>
              <w:rPr>
                <w:rFonts w:hint="eastAsia"/>
                <w:color w:val="auto"/>
                <w:highlight w:val="none"/>
              </w:rPr>
              <w:t xml:space="preserve"> </w:t>
            </w:r>
            <w:bookmarkEnd w:id="58"/>
            <w:r>
              <w:rPr>
                <w:rFonts w:hint="eastAsia"/>
                <w:color w:val="auto"/>
                <w:highlight w:val="none"/>
              </w:rPr>
              <w:t>/</w:t>
            </w:r>
          </w:p>
        </w:tc>
      </w:tr>
      <w:tr w14:paraId="59E0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noWrap w:val="0"/>
            <w:vAlign w:val="center"/>
          </w:tcPr>
          <w:p w14:paraId="6140F075">
            <w:pPr>
              <w:jc w:val="center"/>
              <w:rPr>
                <w:rFonts w:hint="eastAsia"/>
                <w:color w:val="auto"/>
                <w:highlight w:val="none"/>
              </w:rPr>
            </w:pPr>
            <w:r>
              <w:rPr>
                <w:rFonts w:hint="eastAsia"/>
                <w:color w:val="auto"/>
                <w:highlight w:val="none"/>
              </w:rPr>
              <w:t>3.3.1</w:t>
            </w:r>
          </w:p>
        </w:tc>
        <w:tc>
          <w:tcPr>
            <w:tcW w:w="2163" w:type="dxa"/>
            <w:noWrap w:val="0"/>
            <w:vAlign w:val="center"/>
          </w:tcPr>
          <w:p w14:paraId="57A32524">
            <w:pPr>
              <w:rPr>
                <w:rFonts w:hint="eastAsia"/>
                <w:color w:val="auto"/>
                <w:highlight w:val="none"/>
              </w:rPr>
            </w:pPr>
            <w:r>
              <w:rPr>
                <w:rFonts w:hint="eastAsia"/>
                <w:color w:val="auto"/>
                <w:highlight w:val="none"/>
              </w:rPr>
              <w:t>投标有效期</w:t>
            </w:r>
          </w:p>
        </w:tc>
        <w:tc>
          <w:tcPr>
            <w:tcW w:w="5354" w:type="dxa"/>
            <w:noWrap w:val="0"/>
            <w:vAlign w:val="center"/>
          </w:tcPr>
          <w:p w14:paraId="66AF19E8">
            <w:pPr>
              <w:spacing w:line="288" w:lineRule="auto"/>
              <w:rPr>
                <w:rFonts w:hint="eastAsia"/>
                <w:color w:val="auto"/>
                <w:highlight w:val="none"/>
              </w:rPr>
            </w:pPr>
            <w:r>
              <w:rPr>
                <w:rFonts w:hint="eastAsia"/>
                <w:color w:val="auto"/>
                <w:highlight w:val="none"/>
              </w:rPr>
              <w:t>自投标截止</w:t>
            </w:r>
            <w:r>
              <w:rPr>
                <w:rFonts w:hint="eastAsia"/>
                <w:color w:val="auto"/>
                <w:szCs w:val="21"/>
                <w:highlight w:val="none"/>
              </w:rPr>
              <w:t>之日</w:t>
            </w:r>
            <w:r>
              <w:rPr>
                <w:rFonts w:hint="eastAsia"/>
                <w:color w:val="auto"/>
                <w:highlight w:val="none"/>
              </w:rPr>
              <w:t>起</w:t>
            </w:r>
            <w:r>
              <w:rPr>
                <w:rFonts w:hint="eastAsia"/>
                <w:color w:val="auto"/>
                <w:highlight w:val="none"/>
                <w:lang w:val="en-US" w:eastAsia="zh-CN"/>
              </w:rPr>
              <w:t>90</w:t>
            </w:r>
            <w:r>
              <w:rPr>
                <w:rFonts w:hint="eastAsia"/>
                <w:color w:val="auto"/>
                <w:highlight w:val="none"/>
              </w:rPr>
              <w:t>日内有效</w:t>
            </w:r>
          </w:p>
        </w:tc>
      </w:tr>
      <w:tr w14:paraId="6DF81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897" w:type="dxa"/>
            <w:noWrap w:val="0"/>
            <w:vAlign w:val="center"/>
          </w:tcPr>
          <w:p w14:paraId="19F72B98">
            <w:pPr>
              <w:jc w:val="center"/>
              <w:rPr>
                <w:rFonts w:hint="eastAsia"/>
                <w:color w:val="auto"/>
                <w:highlight w:val="none"/>
              </w:rPr>
            </w:pPr>
            <w:r>
              <w:rPr>
                <w:rFonts w:hint="eastAsia"/>
                <w:color w:val="auto"/>
                <w:highlight w:val="none"/>
              </w:rPr>
              <w:t>3.4.1</w:t>
            </w:r>
          </w:p>
        </w:tc>
        <w:tc>
          <w:tcPr>
            <w:tcW w:w="2163" w:type="dxa"/>
            <w:noWrap w:val="0"/>
            <w:vAlign w:val="center"/>
          </w:tcPr>
          <w:p w14:paraId="440574B0">
            <w:pPr>
              <w:rPr>
                <w:rFonts w:hint="eastAsia"/>
                <w:color w:val="auto"/>
                <w:highlight w:val="none"/>
              </w:rPr>
            </w:pPr>
            <w:r>
              <w:rPr>
                <w:rFonts w:hint="eastAsia"/>
                <w:color w:val="auto"/>
                <w:highlight w:val="none"/>
              </w:rPr>
              <w:t>投标保证金</w:t>
            </w:r>
          </w:p>
        </w:tc>
        <w:tc>
          <w:tcPr>
            <w:tcW w:w="5354" w:type="dxa"/>
            <w:noWrap w:val="0"/>
            <w:vAlign w:val="center"/>
          </w:tcPr>
          <w:p w14:paraId="474AEB09">
            <w:pPr>
              <w:rPr>
                <w:rFonts w:hint="eastAsia"/>
                <w:color w:val="auto"/>
                <w:highlight w:val="none"/>
              </w:rPr>
            </w:pPr>
            <w:bookmarkStart w:id="59" w:name="EB119cb591ff9d408c9174ce782ba19693"/>
            <w:r>
              <w:rPr>
                <w:rFonts w:hint="eastAsia"/>
                <w:color w:val="auto"/>
                <w:highlight w:val="none"/>
              </w:rPr>
              <w:t xml:space="preserve"> </w:t>
            </w:r>
            <w:bookmarkEnd w:id="59"/>
            <w:bookmarkStart w:id="60" w:name="EB0f8de255485c4e1f9c1b38112cc824b1"/>
            <w:r>
              <w:rPr>
                <w:rFonts w:hint="eastAsia" w:ascii="MS Gothic" w:hAnsi="MS Gothic" w:eastAsia="MS Gothic" w:cs="MS Gothic"/>
                <w:color w:val="auto"/>
                <w:highlight w:val="none"/>
              </w:rPr>
              <w:t>☑</w:t>
            </w:r>
            <w:bookmarkEnd w:id="60"/>
            <w:r>
              <w:rPr>
                <w:rFonts w:hint="eastAsia"/>
                <w:color w:val="auto"/>
                <w:highlight w:val="none"/>
              </w:rPr>
              <w:t>不提交</w:t>
            </w:r>
          </w:p>
          <w:p w14:paraId="4A54138C">
            <w:pPr>
              <w:rPr>
                <w:rFonts w:hint="eastAsia"/>
                <w:color w:val="auto"/>
                <w:highlight w:val="none"/>
              </w:rPr>
            </w:pPr>
            <w:bookmarkStart w:id="61" w:name="EB4f745e3079c047efbafde7e6c3e56a51"/>
            <w:r>
              <w:rPr>
                <w:rFonts w:hint="eastAsia"/>
                <w:color w:val="auto"/>
                <w:highlight w:val="none"/>
              </w:rPr>
              <w:t xml:space="preserve"> </w:t>
            </w:r>
            <w:bookmarkEnd w:id="61"/>
            <w:r>
              <w:rPr>
                <w:rFonts w:hint="eastAsia" w:ascii="MS Gothic" w:hAnsi="MS Gothic" w:cs="MS Gothic"/>
                <w:color w:val="auto"/>
                <w:highlight w:val="none"/>
              </w:rPr>
              <w:t>□</w:t>
            </w:r>
            <w:r>
              <w:rPr>
                <w:rFonts w:hint="eastAsia"/>
                <w:color w:val="auto"/>
                <w:highlight w:val="none"/>
              </w:rPr>
              <w:t>提交，</w:t>
            </w:r>
          </w:p>
          <w:p w14:paraId="6999FFBD">
            <w:pPr>
              <w:rPr>
                <w:rFonts w:hint="eastAsia"/>
                <w:color w:val="auto"/>
                <w:highlight w:val="none"/>
              </w:rPr>
            </w:pPr>
            <w:r>
              <w:rPr>
                <w:rFonts w:hint="eastAsia"/>
                <w:color w:val="auto"/>
                <w:highlight w:val="none"/>
              </w:rPr>
              <w:t>1. 递交截止时间（到账时间）：同本标段投标截止时间。</w:t>
            </w:r>
          </w:p>
          <w:p w14:paraId="20CD0070">
            <w:pPr>
              <w:rPr>
                <w:rFonts w:hint="eastAsia"/>
                <w:color w:val="auto"/>
                <w:highlight w:val="none"/>
              </w:rPr>
            </w:pPr>
            <w:r>
              <w:rPr>
                <w:rFonts w:hint="eastAsia"/>
                <w:color w:val="auto"/>
                <w:highlight w:val="none"/>
              </w:rPr>
              <w:t>2. 金额：</w:t>
            </w:r>
            <w:bookmarkStart w:id="62" w:name="EB38aac68920274b45886c5dc939f371a6"/>
            <w:r>
              <w:rPr>
                <w:rFonts w:hint="eastAsia"/>
                <w:color w:val="auto"/>
                <w:highlight w:val="none"/>
              </w:rPr>
              <w:t xml:space="preserve"> </w:t>
            </w:r>
            <w:bookmarkEnd w:id="62"/>
            <w:r>
              <w:rPr>
                <w:rFonts w:hint="eastAsia"/>
                <w:color w:val="auto"/>
                <w:highlight w:val="none"/>
              </w:rPr>
              <w:t>万元。</w:t>
            </w:r>
          </w:p>
          <w:p w14:paraId="43E9738D">
            <w:pPr>
              <w:rPr>
                <w:rFonts w:hint="eastAsia"/>
                <w:color w:val="auto"/>
                <w:highlight w:val="none"/>
              </w:rPr>
            </w:pPr>
            <w:r>
              <w:rPr>
                <w:rFonts w:hint="eastAsia"/>
                <w:color w:val="auto"/>
                <w:highlight w:val="none"/>
              </w:rPr>
              <w:t>3.  形式：投标人应当采用现金、银行电子保函中的一种形式递交投标担保。</w:t>
            </w:r>
          </w:p>
          <w:p w14:paraId="06CD0073">
            <w:pPr>
              <w:rPr>
                <w:rFonts w:hint="eastAsia"/>
                <w:color w:val="auto"/>
                <w:highlight w:val="none"/>
              </w:rPr>
            </w:pPr>
            <w:r>
              <w:rPr>
                <w:rFonts w:hint="eastAsia"/>
                <w:color w:val="auto"/>
                <w:highlight w:val="none"/>
              </w:rPr>
              <w:t>4. 递交方式及要求：</w:t>
            </w:r>
          </w:p>
          <w:p w14:paraId="7FB6F68F">
            <w:pPr>
              <w:rPr>
                <w:rFonts w:hint="eastAsia"/>
                <w:color w:val="auto"/>
                <w:highlight w:val="none"/>
              </w:rPr>
            </w:pPr>
            <w:r>
              <w:rPr>
                <w:rFonts w:hint="eastAsia"/>
                <w:color w:val="auto"/>
                <w:highlight w:val="none"/>
              </w:rPr>
              <w:t>(1)采用现金方式</w:t>
            </w:r>
          </w:p>
          <w:p w14:paraId="64A2EF5B">
            <w:pPr>
              <w:rPr>
                <w:rFonts w:hint="eastAsia"/>
                <w:color w:val="auto"/>
                <w:highlight w:val="none"/>
              </w:rPr>
            </w:pPr>
            <w:r>
              <w:rPr>
                <w:rFonts w:hint="eastAsia"/>
                <w:color w:val="auto"/>
                <w:highlight w:val="none"/>
              </w:rPr>
              <w:t>1)必须从投标人的基本账户汇至招标人指定的账户及账号。多标段投标的，投标人应按下列要求将投标保证金分别汇至各个标段对应的账号。</w:t>
            </w:r>
          </w:p>
          <w:p w14:paraId="035507AB">
            <w:pPr>
              <w:rPr>
                <w:rFonts w:hint="eastAsia"/>
                <w:color w:val="auto"/>
                <w:highlight w:val="none"/>
              </w:rPr>
            </w:pPr>
            <w:r>
              <w:rPr>
                <w:rFonts w:hint="eastAsia"/>
                <w:color w:val="auto"/>
                <w:highlight w:val="none"/>
              </w:rPr>
              <w:t>招标人指定收取投标保证金的帐户信息如下：</w:t>
            </w:r>
          </w:p>
          <w:p w14:paraId="5D7A1390">
            <w:pPr>
              <w:rPr>
                <w:rFonts w:hint="eastAsia"/>
                <w:color w:val="auto"/>
                <w:highlight w:val="none"/>
              </w:rPr>
            </w:pPr>
            <w:r>
              <w:rPr>
                <w:rFonts w:hint="eastAsia"/>
                <w:color w:val="auto"/>
                <w:highlight w:val="none"/>
              </w:rPr>
              <w:t>标段编号：</w:t>
            </w:r>
            <w:bookmarkStart w:id="63" w:name="EB378930ad09794611b496239015b138d0"/>
            <w:r>
              <w:rPr>
                <w:rFonts w:hint="eastAsia"/>
                <w:color w:val="auto"/>
                <w:highlight w:val="none"/>
              </w:rPr>
              <w:t xml:space="preserve"> </w:t>
            </w:r>
            <w:bookmarkEnd w:id="63"/>
            <w:r>
              <w:rPr>
                <w:rFonts w:hint="eastAsia"/>
                <w:color w:val="auto"/>
                <w:highlight w:val="none"/>
              </w:rPr>
              <w:t>；</w:t>
            </w:r>
          </w:p>
          <w:p w14:paraId="02F7A68C">
            <w:pPr>
              <w:rPr>
                <w:rFonts w:hint="eastAsia"/>
                <w:color w:val="auto"/>
                <w:highlight w:val="none"/>
              </w:rPr>
            </w:pPr>
            <w:r>
              <w:rPr>
                <w:rFonts w:hint="eastAsia"/>
                <w:color w:val="auto"/>
                <w:highlight w:val="none"/>
              </w:rPr>
              <w:t>标段名称：</w:t>
            </w:r>
            <w:bookmarkStart w:id="64" w:name="EB7cd4b5c2c9914536840d9dfd5cd90dd0"/>
            <w:r>
              <w:rPr>
                <w:rFonts w:hint="eastAsia"/>
                <w:color w:val="auto"/>
                <w:highlight w:val="none"/>
              </w:rPr>
              <w:t xml:space="preserve"> </w:t>
            </w:r>
            <w:bookmarkEnd w:id="64"/>
            <w:r>
              <w:rPr>
                <w:rFonts w:hint="eastAsia"/>
                <w:color w:val="auto"/>
                <w:highlight w:val="none"/>
              </w:rPr>
              <w:t>；</w:t>
            </w:r>
          </w:p>
          <w:p w14:paraId="2DBFE78B">
            <w:pPr>
              <w:rPr>
                <w:rFonts w:hint="eastAsia"/>
                <w:color w:val="auto"/>
                <w:highlight w:val="none"/>
              </w:rPr>
            </w:pPr>
            <w:r>
              <w:rPr>
                <w:rFonts w:hint="eastAsia"/>
                <w:color w:val="auto"/>
                <w:highlight w:val="none"/>
              </w:rPr>
              <w:t>保证金账号：</w:t>
            </w:r>
            <w:bookmarkStart w:id="65" w:name="EB876069d15fcc461196cce57f077fa90f"/>
            <w:r>
              <w:rPr>
                <w:rFonts w:hint="eastAsia"/>
                <w:color w:val="auto"/>
                <w:highlight w:val="none"/>
              </w:rPr>
              <w:t xml:space="preserve"> </w:t>
            </w:r>
            <w:bookmarkEnd w:id="65"/>
            <w:r>
              <w:rPr>
                <w:rFonts w:hint="eastAsia"/>
                <w:color w:val="auto"/>
                <w:highlight w:val="none"/>
              </w:rPr>
              <w:t>；</w:t>
            </w:r>
          </w:p>
          <w:p w14:paraId="02DA3EFF">
            <w:pPr>
              <w:rPr>
                <w:rFonts w:hint="eastAsia"/>
                <w:color w:val="auto"/>
                <w:highlight w:val="none"/>
              </w:rPr>
            </w:pPr>
            <w:r>
              <w:rPr>
                <w:rFonts w:hint="eastAsia"/>
                <w:color w:val="auto"/>
                <w:highlight w:val="none"/>
              </w:rPr>
              <w:t>账户名称：</w:t>
            </w:r>
            <w:bookmarkStart w:id="66" w:name="EB1c56f7fa30374023b61b79b6222ff895"/>
            <w:r>
              <w:rPr>
                <w:rFonts w:hint="eastAsia"/>
                <w:color w:val="auto"/>
                <w:highlight w:val="none"/>
              </w:rPr>
              <w:t>大冶市公共资源交易中心</w:t>
            </w:r>
            <w:bookmarkEnd w:id="66"/>
            <w:r>
              <w:rPr>
                <w:rFonts w:hint="eastAsia"/>
                <w:color w:val="auto"/>
                <w:highlight w:val="none"/>
              </w:rPr>
              <w:t xml:space="preserve"> </w:t>
            </w:r>
          </w:p>
          <w:p w14:paraId="404EC8F4">
            <w:pPr>
              <w:rPr>
                <w:rFonts w:hint="eastAsia"/>
                <w:color w:val="auto"/>
                <w:highlight w:val="none"/>
              </w:rPr>
            </w:pPr>
            <w:r>
              <w:rPr>
                <w:rFonts w:hint="eastAsia"/>
                <w:color w:val="auto"/>
                <w:highlight w:val="none"/>
              </w:rPr>
              <w:t>开户银行：</w:t>
            </w:r>
            <w:bookmarkStart w:id="67" w:name="EB77d59e45e00f4db890347a992fc3fd62"/>
            <w:r>
              <w:rPr>
                <w:rFonts w:hint="eastAsia"/>
                <w:color w:val="auto"/>
                <w:highlight w:val="none"/>
              </w:rPr>
              <w:t>湖北银行股份有限公司大冶支行</w:t>
            </w:r>
            <w:bookmarkEnd w:id="67"/>
            <w:r>
              <w:rPr>
                <w:rFonts w:hint="eastAsia"/>
                <w:color w:val="auto"/>
                <w:highlight w:val="none"/>
              </w:rPr>
              <w:t xml:space="preserve"> </w:t>
            </w:r>
          </w:p>
          <w:p w14:paraId="3834B568">
            <w:pPr>
              <w:rPr>
                <w:rFonts w:hint="eastAsia"/>
                <w:color w:val="auto"/>
                <w:highlight w:val="none"/>
              </w:rPr>
            </w:pPr>
            <w:r>
              <w:rPr>
                <w:rFonts w:hint="eastAsia"/>
                <w:color w:val="auto"/>
                <w:highlight w:val="none"/>
              </w:rPr>
              <w:t>2)投标保证金收款将以投标人办理交易主体注册登记所填基本账户信息为准，若投标人汇款账户与注册登记时的基本账户信息不相符，其汇款将自动退回，由此造成投标保证金递交失败的责任由投标人自行承担。</w:t>
            </w:r>
          </w:p>
          <w:p w14:paraId="21AB64CD">
            <w:pPr>
              <w:widowControl/>
              <w:spacing w:before="240"/>
              <w:jc w:val="left"/>
              <w:rPr>
                <w:rFonts w:ascii="宋体" w:cs="宋体"/>
                <w:color w:val="auto"/>
                <w:kern w:val="0"/>
                <w:szCs w:val="21"/>
                <w:highlight w:val="none"/>
              </w:rPr>
            </w:pPr>
            <w:r>
              <w:rPr>
                <w:rFonts w:hint="eastAsia"/>
                <w:color w:val="auto"/>
                <w:highlight w:val="none"/>
              </w:rPr>
              <w:t>3)</w:t>
            </w:r>
            <w:r>
              <w:rPr>
                <w:rFonts w:hint="eastAsia" w:ascii="宋体" w:hAnsi="宋体" w:cs="宋体"/>
                <w:color w:val="auto"/>
                <w:kern w:val="0"/>
                <w:szCs w:val="21"/>
                <w:highlight w:val="none"/>
              </w:rPr>
              <w:t xml:space="preserve"> 汇款成功后，投标人使用CA数字证书登录</w:t>
            </w:r>
            <w:r>
              <w:rPr>
                <w:rFonts w:hint="eastAsia" w:ascii="宋体" w:cs="宋体"/>
                <w:color w:val="auto"/>
                <w:kern w:val="0"/>
                <w:szCs w:val="21"/>
                <w:highlight w:val="none"/>
              </w:rPr>
              <w:t>“</w:t>
            </w:r>
            <w:r>
              <w:rPr>
                <w:rFonts w:hint="eastAsia" w:ascii="宋体" w:hAnsi="宋体" w:cs="宋体"/>
                <w:color w:val="auto"/>
                <w:kern w:val="0"/>
                <w:szCs w:val="21"/>
                <w:highlight w:val="none"/>
              </w:rPr>
              <w:t>电子交易平台</w:t>
            </w:r>
            <w:r>
              <w:rPr>
                <w:rFonts w:hint="eastAsia" w:ascii="宋体" w:cs="宋体"/>
                <w:color w:val="auto"/>
                <w:kern w:val="0"/>
                <w:szCs w:val="21"/>
                <w:highlight w:val="none"/>
              </w:rPr>
              <w:t>”</w:t>
            </w:r>
            <w:r>
              <w:rPr>
                <w:rFonts w:hint="eastAsia" w:ascii="宋体" w:hAnsi="宋体" w:cs="宋体"/>
                <w:color w:val="auto"/>
                <w:kern w:val="0"/>
                <w:szCs w:val="21"/>
                <w:highlight w:val="none"/>
              </w:rPr>
              <w:t>（网址</w:t>
            </w:r>
            <w:bookmarkStart w:id="68" w:name="EBb290404a8ddc4379ad171aceac94f1b1"/>
            <w:r>
              <w:rPr>
                <w:rFonts w:hint="eastAsia" w:ascii="宋体" w:hAnsi="宋体" w:cs="宋体"/>
                <w:color w:val="auto"/>
                <w:kern w:val="0"/>
                <w:szCs w:val="21"/>
                <w:highlight w:val="none"/>
              </w:rPr>
              <w:t>http://36.133.17.9:8081/TPBidder/memberLogin</w:t>
            </w:r>
            <w:bookmarkEnd w:id="68"/>
            <w:r>
              <w:rPr>
                <w:rFonts w:hint="eastAsia" w:ascii="宋体" w:hAnsi="宋体" w:cs="宋体"/>
                <w:color w:val="auto"/>
                <w:kern w:val="0"/>
                <w:szCs w:val="21"/>
                <w:highlight w:val="none"/>
              </w:rPr>
              <w:t>）</w:t>
            </w:r>
            <w:r>
              <w:rPr>
                <w:rFonts w:hint="eastAsia" w:ascii="宋体" w:cs="宋体"/>
                <w:color w:val="auto"/>
                <w:kern w:val="0"/>
                <w:szCs w:val="21"/>
                <w:highlight w:val="none"/>
              </w:rPr>
              <w:t>,</w:t>
            </w:r>
            <w:r>
              <w:rPr>
                <w:rFonts w:hint="eastAsia" w:ascii="宋体" w:hAnsi="宋体" w:cs="宋体"/>
                <w:color w:val="auto"/>
                <w:kern w:val="0"/>
                <w:szCs w:val="21"/>
                <w:highlight w:val="none"/>
              </w:rPr>
              <w:t>进入“保证金缴纳情况查询</w:t>
            </w:r>
            <w:r>
              <w:rPr>
                <w:rFonts w:hint="eastAsia" w:ascii="宋体" w:cs="宋体"/>
                <w:color w:val="auto"/>
                <w:kern w:val="0"/>
                <w:szCs w:val="21"/>
                <w:highlight w:val="none"/>
              </w:rPr>
              <w:t>”</w:t>
            </w:r>
            <w:r>
              <w:rPr>
                <w:rFonts w:hint="eastAsia" w:ascii="宋体" w:hAnsi="宋体" w:cs="宋体"/>
                <w:color w:val="auto"/>
                <w:kern w:val="0"/>
                <w:szCs w:val="21"/>
                <w:highlight w:val="none"/>
              </w:rPr>
              <w:t>菜单可查询相应标段保证金缴纳的情况。</w:t>
            </w:r>
          </w:p>
          <w:p w14:paraId="4B12B506">
            <w:pPr>
              <w:rPr>
                <w:rFonts w:hint="eastAsia"/>
                <w:color w:val="auto"/>
                <w:highlight w:val="none"/>
              </w:rPr>
            </w:pPr>
          </w:p>
          <w:p w14:paraId="1BA17124">
            <w:pPr>
              <w:rPr>
                <w:rFonts w:hint="eastAsia"/>
                <w:color w:val="auto"/>
                <w:highlight w:val="none"/>
              </w:rPr>
            </w:pPr>
            <w:bookmarkStart w:id="69" w:name="EB1d8c3d1fc84e4093abf8b487fc06bcbc"/>
            <w:r>
              <w:rPr>
                <w:rFonts w:hint="eastAsia"/>
                <w:color w:val="auto"/>
                <w:highlight w:val="none"/>
              </w:rPr>
              <w:t>大冶市公共资源交易中心</w:t>
            </w:r>
            <w:bookmarkEnd w:id="69"/>
            <w:r>
              <w:rPr>
                <w:rFonts w:hint="eastAsia"/>
                <w:color w:val="auto"/>
                <w:highlight w:val="none"/>
              </w:rPr>
              <w:t>投标保证金服务咨询电话：</w:t>
            </w:r>
            <w:bookmarkStart w:id="70" w:name="EB870e90d598d04979a06df3bed774e160"/>
            <w:r>
              <w:rPr>
                <w:rFonts w:hint="eastAsia"/>
                <w:color w:val="auto"/>
                <w:highlight w:val="none"/>
              </w:rPr>
              <w:t xml:space="preserve"> </w:t>
            </w:r>
            <w:bookmarkEnd w:id="70"/>
          </w:p>
          <w:p w14:paraId="0B155F90">
            <w:pPr>
              <w:rPr>
                <w:rFonts w:hint="eastAsia"/>
                <w:color w:val="auto"/>
                <w:highlight w:val="none"/>
              </w:rPr>
            </w:pPr>
            <w:r>
              <w:rPr>
                <w:rFonts w:hint="eastAsia"/>
                <w:color w:val="auto"/>
                <w:highlight w:val="none"/>
              </w:rPr>
              <w:t>（2）采用银行电子保函方式</w:t>
            </w:r>
          </w:p>
          <w:p w14:paraId="7885586F">
            <w:pPr>
              <w:rPr>
                <w:rFonts w:hint="eastAsia"/>
                <w:color w:val="auto"/>
                <w:highlight w:val="none"/>
              </w:rPr>
            </w:pPr>
            <w:r>
              <w:rPr>
                <w:rFonts w:hint="eastAsia"/>
                <w:color w:val="auto"/>
                <w:highlight w:val="none"/>
              </w:rPr>
              <w:t>1）投标人须及时登录“电子交易平台”选择所投标段按系统引导的程序申请电子保函。</w:t>
            </w:r>
          </w:p>
          <w:p w14:paraId="3B687602">
            <w:pPr>
              <w:rPr>
                <w:rFonts w:hint="eastAsia"/>
                <w:color w:val="auto"/>
                <w:highlight w:val="none"/>
              </w:rPr>
            </w:pPr>
            <w:r>
              <w:rPr>
                <w:rFonts w:hint="eastAsia"/>
                <w:color w:val="auto"/>
                <w:highlight w:val="none"/>
              </w:rPr>
              <w:t>2）电子保函申请成功后，投标人下载、查阅电子保函，电子保函载明：保函受益人（招标人）、标段名称、标段编号、担保内容、担保金额、保函有效期等信息，检查其内容符合招标文件的相关约定后，上传至投标文件的“投标保证金”栏目中。</w:t>
            </w:r>
          </w:p>
          <w:p w14:paraId="60C730B1">
            <w:pPr>
              <w:rPr>
                <w:rFonts w:hint="eastAsia"/>
                <w:color w:val="auto"/>
                <w:highlight w:val="none"/>
              </w:rPr>
            </w:pPr>
            <w:r>
              <w:rPr>
                <w:rFonts w:hint="eastAsia"/>
                <w:color w:val="auto"/>
                <w:highlight w:val="none"/>
              </w:rPr>
              <w:t>3）开标时，招标人公布投标截止时间收到的电子保函情况；评标时评标委员会可以直接在投标文件中查验电子保函。</w:t>
            </w:r>
          </w:p>
        </w:tc>
      </w:tr>
      <w:tr w14:paraId="4190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97" w:type="dxa"/>
            <w:noWrap w:val="0"/>
            <w:vAlign w:val="center"/>
          </w:tcPr>
          <w:p w14:paraId="7272F583">
            <w:pPr>
              <w:spacing w:line="288" w:lineRule="auto"/>
              <w:jc w:val="center"/>
              <w:rPr>
                <w:rFonts w:hint="eastAsia"/>
                <w:color w:val="auto"/>
                <w:highlight w:val="none"/>
              </w:rPr>
            </w:pPr>
            <w:r>
              <w:rPr>
                <w:rFonts w:hint="eastAsia"/>
                <w:color w:val="auto"/>
                <w:highlight w:val="none"/>
              </w:rPr>
              <w:t>3.4.3</w:t>
            </w:r>
          </w:p>
        </w:tc>
        <w:tc>
          <w:tcPr>
            <w:tcW w:w="2163" w:type="dxa"/>
            <w:noWrap w:val="0"/>
            <w:vAlign w:val="center"/>
          </w:tcPr>
          <w:p w14:paraId="418F0666">
            <w:pPr>
              <w:spacing w:line="288" w:lineRule="auto"/>
              <w:rPr>
                <w:rFonts w:hint="eastAsia"/>
                <w:color w:val="auto"/>
                <w:highlight w:val="none"/>
              </w:rPr>
            </w:pPr>
            <w:r>
              <w:rPr>
                <w:rFonts w:hint="eastAsia"/>
                <w:color w:val="auto"/>
                <w:highlight w:val="none"/>
              </w:rPr>
              <w:t>退还投标保证金</w:t>
            </w:r>
          </w:p>
          <w:p w14:paraId="535DAA2D">
            <w:pPr>
              <w:spacing w:line="288" w:lineRule="auto"/>
              <w:rPr>
                <w:rFonts w:hint="eastAsia"/>
                <w:color w:val="auto"/>
                <w:highlight w:val="none"/>
              </w:rPr>
            </w:pPr>
            <w:r>
              <w:rPr>
                <w:rFonts w:hint="eastAsia"/>
                <w:color w:val="auto"/>
                <w:highlight w:val="none"/>
              </w:rPr>
              <w:t>及利息</w:t>
            </w:r>
          </w:p>
        </w:tc>
        <w:tc>
          <w:tcPr>
            <w:tcW w:w="5354" w:type="dxa"/>
            <w:noWrap w:val="0"/>
            <w:vAlign w:val="center"/>
          </w:tcPr>
          <w:p w14:paraId="72629E14">
            <w:pPr>
              <w:rPr>
                <w:rFonts w:hint="eastAsia"/>
                <w:color w:val="auto"/>
                <w:highlight w:val="none"/>
              </w:rPr>
            </w:pPr>
            <w:r>
              <w:rPr>
                <w:rFonts w:hint="eastAsia"/>
                <w:color w:val="auto"/>
                <w:highlight w:val="none"/>
              </w:rPr>
              <w:t>1 .采用现金方式</w:t>
            </w:r>
          </w:p>
          <w:p w14:paraId="30BD8237">
            <w:pPr>
              <w:rPr>
                <w:rFonts w:hint="eastAsia"/>
                <w:color w:val="auto"/>
                <w:highlight w:val="none"/>
              </w:rPr>
            </w:pPr>
            <w:r>
              <w:rPr>
                <w:rFonts w:hint="eastAsia"/>
                <w:color w:val="auto"/>
                <w:highlight w:val="none"/>
              </w:rPr>
              <w:t>计息标准：</w:t>
            </w:r>
            <w:bookmarkStart w:id="71" w:name="EB91fbbe7197434b269e7567d0a11c6898"/>
            <w:r>
              <w:rPr>
                <w:rFonts w:hint="eastAsia"/>
                <w:color w:val="auto"/>
                <w:highlight w:val="none"/>
              </w:rPr>
              <w:t>人民银行同期活期存款利率</w:t>
            </w:r>
            <w:bookmarkEnd w:id="71"/>
            <w:r>
              <w:rPr>
                <w:rFonts w:hint="eastAsia"/>
                <w:color w:val="auto"/>
                <w:highlight w:val="none"/>
              </w:rPr>
              <w:t xml:space="preserve"> </w:t>
            </w:r>
          </w:p>
          <w:p w14:paraId="7F4C5E76">
            <w:pPr>
              <w:rPr>
                <w:rFonts w:hint="eastAsia"/>
                <w:color w:val="auto"/>
                <w:highlight w:val="none"/>
              </w:rPr>
            </w:pPr>
            <w:r>
              <w:rPr>
                <w:rFonts w:hint="eastAsia"/>
                <w:color w:val="auto"/>
                <w:highlight w:val="none"/>
              </w:rPr>
              <w:t>计息时间：</w:t>
            </w:r>
            <w:bookmarkStart w:id="72" w:name="EBdbecd4d3285c4d67b6d0b1f285404803"/>
            <w:r>
              <w:rPr>
                <w:rFonts w:hint="eastAsia"/>
                <w:color w:val="auto"/>
                <w:highlight w:val="none"/>
              </w:rPr>
              <w:t>投标保证金到账之日至退还的前一日</w:t>
            </w:r>
            <w:bookmarkEnd w:id="72"/>
            <w:r>
              <w:rPr>
                <w:rFonts w:hint="eastAsia"/>
                <w:color w:val="auto"/>
                <w:highlight w:val="none"/>
              </w:rPr>
              <w:t xml:space="preserve"> </w:t>
            </w:r>
          </w:p>
          <w:p w14:paraId="76732BAA">
            <w:pPr>
              <w:rPr>
                <w:rFonts w:hint="eastAsia"/>
                <w:color w:val="auto"/>
                <w:highlight w:val="none"/>
              </w:rPr>
            </w:pPr>
            <w:r>
              <w:rPr>
                <w:rFonts w:hint="eastAsia"/>
                <w:color w:val="auto"/>
                <w:highlight w:val="none"/>
              </w:rPr>
              <w:t>退还办法：</w:t>
            </w:r>
            <w:bookmarkStart w:id="73" w:name="EBd78ec677ee874f0db7a13b554535ae76"/>
            <w:r>
              <w:rPr>
                <w:rFonts w:hint="eastAsia"/>
                <w:color w:val="auto"/>
                <w:highlight w:val="none"/>
              </w:rPr>
              <w:t>评标结果公示期满后次日，非中标候选人的投标保证金按原路径自动退回；中标通知书发放（打印）次日，第二、三名投标人的投标保证金按原路径自动退回；合同归档次日，中标人的投标保证金按原路径自动退回。</w:t>
            </w:r>
            <w:bookmarkEnd w:id="73"/>
            <w:r>
              <w:rPr>
                <w:rFonts w:hint="eastAsia"/>
                <w:color w:val="auto"/>
                <w:highlight w:val="none"/>
              </w:rPr>
              <w:t xml:space="preserve"> </w:t>
            </w:r>
          </w:p>
          <w:p w14:paraId="1C4F5BEF">
            <w:pPr>
              <w:rPr>
                <w:rFonts w:hint="eastAsia"/>
                <w:color w:val="auto"/>
                <w:highlight w:val="none"/>
              </w:rPr>
            </w:pPr>
            <w:r>
              <w:rPr>
                <w:rFonts w:hint="eastAsia"/>
                <w:color w:val="auto"/>
                <w:highlight w:val="none"/>
              </w:rPr>
              <w:t>特别说明：</w:t>
            </w:r>
            <w:bookmarkStart w:id="74" w:name="EBe8d53e47ba0249a0842ed487a62e0770"/>
            <w:r>
              <w:rPr>
                <w:rFonts w:hint="eastAsia"/>
                <w:color w:val="auto"/>
                <w:highlight w:val="none"/>
              </w:rPr>
              <w:t>上述几种情况，投标保证金的退还无需招标人或招标代理机构提交申请，遇特殊情况不能及时退还的，招标人或招标代理机构将及时通过“电子交易平台”“投标保证金管理”菜单提交书面情况说明（详见投标保证金收退指南）。</w:t>
            </w:r>
            <w:bookmarkEnd w:id="74"/>
            <w:r>
              <w:rPr>
                <w:rFonts w:hint="eastAsia"/>
                <w:color w:val="auto"/>
                <w:highlight w:val="none"/>
              </w:rPr>
              <w:t xml:space="preserve"> </w:t>
            </w:r>
          </w:p>
          <w:p w14:paraId="430A8894">
            <w:pPr>
              <w:rPr>
                <w:rFonts w:hint="eastAsia"/>
                <w:color w:val="auto"/>
                <w:highlight w:val="none"/>
              </w:rPr>
            </w:pPr>
            <w:r>
              <w:rPr>
                <w:rFonts w:hint="eastAsia"/>
                <w:color w:val="auto"/>
                <w:highlight w:val="none"/>
              </w:rPr>
              <w:t>2. 采用银行电子保函方式，不产生利息，电子保函到期后自动失效。</w:t>
            </w:r>
          </w:p>
        </w:tc>
      </w:tr>
      <w:tr w14:paraId="26B4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97" w:type="dxa"/>
            <w:noWrap w:val="0"/>
            <w:vAlign w:val="center"/>
          </w:tcPr>
          <w:p w14:paraId="0E976EDC">
            <w:pPr>
              <w:spacing w:line="312" w:lineRule="auto"/>
              <w:jc w:val="center"/>
              <w:rPr>
                <w:rFonts w:hint="eastAsia"/>
                <w:color w:val="auto"/>
                <w:highlight w:val="none"/>
              </w:rPr>
            </w:pPr>
            <w:r>
              <w:rPr>
                <w:rFonts w:hint="eastAsia"/>
                <w:color w:val="auto"/>
                <w:highlight w:val="none"/>
              </w:rPr>
              <w:t>3.5.1</w:t>
            </w:r>
          </w:p>
        </w:tc>
        <w:tc>
          <w:tcPr>
            <w:tcW w:w="2163" w:type="dxa"/>
            <w:noWrap w:val="0"/>
            <w:vAlign w:val="center"/>
          </w:tcPr>
          <w:p w14:paraId="0E4C86DD">
            <w:pPr>
              <w:spacing w:line="312" w:lineRule="auto"/>
              <w:rPr>
                <w:rFonts w:hint="eastAsia"/>
                <w:color w:val="auto"/>
                <w:highlight w:val="none"/>
              </w:rPr>
            </w:pPr>
            <w:r>
              <w:rPr>
                <w:rFonts w:hint="eastAsia"/>
                <w:color w:val="auto"/>
                <w:highlight w:val="none"/>
              </w:rPr>
              <w:t>类似项目</w:t>
            </w:r>
          </w:p>
        </w:tc>
        <w:tc>
          <w:tcPr>
            <w:tcW w:w="5354" w:type="dxa"/>
            <w:noWrap w:val="0"/>
            <w:vAlign w:val="center"/>
          </w:tcPr>
          <w:p w14:paraId="4DA166E7">
            <w:pPr>
              <w:numPr>
                <w:ilvl w:val="0"/>
                <w:numId w:val="0"/>
              </w:numPr>
              <w:spacing w:line="312" w:lineRule="auto"/>
              <w:rPr>
                <w:rFonts w:hint="default"/>
                <w:color w:val="auto"/>
                <w:highlight w:val="none"/>
                <w:lang w:val="en-US" w:eastAsia="zh-CN"/>
              </w:rPr>
            </w:pPr>
            <w:r>
              <w:rPr>
                <w:rFonts w:hint="eastAsia"/>
                <w:color w:val="auto"/>
                <w:highlight w:val="none"/>
                <w:lang w:val="en-US" w:eastAsia="zh-CN"/>
              </w:rPr>
              <w:t>是指承接过房屋建筑工程施工业绩。</w:t>
            </w:r>
          </w:p>
        </w:tc>
      </w:tr>
      <w:tr w14:paraId="1548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97" w:type="dxa"/>
            <w:noWrap w:val="0"/>
            <w:vAlign w:val="center"/>
          </w:tcPr>
          <w:p w14:paraId="4A2101DB">
            <w:pPr>
              <w:jc w:val="center"/>
              <w:rPr>
                <w:rFonts w:hint="eastAsia"/>
                <w:color w:val="auto"/>
                <w:highlight w:val="none"/>
              </w:rPr>
            </w:pPr>
            <w:r>
              <w:rPr>
                <w:rFonts w:hint="eastAsia"/>
                <w:color w:val="auto"/>
                <w:highlight w:val="none"/>
              </w:rPr>
              <w:t>3.6</w:t>
            </w:r>
          </w:p>
        </w:tc>
        <w:tc>
          <w:tcPr>
            <w:tcW w:w="2163" w:type="dxa"/>
            <w:noWrap w:val="0"/>
            <w:vAlign w:val="center"/>
          </w:tcPr>
          <w:p w14:paraId="4069FF07">
            <w:pPr>
              <w:rPr>
                <w:rFonts w:hint="eastAsia"/>
                <w:color w:val="auto"/>
                <w:highlight w:val="none"/>
              </w:rPr>
            </w:pPr>
            <w:r>
              <w:rPr>
                <w:rFonts w:hint="eastAsia"/>
                <w:color w:val="auto"/>
                <w:highlight w:val="none"/>
              </w:rPr>
              <w:t>是否允许递交</w:t>
            </w:r>
          </w:p>
          <w:p w14:paraId="51817719">
            <w:pPr>
              <w:rPr>
                <w:rFonts w:hint="eastAsia"/>
                <w:color w:val="auto"/>
                <w:highlight w:val="none"/>
              </w:rPr>
            </w:pPr>
            <w:r>
              <w:rPr>
                <w:rFonts w:hint="eastAsia"/>
                <w:color w:val="auto"/>
                <w:highlight w:val="none"/>
              </w:rPr>
              <w:t>备选投标方案</w:t>
            </w:r>
          </w:p>
        </w:tc>
        <w:tc>
          <w:tcPr>
            <w:tcW w:w="5354" w:type="dxa"/>
            <w:noWrap w:val="0"/>
            <w:vAlign w:val="center"/>
          </w:tcPr>
          <w:p w14:paraId="5771F73C">
            <w:pPr>
              <w:spacing w:line="288" w:lineRule="auto"/>
              <w:rPr>
                <w:rFonts w:hint="eastAsia"/>
                <w:color w:val="auto"/>
                <w:highlight w:val="none"/>
              </w:rPr>
            </w:pPr>
            <w:bookmarkStart w:id="75" w:name="EB5ebda5d2e2ed4c538511674502112a8d"/>
            <w:r>
              <w:rPr>
                <w:rFonts w:hint="eastAsia"/>
                <w:color w:val="auto"/>
                <w:highlight w:val="none"/>
              </w:rPr>
              <w:t>□</w:t>
            </w:r>
            <w:bookmarkEnd w:id="75"/>
            <w:r>
              <w:rPr>
                <w:rFonts w:hint="eastAsia"/>
                <w:color w:val="auto"/>
                <w:highlight w:val="none"/>
              </w:rPr>
              <w:t>允许</w:t>
            </w:r>
            <w:r>
              <w:rPr>
                <w:color w:val="auto"/>
                <w:highlight w:val="none"/>
              </w:rPr>
              <w:br w:type="textWrapping"/>
            </w:r>
            <w:bookmarkStart w:id="76" w:name="EB2b1d37dda29847b2afdbd2e3e0be76c8"/>
            <w:r>
              <w:rPr>
                <w:rFonts w:hint="eastAsia"/>
                <w:color w:val="auto"/>
                <w:highlight w:val="none"/>
              </w:rPr>
              <w:t>☑</w:t>
            </w:r>
            <w:bookmarkEnd w:id="76"/>
            <w:r>
              <w:rPr>
                <w:rFonts w:hint="eastAsia"/>
                <w:color w:val="auto"/>
                <w:highlight w:val="none"/>
              </w:rPr>
              <w:t>不允许</w:t>
            </w:r>
          </w:p>
        </w:tc>
      </w:tr>
      <w:tr w14:paraId="5D83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noWrap w:val="0"/>
            <w:vAlign w:val="center"/>
          </w:tcPr>
          <w:p w14:paraId="765A6D13">
            <w:pPr>
              <w:jc w:val="center"/>
              <w:rPr>
                <w:rFonts w:hint="eastAsia"/>
                <w:color w:val="auto"/>
                <w:highlight w:val="none"/>
              </w:rPr>
            </w:pPr>
            <w:r>
              <w:rPr>
                <w:rFonts w:hint="eastAsia"/>
                <w:color w:val="auto"/>
                <w:highlight w:val="none"/>
              </w:rPr>
              <w:t>3.7.4</w:t>
            </w:r>
          </w:p>
        </w:tc>
        <w:tc>
          <w:tcPr>
            <w:tcW w:w="2163" w:type="dxa"/>
            <w:noWrap w:val="0"/>
            <w:vAlign w:val="center"/>
          </w:tcPr>
          <w:p w14:paraId="4837E8D5">
            <w:pPr>
              <w:rPr>
                <w:rFonts w:hint="eastAsia"/>
                <w:color w:val="auto"/>
                <w:highlight w:val="none"/>
              </w:rPr>
            </w:pPr>
            <w:r>
              <w:rPr>
                <w:rFonts w:hint="eastAsia"/>
                <w:color w:val="auto"/>
                <w:szCs w:val="21"/>
                <w:highlight w:val="none"/>
              </w:rPr>
              <w:t>是否采用“技术暗标”</w:t>
            </w:r>
          </w:p>
        </w:tc>
        <w:tc>
          <w:tcPr>
            <w:tcW w:w="5354" w:type="dxa"/>
            <w:noWrap w:val="0"/>
            <w:vAlign w:val="center"/>
          </w:tcPr>
          <w:p w14:paraId="4FC80D52">
            <w:pPr>
              <w:rPr>
                <w:rFonts w:hint="eastAsia" w:ascii="宋体" w:hAnsi="宋体"/>
                <w:color w:val="auto"/>
                <w:szCs w:val="21"/>
                <w:highlight w:val="none"/>
              </w:rPr>
            </w:pPr>
            <w:r>
              <w:rPr>
                <w:rFonts w:hint="eastAsia"/>
                <w:color w:val="auto"/>
                <w:szCs w:val="21"/>
                <w:highlight w:val="none"/>
              </w:rPr>
              <w:t>采用</w:t>
            </w:r>
          </w:p>
        </w:tc>
      </w:tr>
      <w:tr w14:paraId="51D7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897" w:type="dxa"/>
            <w:noWrap w:val="0"/>
            <w:vAlign w:val="center"/>
          </w:tcPr>
          <w:p w14:paraId="4E07FBA8">
            <w:pPr>
              <w:jc w:val="center"/>
              <w:rPr>
                <w:rFonts w:hint="eastAsia"/>
                <w:color w:val="auto"/>
                <w:highlight w:val="none"/>
              </w:rPr>
            </w:pPr>
            <w:r>
              <w:rPr>
                <w:rFonts w:hint="eastAsia"/>
                <w:color w:val="auto"/>
                <w:highlight w:val="none"/>
              </w:rPr>
              <w:t>4.2.1</w:t>
            </w:r>
          </w:p>
        </w:tc>
        <w:tc>
          <w:tcPr>
            <w:tcW w:w="2163" w:type="dxa"/>
            <w:noWrap w:val="0"/>
            <w:vAlign w:val="center"/>
          </w:tcPr>
          <w:p w14:paraId="4A7A9769">
            <w:pPr>
              <w:rPr>
                <w:rFonts w:hint="eastAsia"/>
                <w:color w:val="auto"/>
                <w:highlight w:val="none"/>
              </w:rPr>
            </w:pPr>
            <w:r>
              <w:rPr>
                <w:rFonts w:hint="eastAsia"/>
                <w:color w:val="auto"/>
                <w:highlight w:val="none"/>
              </w:rPr>
              <w:t>投标截止时间</w:t>
            </w:r>
          </w:p>
        </w:tc>
        <w:tc>
          <w:tcPr>
            <w:tcW w:w="5354" w:type="dxa"/>
            <w:noWrap w:val="0"/>
            <w:vAlign w:val="center"/>
          </w:tcPr>
          <w:p w14:paraId="4E27E30D">
            <w:pPr>
              <w:numPr>
                <w:ilvl w:val="0"/>
                <w:numId w:val="1"/>
              </w:numPr>
              <w:spacing w:line="288" w:lineRule="auto"/>
              <w:ind w:left="105" w:leftChars="0" w:firstLine="0" w:firstLineChars="0"/>
              <w:rPr>
                <w:rFonts w:hint="eastAsia"/>
                <w:color w:val="auto"/>
                <w:highlight w:val="none"/>
              </w:rPr>
            </w:pPr>
            <w:bookmarkStart w:id="77" w:name="EB8ff7041668664e57801a66331a775e69"/>
            <w:r>
              <w:rPr>
                <w:rFonts w:hint="eastAsia"/>
                <w:color w:val="0000FF"/>
                <w:highlight w:val="yellow"/>
                <w:lang w:val="en-US" w:eastAsia="zh-CN"/>
              </w:rPr>
              <w:t xml:space="preserve"> </w:t>
            </w:r>
            <w:r>
              <w:rPr>
                <w:rFonts w:hint="eastAsia"/>
                <w:color w:val="0000FF"/>
                <w:highlight w:val="yellow"/>
              </w:rPr>
              <w:t>-</w:t>
            </w:r>
            <w:r>
              <w:rPr>
                <w:rFonts w:hint="eastAsia"/>
                <w:color w:val="0000FF"/>
                <w:highlight w:val="yellow"/>
                <w:lang w:val="en-US" w:eastAsia="zh-CN"/>
              </w:rPr>
              <w:t xml:space="preserve"> </w:t>
            </w:r>
            <w:r>
              <w:rPr>
                <w:rFonts w:hint="eastAsia"/>
                <w:color w:val="0000FF"/>
                <w:highlight w:val="yellow"/>
              </w:rPr>
              <w:t xml:space="preserve">      09:00:00</w:t>
            </w:r>
            <w:bookmarkEnd w:id="77"/>
          </w:p>
        </w:tc>
      </w:tr>
      <w:tr w14:paraId="1AEA4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897" w:type="dxa"/>
            <w:noWrap w:val="0"/>
            <w:vAlign w:val="center"/>
          </w:tcPr>
          <w:p w14:paraId="552D8060">
            <w:pPr>
              <w:jc w:val="center"/>
              <w:rPr>
                <w:rFonts w:hint="eastAsia"/>
                <w:color w:val="auto"/>
                <w:highlight w:val="none"/>
              </w:rPr>
            </w:pPr>
            <w:r>
              <w:rPr>
                <w:rFonts w:hint="eastAsia"/>
                <w:color w:val="auto"/>
                <w:highlight w:val="none"/>
              </w:rPr>
              <w:t>4.2.3</w:t>
            </w:r>
          </w:p>
        </w:tc>
        <w:tc>
          <w:tcPr>
            <w:tcW w:w="2163" w:type="dxa"/>
            <w:noWrap w:val="0"/>
            <w:vAlign w:val="center"/>
          </w:tcPr>
          <w:p w14:paraId="12ACA763">
            <w:pPr>
              <w:rPr>
                <w:rFonts w:hint="eastAsia"/>
                <w:color w:val="auto"/>
                <w:highlight w:val="none"/>
              </w:rPr>
            </w:pPr>
            <w:r>
              <w:rPr>
                <w:rFonts w:hint="eastAsia"/>
                <w:color w:val="auto"/>
                <w:highlight w:val="none"/>
              </w:rPr>
              <w:t>是否退还投标文件</w:t>
            </w:r>
          </w:p>
        </w:tc>
        <w:tc>
          <w:tcPr>
            <w:tcW w:w="5354" w:type="dxa"/>
            <w:noWrap w:val="0"/>
            <w:vAlign w:val="center"/>
          </w:tcPr>
          <w:p w14:paraId="61B8713E">
            <w:pPr>
              <w:pStyle w:val="32"/>
              <w:jc w:val="left"/>
              <w:rPr>
                <w:color w:val="auto"/>
                <w:highlight w:val="none"/>
              </w:rPr>
            </w:pPr>
            <w:bookmarkStart w:id="78" w:name="EB9dfe88bdd5524a978c33bdd7d7dde65a"/>
            <w:bookmarkEnd w:id="78"/>
            <w:bookmarkStart w:id="79" w:name="EBbf47d05080c544fbae26daa304d21ed0"/>
            <w:r>
              <w:rPr>
                <w:rFonts w:hint="eastAsia"/>
                <w:color w:val="auto"/>
                <w:highlight w:val="none"/>
              </w:rPr>
              <w:t>☑</w:t>
            </w:r>
            <w:bookmarkEnd w:id="79"/>
            <w:r>
              <w:rPr>
                <w:rFonts w:hint="eastAsia"/>
                <w:color w:val="auto"/>
                <w:highlight w:val="none"/>
              </w:rPr>
              <w:t>否</w:t>
            </w:r>
          </w:p>
          <w:p w14:paraId="29890F2E">
            <w:pPr>
              <w:spacing w:line="288" w:lineRule="auto"/>
              <w:rPr>
                <w:rFonts w:hint="eastAsia"/>
                <w:color w:val="auto"/>
                <w:highlight w:val="none"/>
              </w:rPr>
            </w:pPr>
            <w:bookmarkStart w:id="80" w:name="EBee4320d904f64a6c9a49163ee7dc1e99"/>
            <w:r>
              <w:rPr>
                <w:rFonts w:hint="eastAsia"/>
                <w:color w:val="auto"/>
                <w:highlight w:val="none"/>
              </w:rPr>
              <w:t>□</w:t>
            </w:r>
            <w:bookmarkEnd w:id="80"/>
            <w:r>
              <w:rPr>
                <w:rFonts w:hint="eastAsia"/>
                <w:color w:val="auto"/>
                <w:highlight w:val="none"/>
              </w:rPr>
              <w:t>是，退还安排：</w:t>
            </w:r>
            <w:bookmarkStart w:id="81" w:name="EBae53447fd0b74f2ab55889f3434ae867"/>
            <w:r>
              <w:rPr>
                <w:rFonts w:hint="eastAsia"/>
                <w:color w:val="auto"/>
                <w:highlight w:val="none"/>
              </w:rPr>
              <w:t xml:space="preserve"> </w:t>
            </w:r>
            <w:bookmarkEnd w:id="81"/>
          </w:p>
        </w:tc>
      </w:tr>
      <w:tr w14:paraId="29028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897" w:type="dxa"/>
            <w:noWrap w:val="0"/>
            <w:vAlign w:val="center"/>
          </w:tcPr>
          <w:p w14:paraId="5E23491D">
            <w:pPr>
              <w:jc w:val="center"/>
              <w:rPr>
                <w:rFonts w:hint="eastAsia"/>
                <w:color w:val="auto"/>
                <w:highlight w:val="none"/>
              </w:rPr>
            </w:pPr>
            <w:r>
              <w:rPr>
                <w:color w:val="auto"/>
                <w:highlight w:val="none"/>
              </w:rPr>
              <w:t>5.1.</w:t>
            </w:r>
            <w:r>
              <w:rPr>
                <w:rFonts w:hint="eastAsia"/>
                <w:color w:val="auto"/>
                <w:highlight w:val="none"/>
              </w:rPr>
              <w:t>2</w:t>
            </w:r>
          </w:p>
        </w:tc>
        <w:tc>
          <w:tcPr>
            <w:tcW w:w="2163" w:type="dxa"/>
            <w:noWrap w:val="0"/>
            <w:vAlign w:val="center"/>
          </w:tcPr>
          <w:p w14:paraId="57BB97CB">
            <w:pPr>
              <w:rPr>
                <w:rFonts w:hint="eastAsia"/>
                <w:color w:val="auto"/>
                <w:highlight w:val="none"/>
              </w:rPr>
            </w:pPr>
            <w:r>
              <w:rPr>
                <w:rFonts w:hint="eastAsia"/>
                <w:color w:val="auto"/>
                <w:highlight w:val="none"/>
              </w:rPr>
              <w:t>组织开标地点</w:t>
            </w:r>
          </w:p>
        </w:tc>
        <w:tc>
          <w:tcPr>
            <w:tcW w:w="5354" w:type="dxa"/>
            <w:noWrap w:val="0"/>
            <w:vAlign w:val="center"/>
          </w:tcPr>
          <w:p w14:paraId="656B4DCE">
            <w:pPr>
              <w:spacing w:line="288" w:lineRule="auto"/>
              <w:rPr>
                <w:rFonts w:hint="eastAsia"/>
                <w:color w:val="auto"/>
                <w:highlight w:val="none"/>
              </w:rPr>
            </w:pPr>
            <w:bookmarkStart w:id="82" w:name="EBf345df83370045458fc361049c789256"/>
            <w:r>
              <w:rPr>
                <w:rFonts w:hint="eastAsia"/>
                <w:color w:val="auto"/>
                <w:highlight w:val="none"/>
              </w:rPr>
              <w:t>本项目为不见面开标，所有投标人均应当准时在电子交易平台开标大厅在线参加开标</w:t>
            </w:r>
            <w:bookmarkEnd w:id="82"/>
          </w:p>
        </w:tc>
      </w:tr>
      <w:tr w14:paraId="1148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897" w:type="dxa"/>
            <w:noWrap w:val="0"/>
            <w:vAlign w:val="center"/>
          </w:tcPr>
          <w:p w14:paraId="5354EDD7">
            <w:pPr>
              <w:jc w:val="center"/>
              <w:rPr>
                <w:rFonts w:ascii="宋体" w:hAnsi="宋体"/>
                <w:color w:val="auto"/>
                <w:szCs w:val="21"/>
                <w:highlight w:val="none"/>
              </w:rPr>
            </w:pPr>
            <w:r>
              <w:rPr>
                <w:rFonts w:hint="eastAsia"/>
                <w:color w:val="auto"/>
                <w:highlight w:val="none"/>
              </w:rPr>
              <w:t>5.2.1（5）</w:t>
            </w:r>
          </w:p>
        </w:tc>
        <w:tc>
          <w:tcPr>
            <w:tcW w:w="2163" w:type="dxa"/>
            <w:noWrap w:val="0"/>
            <w:vAlign w:val="center"/>
          </w:tcPr>
          <w:p w14:paraId="183D50E3">
            <w:pPr>
              <w:rPr>
                <w:rFonts w:hint="eastAsia" w:ascii="宋体" w:hAnsi="宋体"/>
                <w:color w:val="auto"/>
                <w:szCs w:val="21"/>
                <w:highlight w:val="none"/>
              </w:rPr>
            </w:pPr>
            <w:r>
              <w:rPr>
                <w:rFonts w:hint="eastAsia" w:ascii="宋体" w:hAnsi="宋体"/>
                <w:color w:val="auto"/>
                <w:szCs w:val="21"/>
                <w:highlight w:val="none"/>
              </w:rPr>
              <w:t>解密时间</w:t>
            </w:r>
          </w:p>
        </w:tc>
        <w:tc>
          <w:tcPr>
            <w:tcW w:w="5354" w:type="dxa"/>
            <w:noWrap w:val="0"/>
            <w:vAlign w:val="center"/>
          </w:tcPr>
          <w:p w14:paraId="44850CA5">
            <w:pPr>
              <w:rPr>
                <w:rFonts w:hint="eastAsia"/>
                <w:color w:val="auto"/>
                <w:highlight w:val="none"/>
              </w:rPr>
            </w:pPr>
            <w:r>
              <w:rPr>
                <w:rFonts w:hint="eastAsia"/>
                <w:color w:val="auto"/>
                <w:highlight w:val="none"/>
              </w:rPr>
              <w:t>招标人发出解密提示后  30  分钟内</w:t>
            </w:r>
          </w:p>
          <w:p w14:paraId="13AB1CB0">
            <w:pPr>
              <w:rPr>
                <w:rFonts w:hint="eastAsia"/>
                <w:color w:val="auto"/>
                <w:highlight w:val="none"/>
              </w:rPr>
            </w:pPr>
            <w:r>
              <w:rPr>
                <w:rFonts w:hint="eastAsia"/>
                <w:color w:val="auto"/>
                <w:highlight w:val="none"/>
              </w:rPr>
              <w:t>（招标人应充分考虑标段数和投标人数量，合理设置解密时间，该时间不应少于20分钟）</w:t>
            </w:r>
          </w:p>
        </w:tc>
      </w:tr>
      <w:tr w14:paraId="53299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jc w:val="center"/>
        </w:trPr>
        <w:tc>
          <w:tcPr>
            <w:tcW w:w="897" w:type="dxa"/>
            <w:noWrap w:val="0"/>
            <w:vAlign w:val="center"/>
          </w:tcPr>
          <w:p w14:paraId="420CB002">
            <w:pPr>
              <w:jc w:val="center"/>
              <w:rPr>
                <w:rFonts w:hint="eastAsia"/>
                <w:color w:val="auto"/>
                <w:highlight w:val="none"/>
              </w:rPr>
            </w:pPr>
            <w:r>
              <w:rPr>
                <w:rFonts w:hint="eastAsia"/>
                <w:color w:val="auto"/>
                <w:highlight w:val="none"/>
              </w:rPr>
              <w:t>6.1.1</w:t>
            </w:r>
          </w:p>
        </w:tc>
        <w:tc>
          <w:tcPr>
            <w:tcW w:w="2163" w:type="dxa"/>
            <w:noWrap w:val="0"/>
            <w:vAlign w:val="center"/>
          </w:tcPr>
          <w:p w14:paraId="00DC9DDF">
            <w:pPr>
              <w:rPr>
                <w:rFonts w:hint="eastAsia"/>
                <w:color w:val="auto"/>
                <w:highlight w:val="none"/>
              </w:rPr>
            </w:pPr>
            <w:r>
              <w:rPr>
                <w:rFonts w:hint="eastAsia"/>
                <w:color w:val="auto"/>
                <w:highlight w:val="none"/>
              </w:rPr>
              <w:t>评标委员会的组建</w:t>
            </w:r>
          </w:p>
        </w:tc>
        <w:tc>
          <w:tcPr>
            <w:tcW w:w="5354" w:type="dxa"/>
            <w:noWrap w:val="0"/>
            <w:vAlign w:val="center"/>
          </w:tcPr>
          <w:p w14:paraId="4CE9AFA1">
            <w:pPr>
              <w:rPr>
                <w:rFonts w:hint="eastAsia"/>
                <w:color w:val="0000FF"/>
                <w:highlight w:val="none"/>
              </w:rPr>
            </w:pPr>
            <w:r>
              <w:rPr>
                <w:rFonts w:hint="eastAsia"/>
                <w:color w:val="0000FF"/>
                <w:highlight w:val="none"/>
              </w:rPr>
              <w:t>评标委员会构成：</w:t>
            </w:r>
            <w:bookmarkStart w:id="83" w:name="EB5e596f9f5aeb448c98648791087ea5c7"/>
            <w:r>
              <w:rPr>
                <w:rFonts w:hint="eastAsia"/>
                <w:color w:val="0000FF"/>
                <w:highlight w:val="none"/>
                <w:lang w:val="en-US" w:eastAsia="zh-CN"/>
              </w:rPr>
              <w:t>7</w:t>
            </w:r>
            <w:r>
              <w:rPr>
                <w:rFonts w:hint="eastAsia"/>
                <w:color w:val="0000FF"/>
                <w:highlight w:val="none"/>
              </w:rPr>
              <w:t>人，其中招标人代表</w:t>
            </w:r>
            <w:r>
              <w:rPr>
                <w:rFonts w:hint="eastAsia"/>
                <w:color w:val="0000FF"/>
                <w:highlight w:val="none"/>
                <w:lang w:val="en-US" w:eastAsia="zh-CN"/>
              </w:rPr>
              <w:t>2</w:t>
            </w:r>
            <w:r>
              <w:rPr>
                <w:rFonts w:hint="eastAsia"/>
                <w:color w:val="0000FF"/>
                <w:highlight w:val="none"/>
              </w:rPr>
              <w:t>人，专家</w:t>
            </w:r>
            <w:r>
              <w:rPr>
                <w:rFonts w:hint="eastAsia"/>
                <w:color w:val="0000FF"/>
                <w:highlight w:val="none"/>
                <w:lang w:val="en-US" w:eastAsia="zh-CN"/>
              </w:rPr>
              <w:t>5</w:t>
            </w:r>
            <w:r>
              <w:rPr>
                <w:rFonts w:hint="eastAsia"/>
                <w:color w:val="0000FF"/>
                <w:highlight w:val="none"/>
              </w:rPr>
              <w:t>人；</w:t>
            </w:r>
            <w:bookmarkEnd w:id="83"/>
          </w:p>
          <w:p w14:paraId="2FE36B59">
            <w:pPr>
              <w:rPr>
                <w:rFonts w:hint="eastAsia"/>
                <w:color w:val="auto"/>
                <w:highlight w:val="none"/>
              </w:rPr>
            </w:pPr>
            <w:r>
              <w:rPr>
                <w:rFonts w:hint="eastAsia"/>
                <w:color w:val="0000FF"/>
                <w:highlight w:val="none"/>
              </w:rPr>
              <w:t>评标专家确定方式：</w:t>
            </w:r>
            <w:bookmarkStart w:id="84" w:name="EBcb4ada1b6d4d44dfa2e45795cd268af5"/>
            <w:r>
              <w:rPr>
                <w:rFonts w:hint="eastAsia"/>
                <w:color w:val="0000FF"/>
                <w:highlight w:val="none"/>
              </w:rPr>
              <w:t>从湖北省综合评标专家总库相应专业中随机抽取产生。</w:t>
            </w:r>
            <w:bookmarkEnd w:id="84"/>
            <w:r>
              <w:rPr>
                <w:rFonts w:hint="eastAsia"/>
                <w:color w:val="0000FF"/>
                <w:highlight w:val="none"/>
              </w:rPr>
              <w:t xml:space="preserve"> </w:t>
            </w:r>
          </w:p>
        </w:tc>
      </w:tr>
      <w:tr w14:paraId="1785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97" w:type="dxa"/>
            <w:noWrap w:val="0"/>
            <w:vAlign w:val="center"/>
          </w:tcPr>
          <w:p w14:paraId="267CA6E1">
            <w:pPr>
              <w:spacing w:line="440" w:lineRule="exact"/>
              <w:jc w:val="center"/>
              <w:rPr>
                <w:rFonts w:hint="eastAsia"/>
                <w:color w:val="auto"/>
                <w:szCs w:val="21"/>
                <w:highlight w:val="none"/>
              </w:rPr>
            </w:pPr>
            <w:r>
              <w:rPr>
                <w:rFonts w:hint="eastAsia"/>
                <w:color w:val="auto"/>
                <w:highlight w:val="none"/>
              </w:rPr>
              <w:t>6</w:t>
            </w:r>
            <w:r>
              <w:rPr>
                <w:color w:val="auto"/>
                <w:highlight w:val="none"/>
              </w:rPr>
              <w:t>.</w:t>
            </w:r>
            <w:r>
              <w:rPr>
                <w:rFonts w:hint="eastAsia"/>
                <w:color w:val="auto"/>
                <w:highlight w:val="none"/>
              </w:rPr>
              <w:t>4</w:t>
            </w:r>
          </w:p>
        </w:tc>
        <w:tc>
          <w:tcPr>
            <w:tcW w:w="2163" w:type="dxa"/>
            <w:noWrap w:val="0"/>
            <w:vAlign w:val="center"/>
          </w:tcPr>
          <w:p w14:paraId="4C46A322">
            <w:pPr>
              <w:spacing w:line="440" w:lineRule="exact"/>
              <w:rPr>
                <w:color w:val="auto"/>
                <w:highlight w:val="none"/>
              </w:rPr>
            </w:pPr>
            <w:r>
              <w:rPr>
                <w:rFonts w:hint="eastAsia"/>
                <w:color w:val="auto"/>
                <w:highlight w:val="none"/>
              </w:rPr>
              <w:t>评标结果（定标候选人）公示媒介</w:t>
            </w:r>
          </w:p>
        </w:tc>
        <w:tc>
          <w:tcPr>
            <w:tcW w:w="5354" w:type="dxa"/>
            <w:noWrap w:val="0"/>
            <w:vAlign w:val="center"/>
          </w:tcPr>
          <w:p w14:paraId="71D336DC">
            <w:pPr>
              <w:spacing w:line="360" w:lineRule="atLeast"/>
              <w:jc w:val="left"/>
              <w:rPr>
                <w:rFonts w:hint="eastAsia"/>
                <w:highlight w:val="white"/>
              </w:rPr>
            </w:pPr>
            <w:bookmarkStart w:id="85" w:name="EBbc40a74955d54b5d8a698c491d1f09af"/>
            <w:r>
              <w:rPr>
                <w:rFonts w:hint="eastAsia"/>
                <w:highlight w:val="white"/>
              </w:rPr>
              <w:t>大冶政府网招投标版块网址：</w:t>
            </w:r>
          </w:p>
          <w:p w14:paraId="0522008E">
            <w:pPr>
              <w:spacing w:line="360" w:lineRule="atLeast"/>
              <w:jc w:val="left"/>
              <w:rPr>
                <w:rFonts w:hint="eastAsia"/>
              </w:rPr>
            </w:pPr>
            <w:r>
              <w:rPr>
                <w:rFonts w:hint="eastAsia"/>
                <w:highlight w:val="white"/>
              </w:rPr>
              <w:t>http://36.133.17.9:8081/ztb/</w:t>
            </w:r>
          </w:p>
          <w:p w14:paraId="0389FB07">
            <w:pPr>
              <w:spacing w:line="360" w:lineRule="atLeast"/>
              <w:rPr>
                <w:rFonts w:hint="eastAsia"/>
                <w:highlight w:val="none"/>
              </w:rPr>
            </w:pPr>
            <w:r>
              <w:rPr>
                <w:rFonts w:hint="eastAsia"/>
                <w:highlight w:val="none"/>
              </w:rPr>
              <w:t>湖北省公共资源交易电子服务系统</w:t>
            </w:r>
          </w:p>
          <w:p w14:paraId="0E93E827">
            <w:pPr>
              <w:spacing w:line="360" w:lineRule="atLeast"/>
              <w:rPr>
                <w:rFonts w:hint="eastAsia"/>
                <w:color w:val="auto"/>
                <w:highlight w:val="none"/>
              </w:rPr>
            </w:pPr>
            <w:r>
              <w:rPr>
                <w:rFonts w:hint="eastAsia"/>
                <w:highlight w:val="white"/>
              </w:rPr>
              <w:t>网址：</w:t>
            </w:r>
            <w:r>
              <w:rPr>
                <w:rFonts w:hint="eastAsia"/>
                <w:color w:val="auto"/>
                <w:highlight w:val="none"/>
              </w:rPr>
              <w:t>www.hbggzyfwpt.cn</w:t>
            </w:r>
            <w:bookmarkEnd w:id="85"/>
          </w:p>
        </w:tc>
      </w:tr>
      <w:tr w14:paraId="1DEC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97" w:type="dxa"/>
            <w:noWrap w:val="0"/>
            <w:vAlign w:val="center"/>
          </w:tcPr>
          <w:p w14:paraId="793FE516">
            <w:pPr>
              <w:jc w:val="center"/>
              <w:rPr>
                <w:rFonts w:hint="eastAsia"/>
                <w:color w:val="auto"/>
                <w:highlight w:val="none"/>
              </w:rPr>
            </w:pPr>
            <w:r>
              <w:rPr>
                <w:rFonts w:hint="eastAsia"/>
                <w:color w:val="auto"/>
                <w:highlight w:val="none"/>
              </w:rPr>
              <w:t>7.1</w:t>
            </w:r>
          </w:p>
        </w:tc>
        <w:tc>
          <w:tcPr>
            <w:tcW w:w="2163" w:type="dxa"/>
            <w:noWrap w:val="0"/>
            <w:vAlign w:val="center"/>
          </w:tcPr>
          <w:p w14:paraId="2AD0990A">
            <w:pPr>
              <w:keepNext w:val="0"/>
              <w:keepLines w:val="0"/>
              <w:widowControl/>
              <w:suppressLineNumbers w:val="0"/>
              <w:jc w:val="left"/>
              <w:rPr>
                <w:rFonts w:hint="eastAsia"/>
                <w:color w:val="auto"/>
                <w:highlight w:val="none"/>
              </w:rPr>
            </w:pPr>
            <w:r>
              <w:rPr>
                <w:rFonts w:hint="eastAsia"/>
                <w:highlight w:val="white"/>
              </w:rPr>
              <w:t>是否授权评标委员会确定定标候选人</w:t>
            </w:r>
          </w:p>
        </w:tc>
        <w:tc>
          <w:tcPr>
            <w:tcW w:w="5354" w:type="dxa"/>
            <w:noWrap w:val="0"/>
            <w:vAlign w:val="center"/>
          </w:tcPr>
          <w:p w14:paraId="1E73C520">
            <w:pPr>
              <w:spacing w:line="360" w:lineRule="atLeast"/>
              <w:rPr>
                <w:rFonts w:hint="eastAsia"/>
                <w:color w:val="0000FF"/>
                <w:highlight w:val="white"/>
              </w:rPr>
            </w:pPr>
            <w:r>
              <w:rPr>
                <w:rFonts w:hint="eastAsia" w:ascii="宋体" w:hAnsi="宋体" w:eastAsia="宋体" w:cs="宋体"/>
                <w:color w:val="000000"/>
                <w:kern w:val="0"/>
                <w:sz w:val="24"/>
                <w:szCs w:val="24"/>
                <w:lang w:val="en-US" w:eastAsia="zh-CN" w:bidi="ar"/>
              </w:rPr>
              <w:t xml:space="preserve"> </w:t>
            </w:r>
            <w:r>
              <w:rPr>
                <w:rFonts w:hint="eastAsia"/>
                <w:highlight w:val="white"/>
              </w:rPr>
              <w:t>推荐的中标候选人数：</w:t>
            </w:r>
            <w:bookmarkStart w:id="86" w:name="EBc3c70a06fd524115ac4ab0fad9b469b9"/>
            <w:r>
              <w:rPr>
                <w:rFonts w:hint="eastAsia"/>
                <w:color w:val="0000FF"/>
                <w:highlight w:val="white"/>
                <w:lang w:val="en-US" w:eastAsia="zh-CN"/>
              </w:rPr>
              <w:t>有效</w:t>
            </w:r>
            <w:r>
              <w:rPr>
                <w:rFonts w:hint="eastAsia"/>
                <w:color w:val="0000FF"/>
                <w:highlight w:val="white"/>
              </w:rPr>
              <w:t>投标人数量少于或等于10家时，评标委员会推荐的中标候选人数量</w:t>
            </w:r>
            <w:r>
              <w:rPr>
                <w:rFonts w:hint="eastAsia"/>
                <w:color w:val="0000FF"/>
                <w:highlight w:val="white"/>
                <w:lang w:val="en-US" w:eastAsia="zh-CN"/>
              </w:rPr>
              <w:t>不超过</w:t>
            </w:r>
            <w:r>
              <w:rPr>
                <w:rFonts w:hint="eastAsia"/>
                <w:color w:val="0000FF"/>
                <w:highlight w:val="white"/>
              </w:rPr>
              <w:t>3家；</w:t>
            </w:r>
            <w:r>
              <w:rPr>
                <w:rFonts w:hint="eastAsia"/>
                <w:color w:val="0000FF"/>
                <w:highlight w:val="white"/>
                <w:lang w:val="en-US" w:eastAsia="zh-CN"/>
              </w:rPr>
              <w:t>有效</w:t>
            </w:r>
            <w:r>
              <w:rPr>
                <w:rFonts w:hint="eastAsia"/>
                <w:color w:val="0000FF"/>
                <w:highlight w:val="white"/>
              </w:rPr>
              <w:t>投标人数量</w:t>
            </w:r>
            <w:r>
              <w:rPr>
                <w:rFonts w:hint="eastAsia"/>
                <w:color w:val="0000FF"/>
                <w:highlight w:val="white"/>
                <w:lang w:val="en-US" w:eastAsia="zh-CN"/>
              </w:rPr>
              <w:t>多于</w:t>
            </w:r>
            <w:r>
              <w:rPr>
                <w:rFonts w:hint="eastAsia"/>
                <w:color w:val="0000FF"/>
                <w:highlight w:val="white"/>
              </w:rPr>
              <w:t>10家时，评标委员会推荐的中标候选人数量</w:t>
            </w:r>
            <w:r>
              <w:rPr>
                <w:rFonts w:hint="eastAsia"/>
                <w:color w:val="0000FF"/>
                <w:highlight w:val="white"/>
                <w:lang w:val="en-US" w:eastAsia="zh-CN"/>
              </w:rPr>
              <w:t>不超过</w:t>
            </w:r>
            <w:r>
              <w:rPr>
                <w:rFonts w:hint="eastAsia"/>
                <w:color w:val="0000FF"/>
                <w:highlight w:val="white"/>
              </w:rPr>
              <w:t>5家。</w:t>
            </w:r>
            <w:bookmarkEnd w:id="86"/>
          </w:p>
          <w:p w14:paraId="03DE7B28">
            <w:pPr>
              <w:keepNext w:val="0"/>
              <w:keepLines w:val="0"/>
              <w:widowControl/>
              <w:suppressLineNumbers w:val="0"/>
              <w:jc w:val="left"/>
              <w:rPr>
                <w:rFonts w:hint="eastAsia"/>
                <w:color w:val="auto"/>
                <w:highlight w:val="none"/>
                <w:u w:val="single"/>
              </w:rPr>
            </w:pPr>
            <w:r>
              <w:rPr>
                <w:color w:val="0000FF"/>
                <w:highlight w:val="white"/>
              </w:rPr>
              <w:t>定标委员会定标法（□价格竞争定标法、</w:t>
            </w:r>
            <w:r>
              <w:rPr>
                <w:rFonts w:hint="eastAsia"/>
                <w:color w:val="0000FF"/>
                <w:highlight w:val="white"/>
              </w:rPr>
              <w:t>☑</w:t>
            </w:r>
            <w:r>
              <w:rPr>
                <w:color w:val="0000FF"/>
                <w:highlight w:val="white"/>
              </w:rPr>
              <w:t>直接票决定标法、□逐轮票决定标法、□票决抽签定标法、□集体议事法定标）</w:t>
            </w:r>
          </w:p>
        </w:tc>
      </w:tr>
      <w:tr w14:paraId="361EB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897" w:type="dxa"/>
            <w:noWrap w:val="0"/>
            <w:vAlign w:val="center"/>
          </w:tcPr>
          <w:p w14:paraId="0D643EFB">
            <w:pPr>
              <w:jc w:val="center"/>
              <w:rPr>
                <w:rFonts w:hint="eastAsia"/>
                <w:color w:val="auto"/>
                <w:highlight w:val="none"/>
              </w:rPr>
            </w:pPr>
            <w:r>
              <w:rPr>
                <w:rFonts w:hint="eastAsia"/>
                <w:color w:val="auto"/>
                <w:highlight w:val="none"/>
              </w:rPr>
              <w:t>7.3.1</w:t>
            </w:r>
          </w:p>
        </w:tc>
        <w:tc>
          <w:tcPr>
            <w:tcW w:w="2163" w:type="dxa"/>
            <w:noWrap w:val="0"/>
            <w:vAlign w:val="center"/>
          </w:tcPr>
          <w:p w14:paraId="5EA1987B">
            <w:pPr>
              <w:rPr>
                <w:rFonts w:hint="eastAsia"/>
                <w:color w:val="auto"/>
                <w:highlight w:val="none"/>
              </w:rPr>
            </w:pPr>
            <w:r>
              <w:rPr>
                <w:rFonts w:hint="eastAsia"/>
                <w:color w:val="auto"/>
                <w:highlight w:val="none"/>
              </w:rPr>
              <w:t>履约</w:t>
            </w:r>
            <w:r>
              <w:rPr>
                <w:rFonts w:hint="eastAsia"/>
                <w:color w:val="auto"/>
                <w:szCs w:val="21"/>
                <w:highlight w:val="none"/>
              </w:rPr>
              <w:t>保证金</w:t>
            </w:r>
          </w:p>
        </w:tc>
        <w:tc>
          <w:tcPr>
            <w:tcW w:w="5354" w:type="dxa"/>
            <w:noWrap w:val="0"/>
            <w:vAlign w:val="center"/>
          </w:tcPr>
          <w:p w14:paraId="03341E09">
            <w:pPr>
              <w:spacing w:line="288" w:lineRule="auto"/>
              <w:rPr>
                <w:color w:val="auto"/>
                <w:highlight w:val="none"/>
              </w:rPr>
            </w:pPr>
            <w:bookmarkStart w:id="87" w:name="EB94986a95e0b54a94990bf7dcf5c8a944"/>
            <w:r>
              <w:rPr>
                <w:rFonts w:hint="eastAsia"/>
                <w:color w:val="auto"/>
                <w:highlight w:val="none"/>
                <w:lang w:eastAsia="zh-CN"/>
              </w:rPr>
              <w:t>☑</w:t>
            </w:r>
            <w:r>
              <w:rPr>
                <w:rFonts w:hint="eastAsia"/>
                <w:color w:val="auto"/>
                <w:highlight w:val="none"/>
              </w:rPr>
              <w:t>不提交</w:t>
            </w:r>
          </w:p>
          <w:p w14:paraId="6030620A">
            <w:pPr>
              <w:spacing w:line="288" w:lineRule="auto"/>
              <w:rPr>
                <w:rFonts w:hint="eastAsia"/>
                <w:color w:val="auto"/>
                <w:highlight w:val="none"/>
              </w:rPr>
            </w:pPr>
            <w:r>
              <w:rPr>
                <w:rFonts w:hint="eastAsia" w:ascii="MS Gothic" w:hAnsi="MS Gothic" w:cs="MS Gothic"/>
                <w:color w:val="auto"/>
                <w:highlight w:val="none"/>
                <w:lang w:eastAsia="zh-CN"/>
              </w:rPr>
              <w:t>□</w:t>
            </w:r>
            <w:r>
              <w:rPr>
                <w:rFonts w:hint="eastAsia"/>
                <w:color w:val="auto"/>
                <w:highlight w:val="none"/>
              </w:rPr>
              <w:t>提交</w:t>
            </w:r>
            <w:bookmarkEnd w:id="87"/>
          </w:p>
          <w:p w14:paraId="4E41E242">
            <w:pPr>
              <w:spacing w:line="288" w:lineRule="auto"/>
              <w:rPr>
                <w:rFonts w:hint="eastAsia"/>
                <w:color w:val="auto"/>
                <w:highlight w:val="none"/>
              </w:rPr>
            </w:pPr>
            <w:r>
              <w:rPr>
                <w:rFonts w:hint="eastAsia"/>
                <w:color w:val="auto"/>
                <w:highlight w:val="none"/>
              </w:rPr>
              <w:t>履约</w:t>
            </w:r>
            <w:r>
              <w:rPr>
                <w:color w:val="auto"/>
                <w:szCs w:val="21"/>
                <w:highlight w:val="none"/>
              </w:rPr>
              <w:t>保证金</w:t>
            </w:r>
            <w:r>
              <w:rPr>
                <w:rFonts w:hint="eastAsia"/>
                <w:color w:val="auto"/>
                <w:highlight w:val="none"/>
              </w:rPr>
              <w:t>的形式：现金或商业保函或银行保函</w:t>
            </w:r>
          </w:p>
          <w:p w14:paraId="44E2E42A">
            <w:pPr>
              <w:spacing w:line="288" w:lineRule="auto"/>
              <w:rPr>
                <w:rFonts w:hint="eastAsia"/>
                <w:color w:val="auto"/>
                <w:szCs w:val="21"/>
                <w:highlight w:val="none"/>
              </w:rPr>
            </w:pPr>
            <w:bookmarkStart w:id="88" w:name="EBe82f7341b38f49a3be940795b58d4413"/>
            <w:r>
              <w:rPr>
                <w:rFonts w:hint="eastAsia"/>
                <w:color w:val="auto"/>
                <w:highlight w:val="none"/>
              </w:rPr>
              <w:t xml:space="preserve"> </w:t>
            </w:r>
            <w:bookmarkEnd w:id="88"/>
            <w:r>
              <w:rPr>
                <w:rFonts w:hint="eastAsia"/>
                <w:color w:val="auto"/>
                <w:highlight w:val="none"/>
              </w:rPr>
              <w:t>履约</w:t>
            </w:r>
            <w:r>
              <w:rPr>
                <w:color w:val="auto"/>
                <w:szCs w:val="21"/>
                <w:highlight w:val="none"/>
              </w:rPr>
              <w:t>保证金</w:t>
            </w:r>
            <w:r>
              <w:rPr>
                <w:rFonts w:hint="eastAsia"/>
                <w:color w:val="auto"/>
                <w:highlight w:val="none"/>
              </w:rPr>
              <w:t>的金额：</w:t>
            </w:r>
            <w:r>
              <w:rPr>
                <w:rFonts w:hint="eastAsia"/>
                <w:color w:val="auto"/>
                <w:szCs w:val="21"/>
                <w:highlight w:val="none"/>
              </w:rPr>
              <w:t>合同总价的</w:t>
            </w:r>
            <w:bookmarkStart w:id="89" w:name="EB0af37caa05014db99eaa67feff478fcd"/>
            <w:r>
              <w:rPr>
                <w:rFonts w:hint="eastAsia"/>
                <w:color w:val="auto"/>
                <w:szCs w:val="21"/>
                <w:highlight w:val="none"/>
                <w:lang w:val="en-US" w:eastAsia="zh-CN"/>
              </w:rPr>
              <w:t>/</w:t>
            </w:r>
            <w:r>
              <w:rPr>
                <w:rFonts w:hint="eastAsia"/>
                <w:color w:val="auto"/>
                <w:szCs w:val="21"/>
                <w:highlight w:val="none"/>
              </w:rPr>
              <w:t xml:space="preserve"> </w:t>
            </w:r>
            <w:bookmarkEnd w:id="89"/>
            <w:r>
              <w:rPr>
                <w:rFonts w:hint="eastAsia"/>
                <w:color w:val="auto"/>
                <w:szCs w:val="21"/>
                <w:highlight w:val="none"/>
              </w:rPr>
              <w:t>%</w:t>
            </w:r>
          </w:p>
        </w:tc>
      </w:tr>
      <w:tr w14:paraId="5D7F5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97" w:type="dxa"/>
            <w:vMerge w:val="restart"/>
            <w:noWrap w:val="0"/>
            <w:vAlign w:val="center"/>
          </w:tcPr>
          <w:p w14:paraId="384FC198">
            <w:pPr>
              <w:jc w:val="center"/>
              <w:rPr>
                <w:rFonts w:hint="default" w:eastAsia="宋体"/>
                <w:color w:val="auto"/>
                <w:highlight w:val="none"/>
                <w:lang w:val="en-US" w:eastAsia="zh-CN"/>
              </w:rPr>
            </w:pPr>
            <w:r>
              <w:rPr>
                <w:rFonts w:hint="eastAsia"/>
                <w:color w:val="auto"/>
                <w:highlight w:val="none"/>
                <w:lang w:val="en-US" w:eastAsia="zh-CN"/>
              </w:rPr>
              <w:t>9.5</w:t>
            </w:r>
          </w:p>
        </w:tc>
        <w:tc>
          <w:tcPr>
            <w:tcW w:w="2163" w:type="dxa"/>
            <w:noWrap w:val="0"/>
            <w:vAlign w:val="center"/>
          </w:tcPr>
          <w:p w14:paraId="3769D427">
            <w:pPr>
              <w:rPr>
                <w:rFonts w:hint="eastAsia"/>
                <w:color w:val="auto"/>
                <w:highlight w:val="none"/>
              </w:rPr>
            </w:pPr>
            <w:r>
              <w:rPr>
                <w:rFonts w:hint="eastAsia"/>
                <w:color w:val="auto"/>
                <w:highlight w:val="none"/>
              </w:rPr>
              <w:t>工程造价管理机构</w:t>
            </w:r>
          </w:p>
        </w:tc>
        <w:tc>
          <w:tcPr>
            <w:tcW w:w="5354" w:type="dxa"/>
            <w:noWrap w:val="0"/>
            <w:vAlign w:val="center"/>
          </w:tcPr>
          <w:p w14:paraId="2CF4DB3D">
            <w:pPr>
              <w:rPr>
                <w:rFonts w:hint="eastAsia"/>
                <w:color w:val="000000" w:themeColor="text1"/>
                <w:highlight w:val="none"/>
                <w14:textFill>
                  <w14:solidFill>
                    <w14:schemeClr w14:val="tx1"/>
                  </w14:solidFill>
                </w14:textFill>
              </w:rPr>
            </w:pPr>
            <w:r>
              <w:rPr>
                <w:rFonts w:hint="eastAsia"/>
                <w:color w:val="auto"/>
                <w:highlight w:val="none"/>
              </w:rPr>
              <w:t>名    称</w:t>
            </w:r>
            <w:r>
              <w:rPr>
                <w:color w:val="auto"/>
                <w:highlight w:val="none"/>
              </w:rPr>
              <w:t>：</w:t>
            </w:r>
            <w:bookmarkStart w:id="90" w:name="EBbe3b4e57b18e425cb6ea265f1dde2b3c"/>
            <w:r>
              <w:rPr>
                <w:rFonts w:hint="eastAsia"/>
                <w:color w:val="000000" w:themeColor="text1"/>
                <w:highlight w:val="none"/>
                <w14:textFill>
                  <w14:solidFill>
                    <w14:schemeClr w14:val="tx1"/>
                  </w14:solidFill>
                </w14:textFill>
              </w:rPr>
              <w:t>黄石市建设工程造价管理站</w:t>
            </w:r>
            <w:bookmarkEnd w:id="90"/>
          </w:p>
          <w:p w14:paraId="34ED51F7">
            <w:pP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    址：</w:t>
            </w:r>
            <w:bookmarkStart w:id="91" w:name="EBc395c4bba1804fc49b744ea6501f82e9"/>
            <w:r>
              <w:rPr>
                <w:rFonts w:hint="eastAsia"/>
                <w:color w:val="000000" w:themeColor="text1"/>
                <w:highlight w:val="none"/>
                <w14:textFill>
                  <w14:solidFill>
                    <w14:schemeClr w14:val="tx1"/>
                  </w14:solidFill>
                </w14:textFill>
              </w:rPr>
              <w:t>黄石市黄石港区公园路5号</w:t>
            </w:r>
            <w:bookmarkEnd w:id="91"/>
          </w:p>
          <w:p w14:paraId="7B579BA2">
            <w:pP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    话：</w:t>
            </w:r>
            <w:bookmarkStart w:id="92" w:name="EBda23e4dbb8f642a3b308d24ace9eb8f0"/>
            <w:r>
              <w:rPr>
                <w:rFonts w:hint="eastAsia"/>
                <w:color w:val="000000" w:themeColor="text1"/>
                <w:highlight w:val="none"/>
                <w14:textFill>
                  <w14:solidFill>
                    <w14:schemeClr w14:val="tx1"/>
                  </w14:solidFill>
                </w14:textFill>
              </w:rPr>
              <w:t>0714-6515336</w:t>
            </w:r>
            <w:bookmarkEnd w:id="92"/>
          </w:p>
          <w:p w14:paraId="6E848783">
            <w:pP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传    真：</w:t>
            </w:r>
            <w:bookmarkStart w:id="93" w:name="EBa007fd3e51fe451dbe6ce6eb8d012063"/>
            <w:r>
              <w:rPr>
                <w:rFonts w:hint="eastAsia"/>
                <w:color w:val="000000" w:themeColor="text1"/>
                <w:highlight w:val="none"/>
                <w14:textFill>
                  <w14:solidFill>
                    <w14:schemeClr w14:val="tx1"/>
                  </w14:solidFill>
                </w14:textFill>
              </w:rPr>
              <w:t>0714-6515336</w:t>
            </w:r>
            <w:bookmarkEnd w:id="93"/>
          </w:p>
          <w:p w14:paraId="7647DB6C">
            <w:pPr>
              <w:rPr>
                <w:rFonts w:hint="eastAsia"/>
                <w:color w:val="auto"/>
                <w:highlight w:val="none"/>
              </w:rPr>
            </w:pPr>
            <w:r>
              <w:rPr>
                <w:color w:val="000000" w:themeColor="text1"/>
                <w:highlight w:val="none"/>
                <w14:textFill>
                  <w14:solidFill>
                    <w14:schemeClr w14:val="tx1"/>
                  </w14:solidFill>
                </w14:textFill>
              </w:rPr>
              <w:t>邮政编码：</w:t>
            </w:r>
            <w:bookmarkStart w:id="94" w:name="EB689748eb957d4effb1695f098c758608"/>
            <w:r>
              <w:rPr>
                <w:rFonts w:hint="eastAsia"/>
                <w:color w:val="000000" w:themeColor="text1"/>
                <w:highlight w:val="none"/>
                <w14:textFill>
                  <w14:solidFill>
                    <w14:schemeClr w14:val="tx1"/>
                  </w14:solidFill>
                </w14:textFill>
              </w:rPr>
              <w:t>435000</w:t>
            </w:r>
            <w:bookmarkEnd w:id="94"/>
          </w:p>
        </w:tc>
      </w:tr>
      <w:tr w14:paraId="4C842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97" w:type="dxa"/>
            <w:vMerge w:val="continue"/>
            <w:noWrap w:val="0"/>
            <w:vAlign w:val="center"/>
          </w:tcPr>
          <w:p w14:paraId="621052F6">
            <w:pPr>
              <w:jc w:val="center"/>
              <w:rPr>
                <w:rFonts w:hint="eastAsia"/>
                <w:color w:val="auto"/>
                <w:highlight w:val="none"/>
              </w:rPr>
            </w:pPr>
          </w:p>
        </w:tc>
        <w:tc>
          <w:tcPr>
            <w:tcW w:w="2163" w:type="dxa"/>
            <w:noWrap w:val="0"/>
            <w:vAlign w:val="center"/>
          </w:tcPr>
          <w:p w14:paraId="266FD920">
            <w:pPr>
              <w:rPr>
                <w:rFonts w:hint="eastAsia"/>
                <w:color w:val="auto"/>
                <w:highlight w:val="none"/>
              </w:rPr>
            </w:pPr>
            <w:r>
              <w:rPr>
                <w:rFonts w:hint="eastAsia"/>
                <w:color w:val="auto"/>
                <w:highlight w:val="none"/>
              </w:rPr>
              <w:t>行政监督部门</w:t>
            </w:r>
          </w:p>
        </w:tc>
        <w:tc>
          <w:tcPr>
            <w:tcW w:w="5354" w:type="dxa"/>
            <w:noWrap w:val="0"/>
            <w:vAlign w:val="center"/>
          </w:tcPr>
          <w:p w14:paraId="3ADE92FC">
            <w:pPr>
              <w:rPr>
                <w:color w:val="auto"/>
                <w:highlight w:val="none"/>
              </w:rPr>
            </w:pPr>
            <w:r>
              <w:rPr>
                <w:rFonts w:hint="eastAsia"/>
                <w:color w:val="auto"/>
                <w:highlight w:val="none"/>
              </w:rPr>
              <w:t>名</w:t>
            </w:r>
            <w:r>
              <w:rPr>
                <w:color w:val="auto"/>
                <w:highlight w:val="none"/>
              </w:rPr>
              <w:t xml:space="preserve">    </w:t>
            </w:r>
            <w:r>
              <w:rPr>
                <w:rFonts w:hint="eastAsia"/>
                <w:color w:val="auto"/>
                <w:highlight w:val="none"/>
              </w:rPr>
              <w:t>称：</w:t>
            </w:r>
            <w:bookmarkStart w:id="95" w:name="EB66df9999629c43628611d371df739df3"/>
            <w:r>
              <w:rPr>
                <w:rFonts w:hint="eastAsia"/>
                <w:color w:val="auto"/>
                <w:highlight w:val="none"/>
              </w:rPr>
              <w:t>大冶市住房和城乡建设局</w:t>
            </w:r>
            <w:bookmarkEnd w:id="95"/>
          </w:p>
          <w:p w14:paraId="3E54B526">
            <w:pPr>
              <w:rPr>
                <w:rFonts w:hint="default" w:eastAsia="宋体"/>
                <w:color w:val="auto"/>
                <w:highlight w:val="none"/>
                <w:lang w:val="en-US" w:eastAsia="zh-CN"/>
              </w:rPr>
            </w:pPr>
            <w:r>
              <w:rPr>
                <w:rFonts w:hint="eastAsia"/>
                <w:color w:val="auto"/>
                <w:highlight w:val="none"/>
              </w:rPr>
              <w:t>地</w:t>
            </w:r>
            <w:r>
              <w:rPr>
                <w:color w:val="auto"/>
                <w:highlight w:val="none"/>
              </w:rPr>
              <w:t xml:space="preserve">    </w:t>
            </w:r>
            <w:r>
              <w:rPr>
                <w:rFonts w:hint="eastAsia"/>
                <w:color w:val="auto"/>
                <w:highlight w:val="none"/>
              </w:rPr>
              <w:t>址：大冶市大棋西路</w:t>
            </w:r>
            <w:r>
              <w:rPr>
                <w:rFonts w:hint="eastAsia"/>
                <w:color w:val="auto"/>
                <w:highlight w:val="none"/>
                <w:lang w:val="en-US" w:eastAsia="zh-CN"/>
              </w:rPr>
              <w:t>2号</w:t>
            </w:r>
          </w:p>
          <w:p w14:paraId="12E05643">
            <w:pPr>
              <w:keepNext w:val="0"/>
              <w:keepLines w:val="0"/>
              <w:widowControl/>
              <w:suppressLineNumbers w:val="0"/>
              <w:jc w:val="left"/>
              <w:rPr>
                <w:color w:val="auto"/>
                <w:highlight w:val="none"/>
              </w:rPr>
            </w:pPr>
            <w:r>
              <w:rPr>
                <w:rFonts w:hint="eastAsia"/>
                <w:color w:val="auto"/>
                <w:highlight w:val="none"/>
              </w:rPr>
              <w:t>电</w:t>
            </w:r>
            <w:r>
              <w:rPr>
                <w:color w:val="auto"/>
                <w:highlight w:val="none"/>
              </w:rPr>
              <w:t xml:space="preserve">    </w:t>
            </w:r>
            <w:r>
              <w:rPr>
                <w:rFonts w:hint="eastAsia"/>
                <w:color w:val="auto"/>
                <w:highlight w:val="none"/>
              </w:rPr>
              <w:t>话：</w:t>
            </w:r>
            <w:r>
              <w:rPr>
                <w:rFonts w:hint="eastAsia"/>
                <w:color w:val="auto"/>
                <w:highlight w:val="none"/>
                <w:lang w:val="en-US" w:eastAsia="zh-CN"/>
              </w:rPr>
              <w:t>0714-8770555</w:t>
            </w:r>
          </w:p>
          <w:p w14:paraId="00812C79">
            <w:pPr>
              <w:rPr>
                <w:rFonts w:hint="eastAsia"/>
                <w:color w:val="auto"/>
                <w:highlight w:val="none"/>
                <w:lang w:val="en-US" w:eastAsia="zh-CN"/>
              </w:rPr>
            </w:pPr>
            <w:r>
              <w:rPr>
                <w:rFonts w:hint="eastAsia"/>
                <w:color w:val="auto"/>
                <w:highlight w:val="none"/>
              </w:rPr>
              <w:t>传</w:t>
            </w:r>
            <w:r>
              <w:rPr>
                <w:color w:val="auto"/>
                <w:highlight w:val="none"/>
              </w:rPr>
              <w:t xml:space="preserve">    </w:t>
            </w:r>
            <w:r>
              <w:rPr>
                <w:rFonts w:hint="eastAsia"/>
                <w:color w:val="auto"/>
                <w:highlight w:val="none"/>
              </w:rPr>
              <w:t>真：</w:t>
            </w:r>
            <w:r>
              <w:rPr>
                <w:rFonts w:hint="eastAsia"/>
                <w:color w:val="auto"/>
                <w:highlight w:val="none"/>
                <w:lang w:val="en-US" w:eastAsia="zh-CN"/>
              </w:rPr>
              <w:t>0714-8770555</w:t>
            </w:r>
          </w:p>
          <w:p w14:paraId="2BFB25CE">
            <w:pPr>
              <w:rPr>
                <w:rFonts w:hint="eastAsia"/>
                <w:color w:val="auto"/>
                <w:highlight w:val="none"/>
                <w:lang w:val="en-US" w:eastAsia="zh-CN"/>
              </w:rPr>
            </w:pPr>
            <w:r>
              <w:rPr>
                <w:rFonts w:hint="eastAsia"/>
                <w:color w:val="auto"/>
                <w:highlight w:val="none"/>
              </w:rPr>
              <w:t>邮政编码：</w:t>
            </w:r>
            <w:r>
              <w:rPr>
                <w:rFonts w:hint="eastAsia"/>
                <w:color w:val="auto"/>
                <w:highlight w:val="none"/>
                <w:lang w:val="en-US" w:eastAsia="zh-CN"/>
              </w:rPr>
              <w:t>435100</w:t>
            </w:r>
          </w:p>
        </w:tc>
      </w:tr>
      <w:tr w14:paraId="1C18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7" w:type="dxa"/>
            <w:vMerge w:val="continue"/>
            <w:noWrap w:val="0"/>
            <w:vAlign w:val="center"/>
          </w:tcPr>
          <w:p w14:paraId="3D06CA5A">
            <w:pPr>
              <w:jc w:val="center"/>
              <w:rPr>
                <w:rFonts w:hint="eastAsia"/>
                <w:color w:val="auto"/>
                <w:highlight w:val="none"/>
              </w:rPr>
            </w:pPr>
          </w:p>
        </w:tc>
        <w:tc>
          <w:tcPr>
            <w:tcW w:w="2163" w:type="dxa"/>
            <w:noWrap w:val="0"/>
            <w:vAlign w:val="center"/>
          </w:tcPr>
          <w:p w14:paraId="0D22C95C">
            <w:pPr>
              <w:jc w:val="left"/>
              <w:rPr>
                <w:color w:val="auto"/>
                <w:highlight w:val="none"/>
              </w:rPr>
            </w:pPr>
            <w:r>
              <w:rPr>
                <w:rFonts w:hint="eastAsia"/>
                <w:color w:val="auto"/>
                <w:highlight w:val="none"/>
              </w:rPr>
              <w:t>公共资源交易</w:t>
            </w:r>
          </w:p>
          <w:p w14:paraId="3AB4ABCE">
            <w:pPr>
              <w:jc w:val="left"/>
              <w:rPr>
                <w:rFonts w:hint="eastAsia"/>
                <w:color w:val="auto"/>
                <w:highlight w:val="none"/>
              </w:rPr>
            </w:pPr>
            <w:r>
              <w:rPr>
                <w:rFonts w:hint="eastAsia"/>
                <w:color w:val="auto"/>
                <w:highlight w:val="none"/>
              </w:rPr>
              <w:t>综合监管机构</w:t>
            </w:r>
          </w:p>
        </w:tc>
        <w:tc>
          <w:tcPr>
            <w:tcW w:w="5354" w:type="dxa"/>
            <w:noWrap w:val="0"/>
            <w:vAlign w:val="center"/>
          </w:tcPr>
          <w:p w14:paraId="0C9AB4D9">
            <w:pPr>
              <w:rPr>
                <w:color w:val="auto"/>
                <w:highlight w:val="none"/>
              </w:rPr>
            </w:pPr>
            <w:r>
              <w:rPr>
                <w:rFonts w:hint="eastAsia"/>
                <w:color w:val="auto"/>
                <w:highlight w:val="none"/>
              </w:rPr>
              <w:t>名</w:t>
            </w:r>
            <w:r>
              <w:rPr>
                <w:color w:val="auto"/>
                <w:highlight w:val="none"/>
              </w:rPr>
              <w:t xml:space="preserve">    </w:t>
            </w:r>
            <w:r>
              <w:rPr>
                <w:rFonts w:hint="eastAsia"/>
                <w:color w:val="auto"/>
                <w:highlight w:val="none"/>
              </w:rPr>
              <w:t>称：大冶市政务服务和大数据管理局</w:t>
            </w:r>
          </w:p>
          <w:p w14:paraId="0EC2BB79">
            <w:pPr>
              <w:rPr>
                <w:color w:val="auto"/>
                <w:highlight w:val="none"/>
              </w:rPr>
            </w:pPr>
            <w:r>
              <w:rPr>
                <w:rFonts w:hint="eastAsia"/>
                <w:color w:val="auto"/>
                <w:highlight w:val="none"/>
              </w:rPr>
              <w:t>地</w:t>
            </w:r>
            <w:r>
              <w:rPr>
                <w:color w:val="auto"/>
                <w:highlight w:val="none"/>
              </w:rPr>
              <w:t xml:space="preserve">    </w:t>
            </w:r>
            <w:r>
              <w:rPr>
                <w:rFonts w:hint="eastAsia"/>
                <w:color w:val="auto"/>
                <w:highlight w:val="none"/>
              </w:rPr>
              <w:t>址：大冶市政务服务和大数据管理局三楼</w:t>
            </w:r>
          </w:p>
          <w:p w14:paraId="3D7784C1">
            <w:pPr>
              <w:rPr>
                <w:rFonts w:hint="eastAsia" w:eastAsia="宋体"/>
                <w:color w:val="auto"/>
                <w:highlight w:val="none"/>
                <w:lang w:eastAsia="zh-CN"/>
              </w:rPr>
            </w:pPr>
            <w:r>
              <w:rPr>
                <w:rFonts w:hint="eastAsia"/>
                <w:color w:val="auto"/>
                <w:highlight w:val="none"/>
              </w:rPr>
              <w:t>电</w:t>
            </w:r>
            <w:r>
              <w:rPr>
                <w:color w:val="auto"/>
                <w:highlight w:val="none"/>
              </w:rPr>
              <w:t xml:space="preserve">    </w:t>
            </w:r>
            <w:r>
              <w:rPr>
                <w:rFonts w:hint="eastAsia"/>
                <w:color w:val="auto"/>
                <w:highlight w:val="none"/>
              </w:rPr>
              <w:t>话：</w:t>
            </w:r>
            <w:r>
              <w:rPr>
                <w:color w:val="auto"/>
                <w:highlight w:val="none"/>
              </w:rPr>
              <w:t>0714-318806</w:t>
            </w:r>
            <w:r>
              <w:rPr>
                <w:rFonts w:hint="eastAsia"/>
                <w:color w:val="auto"/>
                <w:highlight w:val="none"/>
                <w:lang w:val="en-US" w:eastAsia="zh-CN"/>
              </w:rPr>
              <w:t>5</w:t>
            </w:r>
          </w:p>
          <w:p w14:paraId="6F29F568">
            <w:pPr>
              <w:rPr>
                <w:rFonts w:hint="eastAsia" w:eastAsia="宋体"/>
                <w:color w:val="auto"/>
                <w:highlight w:val="none"/>
                <w:lang w:eastAsia="zh-CN"/>
              </w:rPr>
            </w:pPr>
            <w:r>
              <w:rPr>
                <w:rFonts w:hint="eastAsia"/>
                <w:color w:val="auto"/>
                <w:highlight w:val="none"/>
              </w:rPr>
              <w:t>传</w:t>
            </w:r>
            <w:r>
              <w:rPr>
                <w:color w:val="auto"/>
                <w:highlight w:val="none"/>
              </w:rPr>
              <w:t xml:space="preserve">    </w:t>
            </w:r>
            <w:r>
              <w:rPr>
                <w:rFonts w:hint="eastAsia"/>
                <w:color w:val="auto"/>
                <w:highlight w:val="none"/>
              </w:rPr>
              <w:t>真：</w:t>
            </w:r>
            <w:r>
              <w:rPr>
                <w:color w:val="auto"/>
                <w:highlight w:val="none"/>
              </w:rPr>
              <w:t>0714-318806</w:t>
            </w:r>
            <w:r>
              <w:rPr>
                <w:rFonts w:hint="eastAsia"/>
                <w:color w:val="auto"/>
                <w:highlight w:val="none"/>
                <w:lang w:val="en-US" w:eastAsia="zh-CN"/>
              </w:rPr>
              <w:t>5</w:t>
            </w:r>
          </w:p>
          <w:p w14:paraId="3C05DC94">
            <w:pPr>
              <w:rPr>
                <w:rFonts w:hint="default" w:eastAsia="宋体"/>
                <w:color w:val="auto"/>
                <w:highlight w:val="none"/>
                <w:lang w:val="en-US" w:eastAsia="zh-CN"/>
              </w:rPr>
            </w:pPr>
            <w:r>
              <w:rPr>
                <w:rFonts w:hint="eastAsia"/>
                <w:color w:val="auto"/>
                <w:highlight w:val="none"/>
              </w:rPr>
              <w:t>邮政编码：</w:t>
            </w:r>
            <w:r>
              <w:rPr>
                <w:rFonts w:hint="eastAsia"/>
                <w:color w:val="auto"/>
                <w:highlight w:val="none"/>
                <w:lang w:val="en-US" w:eastAsia="zh-CN"/>
              </w:rPr>
              <w:t>435100</w:t>
            </w:r>
          </w:p>
        </w:tc>
      </w:tr>
      <w:tr w14:paraId="08F9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7" w:type="dxa"/>
            <w:noWrap w:val="0"/>
            <w:vAlign w:val="center"/>
          </w:tcPr>
          <w:p w14:paraId="371F2795">
            <w:pPr>
              <w:spacing w:line="440" w:lineRule="exact"/>
              <w:jc w:val="center"/>
              <w:rPr>
                <w:color w:val="auto"/>
                <w:highlight w:val="none"/>
              </w:rPr>
            </w:pPr>
            <w:r>
              <w:rPr>
                <w:rFonts w:hint="eastAsia"/>
                <w:color w:val="auto"/>
                <w:highlight w:val="none"/>
              </w:rPr>
              <w:t>10.1</w:t>
            </w:r>
          </w:p>
        </w:tc>
        <w:tc>
          <w:tcPr>
            <w:tcW w:w="2163" w:type="dxa"/>
            <w:noWrap w:val="0"/>
            <w:vAlign w:val="center"/>
          </w:tcPr>
          <w:p w14:paraId="47518C94">
            <w:pPr>
              <w:spacing w:line="400" w:lineRule="exact"/>
              <w:rPr>
                <w:rFonts w:hint="eastAsia" w:ascii="宋体" w:cs="宋体"/>
                <w:color w:val="auto"/>
                <w:spacing w:val="4"/>
                <w:kern w:val="0"/>
                <w:sz w:val="22"/>
                <w:highlight w:val="none"/>
              </w:rPr>
            </w:pPr>
            <w:r>
              <w:rPr>
                <w:rFonts w:hint="eastAsia" w:ascii="宋体" w:cs="宋体"/>
                <w:color w:val="auto"/>
                <w:spacing w:val="4"/>
                <w:kern w:val="0"/>
                <w:sz w:val="22"/>
                <w:highlight w:val="none"/>
              </w:rPr>
              <w:t>多标段投标</w:t>
            </w:r>
          </w:p>
        </w:tc>
        <w:tc>
          <w:tcPr>
            <w:tcW w:w="5354" w:type="dxa"/>
            <w:noWrap w:val="0"/>
            <w:vAlign w:val="center"/>
          </w:tcPr>
          <w:p w14:paraId="54CB9CBF">
            <w:pPr>
              <w:rPr>
                <w:rFonts w:hint="eastAsia"/>
                <w:color w:val="auto"/>
                <w:highlight w:val="none"/>
              </w:rPr>
            </w:pPr>
            <w:r>
              <w:rPr>
                <w:rFonts w:hint="eastAsia"/>
                <w:color w:val="auto"/>
                <w:highlight w:val="none"/>
              </w:rPr>
              <w:t>投标人可同时对本次招标标段中的</w:t>
            </w:r>
            <w:r>
              <w:rPr>
                <w:rFonts w:hint="eastAsia"/>
                <w:color w:val="auto"/>
                <w:highlight w:val="none"/>
                <w:lang w:val="en-US" w:eastAsia="zh-CN"/>
              </w:rPr>
              <w:t>/</w:t>
            </w:r>
            <w:r>
              <w:rPr>
                <w:rFonts w:hint="eastAsia"/>
                <w:color w:val="auto"/>
                <w:highlight w:val="none"/>
              </w:rPr>
              <w:t>个标段投标。招标人按下列原则选择中标人：</w:t>
            </w:r>
          </w:p>
          <w:tbl>
            <w:tblPr>
              <w:tblStyle w:val="15"/>
              <w:tblW w:w="0" w:type="auto"/>
              <w:tblInd w:w="0" w:type="dxa"/>
              <w:tblLayout w:type="fixed"/>
              <w:tblCellMar>
                <w:top w:w="0" w:type="dxa"/>
                <w:left w:w="108" w:type="dxa"/>
                <w:bottom w:w="0" w:type="dxa"/>
                <w:right w:w="108" w:type="dxa"/>
              </w:tblCellMar>
            </w:tblPr>
            <w:tblGrid>
              <w:gridCol w:w="4752"/>
            </w:tblGrid>
            <w:tr w14:paraId="12D8F4CF">
              <w:tc>
                <w:tcPr>
                  <w:tcW w:w="4752" w:type="dxa"/>
                  <w:noWrap w:val="0"/>
                  <w:vAlign w:val="top"/>
                </w:tcPr>
                <w:p w14:paraId="43D03103">
                  <w:pPr>
                    <w:rPr>
                      <w:rFonts w:hint="eastAsia"/>
                      <w:color w:val="auto"/>
                      <w:highlight w:val="none"/>
                    </w:rPr>
                  </w:pPr>
                  <w:r>
                    <w:rPr>
                      <w:rFonts w:hint="eastAsia"/>
                      <w:color w:val="auto"/>
                      <w:highlight w:val="none"/>
                    </w:rPr>
                    <w:t>□招标人按标段择优选择中标人</w:t>
                  </w:r>
                  <w:r>
                    <w:rPr>
                      <w:rFonts w:hint="eastAsia"/>
                      <w:color w:val="auto"/>
                      <w:highlight w:val="none"/>
                    </w:rPr>
                    <w:cr/>
                  </w:r>
                </w:p>
              </w:tc>
            </w:tr>
            <w:tr w14:paraId="35FBDAF0">
              <w:tblPrEx>
                <w:tblCellMar>
                  <w:top w:w="0" w:type="dxa"/>
                  <w:left w:w="108" w:type="dxa"/>
                  <w:bottom w:w="0" w:type="dxa"/>
                  <w:right w:w="108" w:type="dxa"/>
                </w:tblCellMar>
              </w:tblPrEx>
              <w:tc>
                <w:tcPr>
                  <w:tcW w:w="4752" w:type="dxa"/>
                  <w:noWrap w:val="0"/>
                  <w:vAlign w:val="top"/>
                </w:tcPr>
                <w:p w14:paraId="7483DD8D">
                  <w:pPr>
                    <w:adjustRightInd/>
                    <w:spacing w:line="240" w:lineRule="auto"/>
                    <w:rPr>
                      <w:color w:val="auto"/>
                      <w:highlight w:val="none"/>
                    </w:rPr>
                  </w:pPr>
                  <w:r>
                    <w:rPr>
                      <w:rFonts w:hint="eastAsia"/>
                      <w:color w:val="auto"/>
                      <w:highlight w:val="none"/>
                      <w:lang w:eastAsia="zh-CN"/>
                    </w:rPr>
                    <w:t>□</w:t>
                  </w:r>
                  <w:r>
                    <w:rPr>
                      <w:rFonts w:hint="eastAsia"/>
                      <w:color w:val="auto"/>
                      <w:highlight w:val="none"/>
                    </w:rPr>
                    <w:t>投标人最多只允许中标</w:t>
                  </w:r>
                  <w:bookmarkStart w:id="96" w:name="EBf97c06260d7c428d94cd1c9e3d253dc2"/>
                  <w:r>
                    <w:rPr>
                      <w:rFonts w:hint="eastAsia"/>
                      <w:color w:val="auto"/>
                      <w:highlight w:val="none"/>
                    </w:rPr>
                    <w:t xml:space="preserve"> </w:t>
                  </w:r>
                  <w:bookmarkEnd w:id="96"/>
                  <w:r>
                    <w:rPr>
                      <w:rFonts w:hint="eastAsia"/>
                      <w:color w:val="auto"/>
                      <w:highlight w:val="none"/>
                      <w:lang w:val="en-US" w:eastAsia="zh-CN"/>
                    </w:rPr>
                    <w:t>1</w:t>
                  </w:r>
                  <w:r>
                    <w:rPr>
                      <w:rFonts w:hint="eastAsia"/>
                      <w:color w:val="auto"/>
                      <w:highlight w:val="none"/>
                    </w:rPr>
                    <w:t>个标段。如果同一投标人在多个标段中均排序第一，推荐中标候选人顺序为：</w:t>
                  </w:r>
                </w:p>
                <w:p w14:paraId="0A5C9188">
                  <w:pPr>
                    <w:adjustRightInd/>
                    <w:spacing w:line="240" w:lineRule="auto"/>
                    <w:ind w:firstLine="0" w:firstLineChars="0"/>
                    <w:rPr>
                      <w:color w:val="auto"/>
                      <w:highlight w:val="none"/>
                    </w:rPr>
                  </w:pPr>
                  <w:r>
                    <w:rPr>
                      <w:rFonts w:hint="eastAsia"/>
                      <w:color w:val="auto"/>
                      <w:highlight w:val="none"/>
                    </w:rPr>
                    <w:t>□按照标段顺序，投标人在前面标段被推荐为第一中标候选人后，所投其他标段将不再被推荐为中标候选人。</w:t>
                  </w:r>
                </w:p>
                <w:p w14:paraId="7AC6D6B9">
                  <w:pPr>
                    <w:rPr>
                      <w:rFonts w:hint="eastAsia"/>
                      <w:color w:val="auto"/>
                      <w:highlight w:val="none"/>
                    </w:rPr>
                  </w:pPr>
                  <w:bookmarkStart w:id="97" w:name="EBc5bb06bb282c4faa892d833da439121d"/>
                  <w:r>
                    <w:rPr>
                      <w:rFonts w:hint="eastAsia"/>
                      <w:color w:val="auto"/>
                      <w:highlight w:val="none"/>
                    </w:rPr>
                    <w:t xml:space="preserve">□ </w:t>
                  </w:r>
                  <w:bookmarkEnd w:id="97"/>
                  <w:r>
                    <w:rPr>
                      <w:rFonts w:hint="eastAsia"/>
                      <w:color w:val="auto"/>
                      <w:highlight w:val="none"/>
                    </w:rPr>
                    <w:t>按照标段招标控制价从大到小的顺序，投标人在招标控制价大的标段被推荐为第一中标候选人后，所投其他标段将不再被推荐为中标候选人。</w:t>
                  </w:r>
                </w:p>
              </w:tc>
            </w:tr>
          </w:tbl>
          <w:p w14:paraId="716BAF4A">
            <w:pPr>
              <w:rPr>
                <w:color w:val="auto"/>
                <w:highlight w:val="none"/>
              </w:rPr>
            </w:pPr>
          </w:p>
        </w:tc>
      </w:tr>
      <w:tr w14:paraId="4C60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7" w:type="dxa"/>
            <w:noWrap w:val="0"/>
            <w:vAlign w:val="center"/>
          </w:tcPr>
          <w:p w14:paraId="7F26C083">
            <w:pPr>
              <w:spacing w:line="440" w:lineRule="exact"/>
              <w:jc w:val="center"/>
              <w:rPr>
                <w:rFonts w:hint="eastAsia"/>
                <w:color w:val="auto"/>
                <w:highlight w:val="none"/>
              </w:rPr>
            </w:pPr>
            <w:r>
              <w:rPr>
                <w:rFonts w:hint="eastAsia"/>
                <w:color w:val="auto"/>
                <w:highlight w:val="none"/>
              </w:rPr>
              <w:t>10.2.1</w:t>
            </w:r>
          </w:p>
        </w:tc>
        <w:tc>
          <w:tcPr>
            <w:tcW w:w="2163" w:type="dxa"/>
            <w:noWrap w:val="0"/>
            <w:vAlign w:val="center"/>
          </w:tcPr>
          <w:p w14:paraId="7783E851">
            <w:pPr>
              <w:spacing w:line="400" w:lineRule="exact"/>
              <w:rPr>
                <w:rFonts w:hint="eastAsia" w:ascii="宋体" w:cs="宋体"/>
                <w:color w:val="auto"/>
                <w:spacing w:val="4"/>
                <w:kern w:val="0"/>
                <w:sz w:val="22"/>
                <w:highlight w:val="none"/>
              </w:rPr>
            </w:pPr>
            <w:r>
              <w:rPr>
                <w:rFonts w:hint="eastAsia" w:ascii="宋体" w:hAnsi="宋体"/>
                <w:color w:val="auto"/>
                <w:szCs w:val="21"/>
                <w:highlight w:val="none"/>
              </w:rPr>
              <w:t>评标基准价下浮系数</w:t>
            </w:r>
          </w:p>
        </w:tc>
        <w:tc>
          <w:tcPr>
            <w:tcW w:w="5354" w:type="dxa"/>
            <w:noWrap w:val="0"/>
            <w:vAlign w:val="center"/>
          </w:tcPr>
          <w:p w14:paraId="01E4ED6F">
            <w:pPr>
              <w:spacing w:line="440" w:lineRule="exact"/>
              <w:rPr>
                <w:rFonts w:hint="eastAsia" w:eastAsia="宋体"/>
                <w:color w:val="auto"/>
                <w:szCs w:val="21"/>
                <w:highlight w:val="none"/>
                <w:lang w:val="en-US" w:eastAsia="zh-CN"/>
              </w:rPr>
            </w:pPr>
            <w:r>
              <w:rPr>
                <w:rFonts w:hint="eastAsia" w:ascii="宋体" w:hAnsi="宋体"/>
                <w:color w:val="0000FF"/>
                <w:szCs w:val="21"/>
                <w:highlight w:val="none"/>
              </w:rPr>
              <w:t>E的取值：</w:t>
            </w:r>
            <w:bookmarkStart w:id="98" w:name="EB830ed6522376468aaf34599f31e1f9f9"/>
            <w:r>
              <w:rPr>
                <w:rFonts w:hint="eastAsia" w:ascii="宋体" w:hAnsi="宋体"/>
                <w:color w:val="0000FF"/>
                <w:szCs w:val="21"/>
                <w:highlight w:val="none"/>
              </w:rPr>
              <w:t xml:space="preserve"> </w:t>
            </w:r>
            <w:bookmarkEnd w:id="98"/>
            <w:r>
              <w:rPr>
                <w:rFonts w:hint="eastAsia" w:ascii="宋体" w:hAnsi="宋体"/>
                <w:color w:val="0000FF"/>
                <w:szCs w:val="21"/>
                <w:highlight w:val="none"/>
                <w:lang w:val="en-US" w:eastAsia="zh-CN"/>
              </w:rPr>
              <w:t>1</w:t>
            </w:r>
          </w:p>
        </w:tc>
      </w:tr>
      <w:tr w14:paraId="3F134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7" w:type="dxa"/>
            <w:noWrap w:val="0"/>
            <w:vAlign w:val="center"/>
          </w:tcPr>
          <w:p w14:paraId="5E62B277">
            <w:pPr>
              <w:spacing w:line="440" w:lineRule="exact"/>
              <w:jc w:val="center"/>
              <w:rPr>
                <w:rFonts w:hint="eastAsia"/>
                <w:color w:val="auto"/>
                <w:highlight w:val="none"/>
              </w:rPr>
            </w:pPr>
            <w:r>
              <w:rPr>
                <w:rFonts w:hint="eastAsia"/>
                <w:color w:val="auto"/>
                <w:highlight w:val="none"/>
              </w:rPr>
              <w:t>10.2.2</w:t>
            </w:r>
          </w:p>
        </w:tc>
        <w:tc>
          <w:tcPr>
            <w:tcW w:w="2163" w:type="dxa"/>
            <w:noWrap w:val="0"/>
            <w:vAlign w:val="center"/>
          </w:tcPr>
          <w:p w14:paraId="2486E631">
            <w:pPr>
              <w:rPr>
                <w:rFonts w:hint="eastAsia" w:ascii="宋体" w:hAnsi="宋体"/>
                <w:color w:val="auto"/>
                <w:szCs w:val="21"/>
                <w:highlight w:val="none"/>
              </w:rPr>
            </w:pPr>
            <w:r>
              <w:rPr>
                <w:rFonts w:hint="eastAsia" w:ascii="宋体" w:hAnsi="宋体"/>
                <w:color w:val="auto"/>
                <w:szCs w:val="21"/>
                <w:highlight w:val="none"/>
              </w:rPr>
              <w:t>不平衡报价系数、启动成本评审工作的前提条件</w:t>
            </w:r>
          </w:p>
        </w:tc>
        <w:tc>
          <w:tcPr>
            <w:tcW w:w="5354" w:type="dxa"/>
            <w:noWrap w:val="0"/>
            <w:vAlign w:val="center"/>
          </w:tcPr>
          <w:p w14:paraId="50396DAB">
            <w:pPr>
              <w:spacing w:line="400" w:lineRule="exact"/>
              <w:rPr>
                <w:rFonts w:hint="default" w:eastAsia="宋体"/>
                <w:color w:val="auto"/>
                <w:highlight w:val="none"/>
                <w:lang w:val="en-US" w:eastAsia="zh-CN"/>
              </w:rPr>
            </w:pPr>
            <w:r>
              <w:rPr>
                <w:rFonts w:hint="eastAsia" w:ascii="宋体" w:hAnsi="宋体"/>
                <w:color w:val="0000FF"/>
                <w:szCs w:val="21"/>
                <w:highlight w:val="none"/>
              </w:rPr>
              <w:t>H的取值：</w:t>
            </w:r>
            <w:bookmarkStart w:id="99" w:name="EB805dd03b80c643faa208d01ece8bd3ef"/>
            <w:r>
              <w:rPr>
                <w:rFonts w:hint="eastAsia" w:ascii="宋体" w:hAnsi="宋体"/>
                <w:color w:val="0000FF"/>
                <w:szCs w:val="21"/>
                <w:highlight w:val="none"/>
              </w:rPr>
              <w:t xml:space="preserve"> </w:t>
            </w:r>
            <w:bookmarkEnd w:id="99"/>
            <w:r>
              <w:rPr>
                <w:rFonts w:hint="eastAsia" w:ascii="宋体" w:hAnsi="宋体"/>
                <w:color w:val="0000FF"/>
                <w:szCs w:val="21"/>
                <w:highlight w:val="none"/>
                <w:lang w:val="en-US" w:eastAsia="zh-CN"/>
              </w:rPr>
              <w:t>80</w:t>
            </w:r>
          </w:p>
        </w:tc>
      </w:tr>
      <w:tr w14:paraId="4760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7" w:type="dxa"/>
            <w:noWrap w:val="0"/>
            <w:vAlign w:val="center"/>
          </w:tcPr>
          <w:p w14:paraId="4DB31D86">
            <w:pPr>
              <w:spacing w:line="440" w:lineRule="exact"/>
              <w:jc w:val="center"/>
              <w:rPr>
                <w:rFonts w:hint="eastAsia"/>
                <w:color w:val="auto"/>
                <w:highlight w:val="none"/>
              </w:rPr>
            </w:pPr>
            <w:r>
              <w:rPr>
                <w:rFonts w:hint="eastAsia"/>
                <w:color w:val="auto"/>
                <w:highlight w:val="none"/>
              </w:rPr>
              <w:t>10.2.3</w:t>
            </w:r>
          </w:p>
        </w:tc>
        <w:tc>
          <w:tcPr>
            <w:tcW w:w="2163" w:type="dxa"/>
            <w:noWrap w:val="0"/>
            <w:vAlign w:val="center"/>
          </w:tcPr>
          <w:p w14:paraId="133A91BE">
            <w:pPr>
              <w:rPr>
                <w:rFonts w:hint="eastAsia" w:ascii="宋体" w:hAnsi="宋体"/>
                <w:color w:val="auto"/>
                <w:szCs w:val="21"/>
                <w:highlight w:val="none"/>
              </w:rPr>
            </w:pPr>
            <w:r>
              <w:rPr>
                <w:rFonts w:hint="eastAsia" w:ascii="宋体" w:hAnsi="宋体"/>
                <w:color w:val="auto"/>
                <w:szCs w:val="21"/>
                <w:highlight w:val="none"/>
              </w:rPr>
              <w:t>期望合理价系数</w:t>
            </w:r>
          </w:p>
        </w:tc>
        <w:tc>
          <w:tcPr>
            <w:tcW w:w="5354" w:type="dxa"/>
            <w:noWrap w:val="0"/>
            <w:vAlign w:val="center"/>
          </w:tcPr>
          <w:p w14:paraId="62FF2A30">
            <w:pPr>
              <w:jc w:val="left"/>
              <w:rPr>
                <w:rFonts w:hint="eastAsia" w:ascii="宋体" w:hAnsi="宋体" w:eastAsia="宋体"/>
                <w:color w:val="auto"/>
                <w:szCs w:val="21"/>
                <w:highlight w:val="none"/>
                <w:lang w:val="en-US" w:eastAsia="zh-CN"/>
              </w:rPr>
            </w:pPr>
            <w:r>
              <w:rPr>
                <w:rFonts w:hint="eastAsia" w:ascii="宋体" w:hAnsi="宋体"/>
                <w:color w:val="auto"/>
                <w:szCs w:val="21"/>
                <w:highlight w:val="none"/>
              </w:rPr>
              <w:t>D的取值：</w:t>
            </w:r>
            <w:bookmarkStart w:id="100" w:name="EB3f27e445d8fb4d0d8f7131975c454464"/>
            <w:r>
              <w:rPr>
                <w:rFonts w:hint="eastAsia" w:ascii="宋体" w:hAnsi="宋体"/>
                <w:color w:val="auto"/>
                <w:szCs w:val="21"/>
                <w:highlight w:val="none"/>
              </w:rPr>
              <w:t xml:space="preserve"> </w:t>
            </w:r>
            <w:bookmarkEnd w:id="100"/>
            <w:r>
              <w:rPr>
                <w:rFonts w:hint="eastAsia" w:ascii="宋体" w:hAnsi="宋体"/>
                <w:color w:val="auto"/>
                <w:szCs w:val="21"/>
                <w:highlight w:val="none"/>
                <w:lang w:val="en-US" w:eastAsia="zh-CN"/>
              </w:rPr>
              <w:t>/</w:t>
            </w:r>
          </w:p>
        </w:tc>
      </w:tr>
      <w:tr w14:paraId="3264A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7" w:type="dxa"/>
            <w:noWrap w:val="0"/>
            <w:vAlign w:val="center"/>
          </w:tcPr>
          <w:p w14:paraId="0D9592C4">
            <w:pPr>
              <w:spacing w:line="440" w:lineRule="exact"/>
              <w:jc w:val="center"/>
              <w:rPr>
                <w:rFonts w:hint="eastAsia"/>
                <w:color w:val="auto"/>
                <w:highlight w:val="none"/>
              </w:rPr>
            </w:pPr>
            <w:r>
              <w:rPr>
                <w:rFonts w:hint="eastAsia"/>
                <w:color w:val="auto"/>
                <w:highlight w:val="none"/>
              </w:rPr>
              <w:t>10.2.4</w:t>
            </w:r>
          </w:p>
        </w:tc>
        <w:tc>
          <w:tcPr>
            <w:tcW w:w="2163" w:type="dxa"/>
            <w:noWrap w:val="0"/>
            <w:vAlign w:val="center"/>
          </w:tcPr>
          <w:p w14:paraId="5DC0BCA4">
            <w:pPr>
              <w:rPr>
                <w:rFonts w:hint="eastAsia" w:ascii="宋体" w:hAnsi="宋体"/>
                <w:color w:val="auto"/>
                <w:szCs w:val="21"/>
                <w:highlight w:val="none"/>
              </w:rPr>
            </w:pPr>
            <w:r>
              <w:rPr>
                <w:rFonts w:hint="eastAsia" w:ascii="宋体" w:hAnsi="宋体"/>
                <w:color w:val="auto"/>
                <w:szCs w:val="21"/>
                <w:highlight w:val="none"/>
              </w:rPr>
              <w:t>小微企业报价优惠（扣除）系数</w:t>
            </w:r>
          </w:p>
        </w:tc>
        <w:tc>
          <w:tcPr>
            <w:tcW w:w="5354" w:type="dxa"/>
            <w:noWrap w:val="0"/>
            <w:vAlign w:val="center"/>
          </w:tcPr>
          <w:p w14:paraId="39D32B36">
            <w:pPr>
              <w:jc w:val="left"/>
              <w:rPr>
                <w:rFonts w:hint="eastAsia" w:ascii="宋体" w:hAnsi="宋体" w:eastAsia="宋体"/>
                <w:color w:val="auto"/>
                <w:szCs w:val="21"/>
                <w:highlight w:val="none"/>
                <w:lang w:val="en-US" w:eastAsia="zh-CN"/>
              </w:rPr>
            </w:pPr>
            <w:r>
              <w:rPr>
                <w:rFonts w:hint="eastAsia" w:ascii="宋体" w:hAnsi="宋体"/>
                <w:color w:val="auto"/>
                <w:szCs w:val="21"/>
                <w:highlight w:val="none"/>
              </w:rPr>
              <w:t>P的取值：</w:t>
            </w:r>
            <w:bookmarkStart w:id="101" w:name="EB1896b5a78ccd4f8a85f404aef0f26a02"/>
            <w:r>
              <w:rPr>
                <w:rFonts w:hint="eastAsia" w:ascii="宋体" w:hAnsi="宋体"/>
                <w:color w:val="auto"/>
                <w:szCs w:val="21"/>
                <w:highlight w:val="none"/>
              </w:rPr>
              <w:t xml:space="preserve"> </w:t>
            </w:r>
            <w:bookmarkEnd w:id="101"/>
            <w:r>
              <w:rPr>
                <w:rFonts w:hint="eastAsia" w:ascii="宋体" w:hAnsi="宋体"/>
                <w:color w:val="auto"/>
                <w:szCs w:val="21"/>
                <w:highlight w:val="none"/>
                <w:lang w:val="en-US" w:eastAsia="zh-CN"/>
              </w:rPr>
              <w:t>/</w:t>
            </w:r>
          </w:p>
        </w:tc>
      </w:tr>
      <w:tr w14:paraId="76E5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7" w:type="dxa"/>
            <w:noWrap w:val="0"/>
            <w:vAlign w:val="center"/>
          </w:tcPr>
          <w:p w14:paraId="382A7A5E">
            <w:pPr>
              <w:spacing w:line="440" w:lineRule="exact"/>
              <w:jc w:val="center"/>
              <w:rPr>
                <w:rFonts w:hint="eastAsia"/>
                <w:color w:val="auto"/>
                <w:highlight w:val="none"/>
              </w:rPr>
            </w:pPr>
            <w:r>
              <w:rPr>
                <w:rFonts w:hint="eastAsia"/>
                <w:color w:val="auto"/>
                <w:highlight w:val="none"/>
              </w:rPr>
              <w:t>10.2.5</w:t>
            </w:r>
          </w:p>
        </w:tc>
        <w:tc>
          <w:tcPr>
            <w:tcW w:w="2163" w:type="dxa"/>
            <w:noWrap w:val="0"/>
            <w:vAlign w:val="center"/>
          </w:tcPr>
          <w:p w14:paraId="37498143">
            <w:pPr>
              <w:rPr>
                <w:rFonts w:hint="eastAsia" w:ascii="宋体" w:hAnsi="宋体"/>
                <w:color w:val="auto"/>
                <w:szCs w:val="21"/>
                <w:highlight w:val="none"/>
              </w:rPr>
            </w:pPr>
            <w:r>
              <w:rPr>
                <w:rFonts w:hint="eastAsia" w:ascii="宋体" w:hAnsi="宋体"/>
                <w:color w:val="auto"/>
                <w:szCs w:val="21"/>
                <w:highlight w:val="none"/>
              </w:rPr>
              <w:t>满足条件的联合体或者分包企业报价优惠(扣除)系数</w:t>
            </w:r>
          </w:p>
        </w:tc>
        <w:tc>
          <w:tcPr>
            <w:tcW w:w="5354" w:type="dxa"/>
            <w:noWrap w:val="0"/>
            <w:vAlign w:val="center"/>
          </w:tcPr>
          <w:p w14:paraId="5A4CF036">
            <w:pPr>
              <w:jc w:val="left"/>
              <w:rPr>
                <w:rFonts w:hint="eastAsia" w:ascii="宋体" w:hAnsi="宋体" w:eastAsia="宋体"/>
                <w:color w:val="auto"/>
                <w:szCs w:val="21"/>
                <w:highlight w:val="none"/>
                <w:lang w:val="en-US" w:eastAsia="zh-CN"/>
              </w:rPr>
            </w:pPr>
            <w:r>
              <w:rPr>
                <w:rFonts w:hint="eastAsia" w:ascii="宋体" w:hAnsi="宋体"/>
                <w:color w:val="auto"/>
                <w:szCs w:val="21"/>
                <w:highlight w:val="none"/>
              </w:rPr>
              <w:t>Q的取值:</w:t>
            </w:r>
            <w:bookmarkStart w:id="102" w:name="EBec29c54a33044402949dd73f5c6fe07c"/>
            <w:r>
              <w:rPr>
                <w:rFonts w:hint="eastAsia" w:ascii="宋体" w:hAnsi="宋体"/>
                <w:color w:val="auto"/>
                <w:szCs w:val="21"/>
                <w:highlight w:val="none"/>
              </w:rPr>
              <w:t xml:space="preserve"> </w:t>
            </w:r>
            <w:bookmarkEnd w:id="102"/>
            <w:r>
              <w:rPr>
                <w:rFonts w:hint="eastAsia" w:ascii="宋体" w:hAnsi="宋体"/>
                <w:color w:val="auto"/>
                <w:szCs w:val="21"/>
                <w:highlight w:val="none"/>
                <w:lang w:val="en-US" w:eastAsia="zh-CN"/>
              </w:rPr>
              <w:t>/</w:t>
            </w:r>
          </w:p>
        </w:tc>
      </w:tr>
      <w:tr w14:paraId="6304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7" w:type="dxa"/>
            <w:noWrap w:val="0"/>
            <w:vAlign w:val="center"/>
          </w:tcPr>
          <w:p w14:paraId="0DD381F0">
            <w:pPr>
              <w:spacing w:line="440" w:lineRule="exact"/>
              <w:jc w:val="center"/>
              <w:rPr>
                <w:rFonts w:hint="eastAsia"/>
                <w:color w:val="auto"/>
                <w:highlight w:val="none"/>
              </w:rPr>
            </w:pPr>
            <w:r>
              <w:rPr>
                <w:rFonts w:hint="eastAsia"/>
                <w:color w:val="auto"/>
                <w:highlight w:val="none"/>
              </w:rPr>
              <w:t>10.3</w:t>
            </w:r>
          </w:p>
        </w:tc>
        <w:tc>
          <w:tcPr>
            <w:tcW w:w="2163" w:type="dxa"/>
            <w:noWrap w:val="0"/>
            <w:vAlign w:val="center"/>
          </w:tcPr>
          <w:p w14:paraId="06E88564">
            <w:pPr>
              <w:rPr>
                <w:rFonts w:hint="eastAsia" w:ascii="宋体" w:hAnsi="宋体"/>
                <w:color w:val="auto"/>
                <w:szCs w:val="21"/>
                <w:highlight w:val="none"/>
              </w:rPr>
            </w:pPr>
            <w:r>
              <w:rPr>
                <w:rFonts w:hint="eastAsia" w:ascii="宋体" w:hAnsi="宋体"/>
                <w:color w:val="auto"/>
                <w:szCs w:val="21"/>
                <w:highlight w:val="none"/>
              </w:rPr>
              <w:t>中标后须提交的</w:t>
            </w:r>
          </w:p>
          <w:p w14:paraId="5E661916">
            <w:pPr>
              <w:rPr>
                <w:rFonts w:hint="eastAsia" w:ascii="宋体" w:hAnsi="宋体"/>
                <w:color w:val="auto"/>
                <w:szCs w:val="21"/>
                <w:highlight w:val="none"/>
              </w:rPr>
            </w:pPr>
            <w:r>
              <w:rPr>
                <w:rFonts w:hint="eastAsia" w:ascii="宋体" w:hAnsi="宋体"/>
                <w:color w:val="auto"/>
                <w:szCs w:val="21"/>
                <w:highlight w:val="none"/>
              </w:rPr>
              <w:t>纸质投标文件</w:t>
            </w:r>
          </w:p>
        </w:tc>
        <w:tc>
          <w:tcPr>
            <w:tcW w:w="5354" w:type="dxa"/>
            <w:noWrap w:val="0"/>
            <w:vAlign w:val="center"/>
          </w:tcPr>
          <w:p w14:paraId="13757214">
            <w:pPr>
              <w:jc w:val="left"/>
              <w:rPr>
                <w:rFonts w:hint="eastAsia" w:ascii="宋体" w:hAnsi="宋体"/>
                <w:color w:val="auto"/>
                <w:szCs w:val="21"/>
                <w:highlight w:val="none"/>
                <w:u w:val="single"/>
              </w:rPr>
            </w:pPr>
            <w:r>
              <w:rPr>
                <w:rFonts w:hint="eastAsia" w:ascii="宋体" w:hAnsi="宋体"/>
                <w:color w:val="auto"/>
                <w:szCs w:val="21"/>
                <w:highlight w:val="none"/>
              </w:rPr>
              <w:t>份数：</w:t>
            </w:r>
            <w:r>
              <w:rPr>
                <w:rFonts w:hint="eastAsia" w:ascii="宋体" w:hAnsi="宋体"/>
                <w:color w:val="auto"/>
                <w:szCs w:val="21"/>
                <w:highlight w:val="none"/>
                <w:lang w:val="en-US" w:eastAsia="zh-CN"/>
              </w:rPr>
              <w:t>一正三副</w:t>
            </w:r>
            <w:r>
              <w:rPr>
                <w:rFonts w:hint="eastAsia" w:ascii="宋体" w:hAnsi="宋体"/>
                <w:color w:val="auto"/>
                <w:szCs w:val="21"/>
                <w:highlight w:val="none"/>
              </w:rPr>
              <w:t>，中标人提交的纸质投标文件应当与投标时的电子投标文件内容一致。</w:t>
            </w:r>
          </w:p>
        </w:tc>
      </w:tr>
      <w:tr w14:paraId="2195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jc w:val="center"/>
        </w:trPr>
        <w:tc>
          <w:tcPr>
            <w:tcW w:w="897" w:type="dxa"/>
            <w:noWrap w:val="0"/>
            <w:vAlign w:val="center"/>
          </w:tcPr>
          <w:p w14:paraId="4D2839BD">
            <w:pPr>
              <w:spacing w:line="312" w:lineRule="auto"/>
              <w:jc w:val="center"/>
              <w:rPr>
                <w:rFonts w:hint="eastAsia"/>
                <w:color w:val="auto"/>
                <w:highlight w:val="none"/>
              </w:rPr>
            </w:pPr>
            <w:r>
              <w:rPr>
                <w:rFonts w:hint="eastAsia"/>
                <w:color w:val="auto"/>
                <w:highlight w:val="none"/>
              </w:rPr>
              <w:t>10.4</w:t>
            </w:r>
          </w:p>
        </w:tc>
        <w:tc>
          <w:tcPr>
            <w:tcW w:w="2163" w:type="dxa"/>
            <w:noWrap w:val="0"/>
            <w:vAlign w:val="center"/>
          </w:tcPr>
          <w:p w14:paraId="6F38CD93">
            <w:pPr>
              <w:spacing w:line="312" w:lineRule="auto"/>
              <w:rPr>
                <w:rFonts w:hint="eastAsia"/>
                <w:color w:val="auto"/>
                <w:highlight w:val="none"/>
              </w:rPr>
            </w:pPr>
            <w:r>
              <w:rPr>
                <w:rFonts w:hint="eastAsia"/>
                <w:color w:val="auto"/>
                <w:highlight w:val="none"/>
              </w:rPr>
              <w:t>知识产权</w:t>
            </w:r>
          </w:p>
        </w:tc>
        <w:tc>
          <w:tcPr>
            <w:tcW w:w="5354" w:type="dxa"/>
            <w:noWrap w:val="0"/>
            <w:vAlign w:val="center"/>
          </w:tcPr>
          <w:p w14:paraId="1C7A0D67">
            <w:pPr>
              <w:rPr>
                <w:rFonts w:hint="eastAsia"/>
                <w:color w:val="auto"/>
                <w:highlight w:val="none"/>
              </w:rPr>
            </w:pPr>
            <w:r>
              <w:rPr>
                <w:rFonts w:hint="eastAsia"/>
                <w:color w:val="auto"/>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0822E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897" w:type="dxa"/>
            <w:noWrap w:val="0"/>
            <w:vAlign w:val="center"/>
          </w:tcPr>
          <w:p w14:paraId="37BE9EE9">
            <w:pPr>
              <w:spacing w:line="312" w:lineRule="auto"/>
              <w:jc w:val="center"/>
              <w:rPr>
                <w:rFonts w:hint="eastAsia"/>
                <w:color w:val="auto"/>
                <w:highlight w:val="none"/>
              </w:rPr>
            </w:pPr>
            <w:r>
              <w:rPr>
                <w:rFonts w:hint="eastAsia"/>
                <w:color w:val="auto"/>
                <w:highlight w:val="none"/>
              </w:rPr>
              <w:t>10.5</w:t>
            </w:r>
          </w:p>
        </w:tc>
        <w:tc>
          <w:tcPr>
            <w:tcW w:w="2163" w:type="dxa"/>
            <w:noWrap w:val="0"/>
            <w:vAlign w:val="center"/>
          </w:tcPr>
          <w:p w14:paraId="7C3FB5D5">
            <w:pPr>
              <w:rPr>
                <w:rFonts w:hint="eastAsia"/>
                <w:color w:val="auto"/>
                <w:highlight w:val="none"/>
              </w:rPr>
            </w:pPr>
            <w:r>
              <w:rPr>
                <w:rFonts w:hint="eastAsia"/>
                <w:color w:val="auto"/>
                <w:highlight w:val="none"/>
              </w:rPr>
              <w:t>同义词语</w:t>
            </w:r>
          </w:p>
        </w:tc>
        <w:tc>
          <w:tcPr>
            <w:tcW w:w="5354" w:type="dxa"/>
            <w:noWrap w:val="0"/>
            <w:vAlign w:val="center"/>
          </w:tcPr>
          <w:p w14:paraId="4C1DAB2A">
            <w:pPr>
              <w:rPr>
                <w:rFonts w:hint="eastAsia"/>
                <w:color w:val="auto"/>
                <w:highlight w:val="none"/>
              </w:rPr>
            </w:pPr>
            <w:r>
              <w:rPr>
                <w:rFonts w:hint="eastAsia"/>
                <w:color w:val="auto"/>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0C950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5" w:hRule="atLeast"/>
          <w:jc w:val="center"/>
        </w:trPr>
        <w:tc>
          <w:tcPr>
            <w:tcW w:w="897" w:type="dxa"/>
            <w:noWrap w:val="0"/>
            <w:vAlign w:val="center"/>
          </w:tcPr>
          <w:p w14:paraId="25939A53">
            <w:pPr>
              <w:spacing w:line="312" w:lineRule="auto"/>
              <w:jc w:val="center"/>
              <w:rPr>
                <w:rFonts w:hint="eastAsia"/>
                <w:color w:val="auto"/>
                <w:highlight w:val="none"/>
              </w:rPr>
            </w:pPr>
            <w:r>
              <w:rPr>
                <w:rFonts w:hint="eastAsia"/>
                <w:color w:val="auto"/>
                <w:highlight w:val="none"/>
              </w:rPr>
              <w:t>10.6</w:t>
            </w:r>
          </w:p>
        </w:tc>
        <w:tc>
          <w:tcPr>
            <w:tcW w:w="2163" w:type="dxa"/>
            <w:noWrap w:val="0"/>
            <w:vAlign w:val="center"/>
          </w:tcPr>
          <w:p w14:paraId="77D5CE11">
            <w:pPr>
              <w:spacing w:line="312" w:lineRule="auto"/>
              <w:rPr>
                <w:rFonts w:hint="eastAsia"/>
                <w:color w:val="auto"/>
                <w:highlight w:val="none"/>
              </w:rPr>
            </w:pPr>
            <w:r>
              <w:rPr>
                <w:rFonts w:hint="eastAsia"/>
                <w:color w:val="auto"/>
                <w:highlight w:val="none"/>
              </w:rPr>
              <w:t>解释权</w:t>
            </w:r>
          </w:p>
        </w:tc>
        <w:tc>
          <w:tcPr>
            <w:tcW w:w="5354" w:type="dxa"/>
            <w:noWrap w:val="0"/>
            <w:vAlign w:val="center"/>
          </w:tcPr>
          <w:p w14:paraId="09BEC9D8">
            <w:pPr>
              <w:rPr>
                <w:rFonts w:hint="eastAsia"/>
                <w:color w:val="auto"/>
                <w:highlight w:val="none"/>
              </w:rPr>
            </w:pPr>
            <w:r>
              <w:rPr>
                <w:rFonts w:hint="eastAsia"/>
                <w:color w:val="auto"/>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26A5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7" w:type="dxa"/>
            <w:noWrap w:val="0"/>
            <w:vAlign w:val="center"/>
          </w:tcPr>
          <w:p w14:paraId="568DD481">
            <w:pPr>
              <w:spacing w:line="312" w:lineRule="auto"/>
              <w:jc w:val="center"/>
              <w:rPr>
                <w:rFonts w:hint="eastAsia"/>
                <w:color w:val="auto"/>
                <w:highlight w:val="none"/>
              </w:rPr>
            </w:pPr>
            <w:r>
              <w:rPr>
                <w:color w:val="auto"/>
                <w:highlight w:val="none"/>
              </w:rPr>
              <w:t>10.</w:t>
            </w:r>
            <w:r>
              <w:rPr>
                <w:rFonts w:hint="eastAsia"/>
                <w:color w:val="auto"/>
                <w:highlight w:val="none"/>
              </w:rPr>
              <w:t>7</w:t>
            </w:r>
          </w:p>
        </w:tc>
        <w:tc>
          <w:tcPr>
            <w:tcW w:w="2163" w:type="dxa"/>
            <w:noWrap w:val="0"/>
            <w:vAlign w:val="center"/>
          </w:tcPr>
          <w:p w14:paraId="078AD73D">
            <w:pPr>
              <w:rPr>
                <w:rFonts w:hint="eastAsia"/>
                <w:color w:val="auto"/>
                <w:highlight w:val="none"/>
              </w:rPr>
            </w:pPr>
            <w:r>
              <w:rPr>
                <w:rFonts w:hint="eastAsia" w:ascii="宋体" w:cs="宋体"/>
                <w:color w:val="auto"/>
                <w:spacing w:val="4"/>
                <w:kern w:val="0"/>
                <w:sz w:val="22"/>
                <w:highlight w:val="none"/>
              </w:rPr>
              <w:t>招标代理服务费</w:t>
            </w:r>
          </w:p>
        </w:tc>
        <w:tc>
          <w:tcPr>
            <w:tcW w:w="5354" w:type="dxa"/>
            <w:noWrap w:val="0"/>
            <w:vAlign w:val="center"/>
          </w:tcPr>
          <w:p w14:paraId="4751EBF4">
            <w:pPr>
              <w:rPr>
                <w:color w:val="auto"/>
                <w:highlight w:val="none"/>
              </w:rPr>
            </w:pPr>
            <w:bookmarkStart w:id="103" w:name="EB21fecbcb456b4f9b97e2e39ce1d4d0a6"/>
            <w:bookmarkStart w:id="104" w:name="EBc336ba7338254053a80085139a1d58f8"/>
            <w:r>
              <w:rPr>
                <w:rFonts w:hint="eastAsia"/>
                <w:color w:val="auto"/>
                <w:highlight w:val="none"/>
              </w:rPr>
              <w:t>□</w:t>
            </w:r>
            <w:bookmarkEnd w:id="103"/>
            <w:r>
              <w:rPr>
                <w:rFonts w:hint="eastAsia"/>
                <w:color w:val="auto"/>
                <w:highlight w:val="none"/>
              </w:rPr>
              <w:t>本次招标没有招标代理服务费。</w:t>
            </w:r>
          </w:p>
          <w:p w14:paraId="1525AD16">
            <w:pPr>
              <w:rPr>
                <w:color w:val="auto"/>
                <w:highlight w:val="none"/>
              </w:rPr>
            </w:pPr>
            <w:r>
              <w:rPr>
                <w:rFonts w:hint="eastAsia"/>
                <w:color w:val="auto"/>
                <w:highlight w:val="none"/>
                <w:lang w:eastAsia="zh-CN"/>
              </w:rPr>
              <w:t>□</w:t>
            </w:r>
            <w:r>
              <w:rPr>
                <w:rFonts w:hint="eastAsia"/>
                <w:color w:val="auto"/>
                <w:highlight w:val="none"/>
              </w:rPr>
              <w:t>本次招标有招标代理服务费。根据</w:t>
            </w:r>
            <w:r>
              <w:rPr>
                <w:color w:val="auto"/>
                <w:highlight w:val="none"/>
              </w:rPr>
              <w:t>招标人</w:t>
            </w:r>
            <w:r>
              <w:rPr>
                <w:rFonts w:hint="eastAsia"/>
                <w:color w:val="auto"/>
                <w:highlight w:val="none"/>
              </w:rPr>
              <w:t>和</w:t>
            </w:r>
            <w:r>
              <w:rPr>
                <w:color w:val="auto"/>
                <w:highlight w:val="none"/>
              </w:rPr>
              <w:t>招标代理机构</w:t>
            </w:r>
            <w:r>
              <w:rPr>
                <w:rFonts w:hint="eastAsia"/>
                <w:color w:val="auto"/>
                <w:highlight w:val="none"/>
              </w:rPr>
              <w:t>委托代理合同的约定，本项目招标代理服务费：</w:t>
            </w:r>
          </w:p>
          <w:p w14:paraId="7565530D">
            <w:pPr>
              <w:rPr>
                <w:color w:val="auto"/>
                <w:highlight w:val="none"/>
              </w:rPr>
            </w:pPr>
            <w:r>
              <w:rPr>
                <w:rFonts w:hint="eastAsia"/>
                <w:color w:val="auto"/>
                <w:highlight w:val="none"/>
                <w:lang w:eastAsia="zh-CN"/>
              </w:rPr>
              <w:t>□</w:t>
            </w:r>
            <w:r>
              <w:rPr>
                <w:rFonts w:hint="eastAsia"/>
                <w:color w:val="auto"/>
                <w:highlight w:val="none"/>
              </w:rPr>
              <w:t>由招标人支付。</w:t>
            </w:r>
          </w:p>
          <w:p w14:paraId="14E9CAD2">
            <w:pPr>
              <w:rPr>
                <w:color w:val="auto"/>
                <w:highlight w:val="none"/>
              </w:rPr>
            </w:pPr>
            <w:bookmarkStart w:id="105" w:name="EBfcaebc29ae4b4f87bfe2d392cace625f"/>
            <w:r>
              <w:rPr>
                <w:rFonts w:hint="eastAsia"/>
                <w:color w:val="auto"/>
                <w:highlight w:val="none"/>
              </w:rPr>
              <w:t>☑</w:t>
            </w:r>
            <w:bookmarkEnd w:id="105"/>
            <w:r>
              <w:rPr>
                <w:rFonts w:hint="eastAsia"/>
                <w:color w:val="auto"/>
                <w:highlight w:val="none"/>
              </w:rPr>
              <w:t>由中标人支付。</w:t>
            </w:r>
          </w:p>
          <w:p w14:paraId="3C7F4D58">
            <w:pPr>
              <w:rPr>
                <w:color w:val="auto"/>
                <w:highlight w:val="none"/>
              </w:rPr>
            </w:pPr>
            <w:r>
              <w:rPr>
                <w:rFonts w:hint="eastAsia"/>
                <w:color w:val="auto"/>
                <w:highlight w:val="none"/>
              </w:rPr>
              <w:t>支付标准：</w:t>
            </w:r>
            <w:bookmarkStart w:id="106" w:name="EBaad045cf5bbc4b8892ded431b651f8cb"/>
            <w:r>
              <w:rPr>
                <w:rFonts w:hint="eastAsia"/>
                <w:color w:val="0000FF"/>
                <w:szCs w:val="21"/>
                <w:highlight w:val="white"/>
              </w:rPr>
              <w:t>根据发改价格[2011]534 号文收取</w:t>
            </w:r>
            <w:bookmarkEnd w:id="106"/>
            <w:r>
              <w:rPr>
                <w:rFonts w:hint="eastAsia"/>
                <w:color w:val="auto"/>
                <w:highlight w:val="none"/>
              </w:rPr>
              <w:t>；</w:t>
            </w:r>
          </w:p>
          <w:p w14:paraId="1678E352">
            <w:pPr>
              <w:rPr>
                <w:color w:val="auto"/>
                <w:highlight w:val="none"/>
              </w:rPr>
            </w:pPr>
            <w:r>
              <w:rPr>
                <w:rFonts w:hint="eastAsia"/>
                <w:color w:val="auto"/>
                <w:highlight w:val="none"/>
              </w:rPr>
              <w:t>支付方式：</w:t>
            </w:r>
            <w:bookmarkStart w:id="107" w:name="EB77fad3fd16ed4cde917f9b1781fb6037"/>
            <w:r>
              <w:rPr>
                <w:rFonts w:hint="eastAsia"/>
                <w:color w:val="0000FF"/>
                <w:szCs w:val="21"/>
                <w:highlight w:val="white"/>
              </w:rPr>
              <w:t>现金或转账</w:t>
            </w:r>
            <w:bookmarkEnd w:id="107"/>
            <w:r>
              <w:rPr>
                <w:rFonts w:hint="eastAsia"/>
                <w:color w:val="auto"/>
                <w:highlight w:val="none"/>
              </w:rPr>
              <w:t>；</w:t>
            </w:r>
          </w:p>
          <w:p w14:paraId="32479A1D">
            <w:pPr>
              <w:rPr>
                <w:rFonts w:hint="eastAsia"/>
                <w:color w:val="auto"/>
                <w:highlight w:val="none"/>
              </w:rPr>
            </w:pPr>
            <w:r>
              <w:rPr>
                <w:rFonts w:hint="eastAsia"/>
                <w:color w:val="auto"/>
                <w:highlight w:val="none"/>
              </w:rPr>
              <w:t>支付时间：</w:t>
            </w:r>
            <w:bookmarkStart w:id="108" w:name="EB003a5a42a248478286387124c0788bc0"/>
            <w:r>
              <w:rPr>
                <w:rFonts w:hint="eastAsia"/>
                <w:color w:val="auto"/>
                <w:highlight w:val="none"/>
              </w:rPr>
              <w:t>领取中标通知书时向代理机构一次性支付</w:t>
            </w:r>
            <w:bookmarkEnd w:id="108"/>
            <w:r>
              <w:rPr>
                <w:rFonts w:hint="eastAsia"/>
                <w:color w:val="auto"/>
                <w:highlight w:val="none"/>
              </w:rPr>
              <w:t>；</w:t>
            </w:r>
            <w:bookmarkEnd w:id="104"/>
            <w:bookmarkStart w:id="109" w:name="EB901a2978c7b84f3b962db85fa18bec7c"/>
            <w:r>
              <w:rPr>
                <w:rFonts w:hint="eastAsia"/>
                <w:color w:val="auto"/>
                <w:szCs w:val="21"/>
                <w:highlight w:val="none"/>
              </w:rPr>
              <w:t xml:space="preserve"> </w:t>
            </w:r>
            <w:bookmarkEnd w:id="109"/>
            <w:r>
              <w:rPr>
                <w:rFonts w:hint="eastAsia"/>
                <w:color w:val="auto"/>
                <w:szCs w:val="21"/>
                <w:highlight w:val="none"/>
              </w:rPr>
              <w:t>。</w:t>
            </w:r>
          </w:p>
        </w:tc>
      </w:tr>
      <w:tr w14:paraId="2B90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7" w:type="dxa"/>
            <w:noWrap w:val="0"/>
            <w:vAlign w:val="center"/>
          </w:tcPr>
          <w:p w14:paraId="6A8D1D62">
            <w:pPr>
              <w:spacing w:line="312" w:lineRule="auto"/>
              <w:jc w:val="center"/>
              <w:rPr>
                <w:color w:val="auto"/>
                <w:highlight w:val="none"/>
              </w:rPr>
            </w:pPr>
            <w:r>
              <w:rPr>
                <w:rFonts w:hint="eastAsia"/>
                <w:color w:val="auto"/>
                <w:highlight w:val="none"/>
              </w:rPr>
              <w:t>10.8</w:t>
            </w:r>
          </w:p>
        </w:tc>
        <w:tc>
          <w:tcPr>
            <w:tcW w:w="2163" w:type="dxa"/>
            <w:noWrap w:val="0"/>
            <w:vAlign w:val="center"/>
          </w:tcPr>
          <w:p w14:paraId="42A41C5D">
            <w:pPr>
              <w:rPr>
                <w:rFonts w:hint="eastAsia" w:ascii="宋体" w:cs="宋体"/>
                <w:color w:val="auto"/>
                <w:spacing w:val="4"/>
                <w:kern w:val="0"/>
                <w:sz w:val="22"/>
                <w:highlight w:val="none"/>
              </w:rPr>
            </w:pPr>
            <w:r>
              <w:rPr>
                <w:color w:val="auto"/>
                <w:highlight w:val="none"/>
              </w:rPr>
              <w:t>其他</w:t>
            </w:r>
          </w:p>
        </w:tc>
        <w:tc>
          <w:tcPr>
            <w:tcW w:w="5354" w:type="dxa"/>
            <w:noWrap w:val="0"/>
            <w:vAlign w:val="center"/>
          </w:tcPr>
          <w:p w14:paraId="53D57CE9">
            <w:pPr>
              <w:spacing w:line="440" w:lineRule="exact"/>
              <w:rPr>
                <w:rFonts w:hint="eastAsia"/>
                <w:color w:val="auto"/>
                <w:szCs w:val="21"/>
                <w:highlight w:val="none"/>
              </w:rPr>
            </w:pPr>
            <w:r>
              <w:rPr>
                <w:rFonts w:hint="eastAsia"/>
                <w:color w:val="auto"/>
                <w:highlight w:val="none"/>
              </w:rPr>
              <w:t>招标人是预算单位的，实行招标投标的政府采购工程项目，须按照《关于落实稳住经济一揽子政策进一步加大政府采购支持中小企业力度的通知》（黄财采发</w:t>
            </w:r>
            <w:r>
              <w:rPr>
                <w:color w:val="auto"/>
                <w:highlight w:val="none"/>
              </w:rPr>
              <w:t>[2022]143</w:t>
            </w:r>
            <w:r>
              <w:rPr>
                <w:rFonts w:hint="eastAsia"/>
                <w:color w:val="auto"/>
                <w:highlight w:val="none"/>
              </w:rPr>
              <w:t>号）要求执行。</w:t>
            </w:r>
          </w:p>
        </w:tc>
      </w:tr>
      <w:tr w14:paraId="5C81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7" w:type="dxa"/>
            <w:noWrap w:val="0"/>
            <w:vAlign w:val="center"/>
          </w:tcPr>
          <w:p w14:paraId="66D3DB8A">
            <w:pPr>
              <w:spacing w:line="312" w:lineRule="auto"/>
              <w:jc w:val="center"/>
              <w:rPr>
                <w:color w:val="auto"/>
                <w:highlight w:val="none"/>
              </w:rPr>
            </w:pPr>
            <w:r>
              <w:rPr>
                <w:rFonts w:hint="eastAsia"/>
                <w:color w:val="auto"/>
                <w:highlight w:val="none"/>
              </w:rPr>
              <w:t>10.9</w:t>
            </w:r>
          </w:p>
        </w:tc>
        <w:tc>
          <w:tcPr>
            <w:tcW w:w="2163" w:type="dxa"/>
            <w:noWrap w:val="0"/>
            <w:vAlign w:val="center"/>
          </w:tcPr>
          <w:p w14:paraId="6F0D75E1">
            <w:pPr>
              <w:rPr>
                <w:rFonts w:hint="eastAsia" w:ascii="宋体" w:cs="宋体"/>
                <w:color w:val="auto"/>
                <w:spacing w:val="4"/>
                <w:kern w:val="0"/>
                <w:sz w:val="22"/>
                <w:highlight w:val="none"/>
              </w:rPr>
            </w:pPr>
            <w:r>
              <w:rPr>
                <w:rFonts w:hint="eastAsia"/>
                <w:color w:val="auto"/>
                <w:highlight w:val="none"/>
              </w:rPr>
              <w:t>招标人补充的其他内容</w:t>
            </w:r>
          </w:p>
        </w:tc>
        <w:tc>
          <w:tcPr>
            <w:tcW w:w="5354" w:type="dxa"/>
            <w:noWrap w:val="0"/>
            <w:vAlign w:val="center"/>
          </w:tcPr>
          <w:p w14:paraId="293C7426">
            <w:pPr>
              <w:pStyle w:val="32"/>
              <w:spacing w:line="440" w:lineRule="exact"/>
              <w:jc w:val="left"/>
              <w:rPr>
                <w:rFonts w:hint="eastAsia" w:eastAsia="宋体" w:cs="Times New Roman"/>
                <w:b w:val="0"/>
                <w:color w:val="auto"/>
                <w:szCs w:val="22"/>
                <w:highlight w:val="none"/>
              </w:rPr>
            </w:pPr>
            <w:r>
              <w:rPr>
                <w:rFonts w:hint="eastAsia" w:cs="Times New Roman"/>
                <w:b w:val="0"/>
                <w:color w:val="auto"/>
                <w:szCs w:val="22"/>
                <w:highlight w:val="none"/>
                <w:lang w:val="en-US" w:eastAsia="zh-CN"/>
              </w:rPr>
              <w:t>1</w:t>
            </w:r>
            <w:r>
              <w:rPr>
                <w:rFonts w:hint="eastAsia" w:eastAsia="宋体" w:cs="Times New Roman"/>
                <w:b w:val="0"/>
                <w:color w:val="auto"/>
                <w:szCs w:val="22"/>
                <w:highlight w:val="none"/>
              </w:rPr>
              <w:t>.提供拟派项目管理团队人员不更换承诺函，承诺函均需承诺人签字。格式自拟。</w:t>
            </w:r>
          </w:p>
          <w:p w14:paraId="331EB461">
            <w:pPr>
              <w:spacing w:line="440" w:lineRule="exact"/>
              <w:rPr>
                <w:rFonts w:hint="eastAsia"/>
                <w:color w:val="auto"/>
                <w:highlight w:val="none"/>
                <w:lang w:eastAsia="zh-CN"/>
              </w:rPr>
            </w:pPr>
            <w:r>
              <w:rPr>
                <w:rFonts w:hint="eastAsia"/>
                <w:color w:val="auto"/>
                <w:highlight w:val="none"/>
                <w:lang w:val="en-US" w:eastAsia="zh-CN"/>
              </w:rPr>
              <w:t>2.工程款支付方式：工程按进度付款，工程进度款由施工单位按照季度提出申请，经监理单位、业主单位审核认可后，根据上级资金到位情况进行拨付已审核认可工程价款的85%，累计工程进度款支付不超过合同总价的85%。发包人在完成竣工结算提交审计报告并在审计机关备案后付至审定金额的98.5%，余款为结算金额的1.5%，作为本工程的质量保证金，在质保期满后无质量问题且施工方提供质量保修书（质保期满后提供）后付清</w:t>
            </w:r>
            <w:r>
              <w:rPr>
                <w:rFonts w:hint="eastAsia"/>
                <w:color w:val="auto"/>
                <w:highlight w:val="none"/>
                <w:lang w:eastAsia="zh-CN"/>
              </w:rPr>
              <w:t>。</w:t>
            </w:r>
          </w:p>
          <w:p w14:paraId="64259F7C">
            <w:pPr>
              <w:spacing w:line="440" w:lineRule="exact"/>
              <w:rPr>
                <w:rFonts w:hint="eastAsia"/>
                <w:color w:val="auto"/>
                <w:highlight w:val="none"/>
              </w:rPr>
            </w:pPr>
            <w:r>
              <w:rPr>
                <w:rFonts w:hint="eastAsia"/>
                <w:color w:val="auto"/>
                <w:highlight w:val="none"/>
                <w:lang w:val="en-US" w:eastAsia="zh-CN"/>
              </w:rPr>
              <w:t>3.</w:t>
            </w:r>
            <w:r>
              <w:rPr>
                <w:rFonts w:hint="eastAsia"/>
                <w:color w:val="auto"/>
                <w:highlight w:val="none"/>
              </w:rPr>
              <w:t>本项目招标人和中标人应按照《黄石关于全面落实工程建设领域农民工工资治欠保支基础制度的实施意见》等有关规定，落实按月足额支付工资、农民工实名制、工资专用账户、银行按月代发和工资保证金等 制度，维护各方合法权益。投标人要严格执行《关于印发《大冶市工程建设领域全面推行农民工工资治欠保支及欠薪违法信用惩戒制度工作方案》的通知》(冶人社发〔2018〕35号)文件精神</w:t>
            </w:r>
            <w:r>
              <w:rPr>
                <w:rFonts w:hint="eastAsia"/>
                <w:color w:val="000000"/>
                <w:szCs w:val="21"/>
                <w:highlight w:val="none"/>
              </w:rPr>
              <w:t>（提供承诺函）</w:t>
            </w:r>
            <w:r>
              <w:rPr>
                <w:rFonts w:hint="eastAsia"/>
                <w:color w:val="auto"/>
                <w:highlight w:val="none"/>
              </w:rPr>
              <w:t>。</w:t>
            </w:r>
          </w:p>
          <w:p w14:paraId="7D645D3E">
            <w:pPr>
              <w:spacing w:line="440" w:lineRule="exact"/>
              <w:rPr>
                <w:rFonts w:hint="eastAsia"/>
                <w:color w:val="auto"/>
                <w:highlight w:val="none"/>
                <w:lang w:val="en-US" w:eastAsia="zh-CN"/>
              </w:rPr>
            </w:pPr>
            <w:r>
              <w:rPr>
                <w:rFonts w:hint="eastAsia"/>
                <w:color w:val="auto"/>
                <w:highlight w:val="none"/>
                <w:lang w:val="en-US" w:eastAsia="zh-CN"/>
              </w:rPr>
              <w:t>4.根据住房和城乡建设部《危险性较大的分部分项工程安全管理规定》（住建部令第37号）的有关规定，建设单位应当组织勘察、设计等单位在施工招标文件中列出危大工程清单，要求施工单位在投标时补充完善危大工程清单并明确相应的安全管理措施。结合本项目的施工需要，本工程涉及到的危大工程范围是“搭设高度24m及以上的落地式钢管脚手架工程（包括采光井、电梯井脚手架）”，请各投标人在投标文件中明确相应的安全管理措施。</w:t>
            </w:r>
          </w:p>
          <w:p w14:paraId="12476E8F">
            <w:pPr>
              <w:spacing w:line="440" w:lineRule="exact"/>
              <w:rPr>
                <w:rFonts w:hint="eastAsia"/>
                <w:color w:val="auto"/>
                <w:highlight w:val="none"/>
              </w:rPr>
            </w:pPr>
            <w:r>
              <w:rPr>
                <w:rFonts w:hint="eastAsia"/>
                <w:color w:val="auto"/>
                <w:highlight w:val="none"/>
                <w:lang w:val="en-US" w:eastAsia="zh-CN"/>
              </w:rPr>
              <w:t>5.</w:t>
            </w:r>
            <w:r>
              <w:rPr>
                <w:rFonts w:hint="eastAsia"/>
                <w:color w:val="auto"/>
                <w:highlight w:val="none"/>
              </w:rPr>
              <w:t>本次评标采用“综合评估法评定分离”方法实施招投标活动。(定标办法：定标委员会定标法-直接票决定标法)</w:t>
            </w:r>
          </w:p>
        </w:tc>
      </w:tr>
    </w:tbl>
    <w:p w14:paraId="7B5F717D">
      <w:pPr>
        <w:rPr>
          <w:color w:val="auto"/>
          <w:sz w:val="20"/>
          <w:highlight w:val="none"/>
        </w:rPr>
      </w:pPr>
      <w:bookmarkStart w:id="110" w:name="EBa1346e05a68b4726b8a56fe9aec4e8f0"/>
      <w:r>
        <w:rPr>
          <w:rFonts w:hint="eastAsia"/>
          <w:color w:val="auto"/>
          <w:sz w:val="20"/>
          <w:highlight w:val="none"/>
        </w:rPr>
        <w:t xml:space="preserve"> </w:t>
      </w:r>
      <w:bookmarkEnd w:id="110"/>
    </w:p>
    <w:p w14:paraId="587B08B4">
      <w:pPr>
        <w:rPr>
          <w:rFonts w:hint="eastAsia"/>
          <w:color w:val="auto"/>
          <w:sz w:val="20"/>
          <w:highlight w:val="none"/>
        </w:rPr>
      </w:pPr>
      <w:r>
        <w:rPr>
          <w:color w:val="auto"/>
          <w:sz w:val="20"/>
          <w:highlight w:val="none"/>
        </w:rPr>
        <w:br w:type="page"/>
      </w:r>
      <w:bookmarkStart w:id="111" w:name="EB6a4fd40abcdc4a32a8664dec52a60240"/>
      <w:r>
        <w:rPr>
          <w:rFonts w:hint="eastAsia"/>
          <w:color w:val="auto"/>
          <w:sz w:val="20"/>
          <w:highlight w:val="none"/>
        </w:rPr>
        <w:t xml:space="preserve"> </w:t>
      </w:r>
      <w:bookmarkEnd w:id="111"/>
    </w:p>
    <w:p w14:paraId="3627F5FC">
      <w:pPr>
        <w:rPr>
          <w:rFonts w:hint="eastAsia"/>
          <w:color w:val="auto"/>
          <w:highlight w:val="none"/>
        </w:rPr>
      </w:pPr>
      <w:bookmarkStart w:id="112" w:name="EB4aaa0710fc2e4cce9ce0523ffe0c8678"/>
      <w:r>
        <w:rPr>
          <w:rFonts w:hint="eastAsia"/>
          <w:color w:val="auto"/>
          <w:sz w:val="20"/>
          <w:highlight w:val="none"/>
        </w:rPr>
        <w:t xml:space="preserve"> </w:t>
      </w:r>
      <w:bookmarkEnd w:id="112"/>
    </w:p>
    <w:p w14:paraId="5B998788">
      <w:pPr>
        <w:pStyle w:val="31"/>
        <w:rPr>
          <w:rFonts w:hint="eastAsia"/>
          <w:color w:val="auto"/>
          <w:highlight w:val="none"/>
        </w:rPr>
      </w:pPr>
      <w:bookmarkStart w:id="113" w:name="_Toc23282"/>
      <w:bookmarkStart w:id="114" w:name="_Toc521075326"/>
      <w:bookmarkStart w:id="115" w:name="_Toc521074901"/>
      <w:r>
        <w:rPr>
          <w:rFonts w:hint="eastAsia"/>
          <w:color w:val="auto"/>
          <w:highlight w:val="none"/>
        </w:rPr>
        <w:t>投标人须知正文部分</w:t>
      </w:r>
      <w:bookmarkEnd w:id="113"/>
      <w:bookmarkEnd w:id="114"/>
      <w:bookmarkEnd w:id="115"/>
    </w:p>
    <w:p w14:paraId="3973C21D">
      <w:pPr>
        <w:pStyle w:val="31"/>
        <w:rPr>
          <w:color w:val="auto"/>
          <w:highlight w:val="none"/>
        </w:rPr>
      </w:pPr>
      <w:bookmarkStart w:id="116" w:name="_Toc521075327"/>
      <w:bookmarkStart w:id="117" w:name="_Toc521074902"/>
      <w:bookmarkStart w:id="118" w:name="_Toc4086"/>
      <w:r>
        <w:rPr>
          <w:rFonts w:hint="eastAsia"/>
          <w:color w:val="auto"/>
          <w:highlight w:val="none"/>
        </w:rPr>
        <w:t>1.</w:t>
      </w:r>
      <w:bookmarkEnd w:id="116"/>
      <w:bookmarkEnd w:id="117"/>
      <w:bookmarkStart w:id="119" w:name="_Toc152045529"/>
      <w:bookmarkStart w:id="120" w:name="_Toc28531682"/>
      <w:bookmarkStart w:id="121" w:name="_Toc152042305"/>
      <w:bookmarkStart w:id="122" w:name="_Toc144974497"/>
      <w:bookmarkStart w:id="123" w:name="_Toc179632546"/>
      <w:r>
        <w:rPr>
          <w:color w:val="auto"/>
          <w:highlight w:val="none"/>
        </w:rPr>
        <w:t xml:space="preserve"> </w:t>
      </w:r>
      <w:r>
        <w:rPr>
          <w:rFonts w:hint="eastAsia"/>
          <w:color w:val="auto"/>
          <w:highlight w:val="none"/>
        </w:rPr>
        <w:t>总则</w:t>
      </w:r>
      <w:bookmarkEnd w:id="118"/>
      <w:bookmarkEnd w:id="119"/>
      <w:bookmarkEnd w:id="120"/>
      <w:bookmarkEnd w:id="121"/>
      <w:bookmarkEnd w:id="122"/>
      <w:bookmarkEnd w:id="123"/>
    </w:p>
    <w:p w14:paraId="04934AAC">
      <w:pPr>
        <w:pStyle w:val="33"/>
        <w:rPr>
          <w:color w:val="auto"/>
          <w:highlight w:val="none"/>
        </w:rPr>
      </w:pPr>
      <w:bookmarkStart w:id="124" w:name="_Toc152042306"/>
      <w:bookmarkStart w:id="125" w:name="_Toc152045530"/>
      <w:bookmarkStart w:id="126" w:name="_Toc144974498"/>
      <w:bookmarkStart w:id="127" w:name="_Toc16813"/>
      <w:bookmarkStart w:id="128" w:name="_Toc179632547"/>
      <w:bookmarkStart w:id="129" w:name="_Toc28531683"/>
      <w:r>
        <w:rPr>
          <w:color w:val="auto"/>
          <w:highlight w:val="none"/>
        </w:rPr>
        <w:t xml:space="preserve">1.1 </w:t>
      </w:r>
      <w:r>
        <w:rPr>
          <w:rFonts w:hint="eastAsia"/>
          <w:color w:val="auto"/>
          <w:highlight w:val="none"/>
        </w:rPr>
        <w:t>项目概况</w:t>
      </w:r>
      <w:bookmarkEnd w:id="124"/>
      <w:bookmarkEnd w:id="125"/>
      <w:bookmarkEnd w:id="126"/>
      <w:bookmarkEnd w:id="127"/>
      <w:bookmarkEnd w:id="128"/>
      <w:bookmarkEnd w:id="129"/>
    </w:p>
    <w:p w14:paraId="31D38757">
      <w:pPr>
        <w:spacing w:line="400" w:lineRule="exact"/>
        <w:ind w:firstLine="420" w:firstLineChars="200"/>
        <w:rPr>
          <w:color w:val="auto"/>
          <w:highlight w:val="none"/>
        </w:rPr>
      </w:pPr>
      <w:r>
        <w:rPr>
          <w:color w:val="auto"/>
          <w:highlight w:val="none"/>
        </w:rPr>
        <w:t>1.1.1</w:t>
      </w:r>
      <w:r>
        <w:rPr>
          <w:rFonts w:hint="eastAsia"/>
          <w:color w:val="auto"/>
          <w:highlight w:val="none"/>
        </w:rPr>
        <w:t>根据《中华人民共和国招标投标法》等有关法律、法规和规章的规定，本招标项目已具备招标条件，现对本标段施工进行招标。</w:t>
      </w:r>
    </w:p>
    <w:p w14:paraId="25484421">
      <w:pPr>
        <w:spacing w:line="400" w:lineRule="exact"/>
        <w:ind w:firstLine="420" w:firstLineChars="200"/>
        <w:rPr>
          <w:color w:val="auto"/>
          <w:highlight w:val="none"/>
        </w:rPr>
      </w:pPr>
      <w:r>
        <w:rPr>
          <w:color w:val="auto"/>
          <w:highlight w:val="none"/>
        </w:rPr>
        <w:t xml:space="preserve">1.1.2 </w:t>
      </w:r>
      <w:r>
        <w:rPr>
          <w:rFonts w:hint="eastAsia"/>
          <w:color w:val="auto"/>
          <w:highlight w:val="none"/>
        </w:rPr>
        <w:t>本招标项目招标人：见投标人须知前附表。</w:t>
      </w:r>
    </w:p>
    <w:p w14:paraId="47BA996C">
      <w:pPr>
        <w:spacing w:line="400" w:lineRule="exact"/>
        <w:ind w:firstLine="420" w:firstLineChars="200"/>
        <w:rPr>
          <w:color w:val="auto"/>
          <w:highlight w:val="none"/>
        </w:rPr>
      </w:pPr>
      <w:r>
        <w:rPr>
          <w:color w:val="auto"/>
          <w:highlight w:val="none"/>
        </w:rPr>
        <w:t xml:space="preserve">1.1.3 </w:t>
      </w:r>
      <w:r>
        <w:rPr>
          <w:rFonts w:hint="eastAsia"/>
          <w:color w:val="auto"/>
          <w:highlight w:val="none"/>
        </w:rPr>
        <w:t>本标段招标代理机构：见投标人须知前附表。</w:t>
      </w:r>
    </w:p>
    <w:p w14:paraId="58D08710">
      <w:pPr>
        <w:spacing w:line="400" w:lineRule="exact"/>
        <w:ind w:firstLine="420" w:firstLineChars="200"/>
        <w:rPr>
          <w:color w:val="auto"/>
          <w:highlight w:val="none"/>
        </w:rPr>
      </w:pPr>
      <w:r>
        <w:rPr>
          <w:color w:val="auto"/>
          <w:highlight w:val="none"/>
        </w:rPr>
        <w:t xml:space="preserve">1.1.4 </w:t>
      </w:r>
      <w:r>
        <w:rPr>
          <w:rFonts w:hint="eastAsia"/>
          <w:color w:val="auto"/>
          <w:highlight w:val="none"/>
        </w:rPr>
        <w:t>本招标项目名称：见投标人须知前附表。</w:t>
      </w:r>
    </w:p>
    <w:p w14:paraId="547A89A0">
      <w:pPr>
        <w:spacing w:line="400" w:lineRule="exact"/>
        <w:ind w:firstLine="420" w:firstLineChars="200"/>
        <w:rPr>
          <w:color w:val="auto"/>
          <w:highlight w:val="none"/>
        </w:rPr>
      </w:pPr>
      <w:r>
        <w:rPr>
          <w:color w:val="auto"/>
          <w:highlight w:val="none"/>
        </w:rPr>
        <w:t xml:space="preserve">1.1.5 </w:t>
      </w:r>
      <w:r>
        <w:rPr>
          <w:rFonts w:hint="eastAsia"/>
          <w:color w:val="auto"/>
          <w:highlight w:val="none"/>
        </w:rPr>
        <w:t>本标段建设地点：见投标人须知前附表。</w:t>
      </w:r>
    </w:p>
    <w:p w14:paraId="64747B35">
      <w:pPr>
        <w:spacing w:line="400" w:lineRule="exact"/>
        <w:ind w:firstLine="420" w:firstLineChars="200"/>
        <w:rPr>
          <w:color w:val="auto"/>
          <w:highlight w:val="none"/>
        </w:rPr>
      </w:pPr>
      <w:r>
        <w:rPr>
          <w:color w:val="auto"/>
          <w:highlight w:val="none"/>
        </w:rPr>
        <w:t xml:space="preserve">1.1.6 </w:t>
      </w:r>
      <w:r>
        <w:rPr>
          <w:rFonts w:hint="eastAsia"/>
          <w:color w:val="auto"/>
          <w:highlight w:val="none"/>
        </w:rPr>
        <w:t>本标段设计人：见申请人须知前附表。</w:t>
      </w:r>
    </w:p>
    <w:p w14:paraId="4E37300D">
      <w:pPr>
        <w:spacing w:line="400" w:lineRule="exact"/>
        <w:ind w:firstLine="420" w:firstLineChars="200"/>
        <w:rPr>
          <w:color w:val="auto"/>
          <w:highlight w:val="none"/>
        </w:rPr>
      </w:pPr>
      <w:r>
        <w:rPr>
          <w:color w:val="auto"/>
          <w:highlight w:val="none"/>
        </w:rPr>
        <w:t xml:space="preserve">1.1.7 </w:t>
      </w:r>
      <w:r>
        <w:rPr>
          <w:rFonts w:hint="eastAsia"/>
          <w:color w:val="auto"/>
          <w:highlight w:val="none"/>
        </w:rPr>
        <w:t>本标段监理人：见申请人须知前附表。</w:t>
      </w:r>
    </w:p>
    <w:p w14:paraId="56A903C7">
      <w:pPr>
        <w:spacing w:line="400" w:lineRule="exact"/>
        <w:ind w:firstLine="420" w:firstLineChars="200"/>
        <w:rPr>
          <w:color w:val="auto"/>
          <w:highlight w:val="none"/>
        </w:rPr>
      </w:pPr>
      <w:r>
        <w:rPr>
          <w:color w:val="auto"/>
          <w:highlight w:val="none"/>
        </w:rPr>
        <w:t xml:space="preserve">1.1.8 </w:t>
      </w:r>
      <w:r>
        <w:rPr>
          <w:rFonts w:hint="eastAsia"/>
          <w:color w:val="auto"/>
          <w:highlight w:val="none"/>
        </w:rPr>
        <w:t>本标段代建人：见申请人须知前附表。</w:t>
      </w:r>
    </w:p>
    <w:p w14:paraId="3D71EFDC">
      <w:pPr>
        <w:pStyle w:val="33"/>
        <w:rPr>
          <w:color w:val="auto"/>
          <w:highlight w:val="none"/>
        </w:rPr>
      </w:pPr>
      <w:bookmarkStart w:id="130" w:name="_Toc28531684"/>
      <w:bookmarkStart w:id="131" w:name="_Toc152042307"/>
      <w:bookmarkStart w:id="132" w:name="_Toc144974499"/>
      <w:bookmarkStart w:id="133" w:name="_Toc4274"/>
      <w:bookmarkStart w:id="134" w:name="_Toc179632548"/>
      <w:bookmarkStart w:id="135" w:name="_Toc152045531"/>
      <w:r>
        <w:rPr>
          <w:color w:val="auto"/>
          <w:highlight w:val="none"/>
        </w:rPr>
        <w:t xml:space="preserve">1.2 </w:t>
      </w:r>
      <w:r>
        <w:rPr>
          <w:rFonts w:hint="eastAsia"/>
          <w:color w:val="auto"/>
          <w:highlight w:val="none"/>
        </w:rPr>
        <w:t>资金来源和落实情况</w:t>
      </w:r>
      <w:bookmarkEnd w:id="130"/>
      <w:bookmarkEnd w:id="131"/>
      <w:bookmarkEnd w:id="132"/>
      <w:bookmarkEnd w:id="133"/>
      <w:bookmarkEnd w:id="134"/>
      <w:bookmarkEnd w:id="135"/>
    </w:p>
    <w:p w14:paraId="292B3E9F">
      <w:pPr>
        <w:spacing w:line="400" w:lineRule="exact"/>
        <w:ind w:firstLine="420" w:firstLineChars="200"/>
        <w:rPr>
          <w:color w:val="auto"/>
          <w:highlight w:val="none"/>
        </w:rPr>
      </w:pPr>
      <w:r>
        <w:rPr>
          <w:color w:val="auto"/>
          <w:highlight w:val="none"/>
        </w:rPr>
        <w:t xml:space="preserve">1.2.1 </w:t>
      </w:r>
      <w:r>
        <w:rPr>
          <w:rFonts w:hint="eastAsia"/>
          <w:color w:val="auto"/>
          <w:highlight w:val="none"/>
        </w:rPr>
        <w:t>本招标项目的资金来源：见投标人须知前附表。</w:t>
      </w:r>
    </w:p>
    <w:p w14:paraId="39DD9A1D">
      <w:pPr>
        <w:spacing w:line="400" w:lineRule="exact"/>
        <w:ind w:firstLine="420" w:firstLineChars="200"/>
        <w:rPr>
          <w:color w:val="auto"/>
          <w:highlight w:val="none"/>
        </w:rPr>
      </w:pPr>
      <w:r>
        <w:rPr>
          <w:color w:val="auto"/>
          <w:highlight w:val="none"/>
        </w:rPr>
        <w:t xml:space="preserve">1.2.2 </w:t>
      </w:r>
      <w:r>
        <w:rPr>
          <w:rFonts w:hint="eastAsia"/>
          <w:color w:val="auto"/>
          <w:highlight w:val="none"/>
        </w:rPr>
        <w:t>本招标项目的出资比例：见投标人须知前附表。</w:t>
      </w:r>
    </w:p>
    <w:p w14:paraId="2A657AC8">
      <w:pPr>
        <w:spacing w:line="400" w:lineRule="exact"/>
        <w:ind w:firstLine="420" w:firstLineChars="200"/>
        <w:rPr>
          <w:rFonts w:hint="eastAsia"/>
          <w:color w:val="auto"/>
          <w:highlight w:val="none"/>
        </w:rPr>
      </w:pPr>
      <w:r>
        <w:rPr>
          <w:color w:val="auto"/>
          <w:highlight w:val="none"/>
        </w:rPr>
        <w:t xml:space="preserve">1.2.3 </w:t>
      </w:r>
      <w:r>
        <w:rPr>
          <w:rFonts w:hint="eastAsia"/>
          <w:color w:val="auto"/>
          <w:highlight w:val="none"/>
        </w:rPr>
        <w:t>本招标项目的资金落实情况：见投标人须知前附表。</w:t>
      </w:r>
    </w:p>
    <w:p w14:paraId="7DF670DD">
      <w:pPr>
        <w:spacing w:line="400" w:lineRule="exact"/>
        <w:ind w:firstLine="420" w:firstLineChars="200"/>
        <w:rPr>
          <w:color w:val="auto"/>
          <w:highlight w:val="none"/>
        </w:rPr>
      </w:pPr>
      <w:r>
        <w:rPr>
          <w:color w:val="auto"/>
          <w:highlight w:val="none"/>
        </w:rPr>
        <w:t xml:space="preserve">1.2.4 </w:t>
      </w:r>
      <w:r>
        <w:rPr>
          <w:rFonts w:hint="eastAsia"/>
          <w:color w:val="auto"/>
          <w:highlight w:val="none"/>
        </w:rPr>
        <w:t>本招标项目性质：见投标人须知前附表。</w:t>
      </w:r>
    </w:p>
    <w:p w14:paraId="45C9D8FF">
      <w:pPr>
        <w:pStyle w:val="33"/>
        <w:rPr>
          <w:color w:val="auto"/>
          <w:highlight w:val="none"/>
        </w:rPr>
      </w:pPr>
      <w:bookmarkStart w:id="136" w:name="_Toc152045532"/>
      <w:bookmarkStart w:id="137" w:name="_Toc28531685"/>
      <w:bookmarkStart w:id="138" w:name="_Toc152042308"/>
      <w:bookmarkStart w:id="139" w:name="_Toc144974500"/>
      <w:bookmarkStart w:id="140" w:name="_Toc179632549"/>
      <w:bookmarkStart w:id="141" w:name="_Toc13277"/>
      <w:r>
        <w:rPr>
          <w:color w:val="auto"/>
          <w:highlight w:val="none"/>
        </w:rPr>
        <w:t xml:space="preserve">1.3 </w:t>
      </w:r>
      <w:r>
        <w:rPr>
          <w:rFonts w:hint="eastAsia"/>
          <w:color w:val="auto"/>
          <w:highlight w:val="none"/>
        </w:rPr>
        <w:t>招标范围、计划工期和质量要求</w:t>
      </w:r>
      <w:bookmarkEnd w:id="136"/>
      <w:bookmarkEnd w:id="137"/>
      <w:bookmarkEnd w:id="138"/>
      <w:bookmarkEnd w:id="139"/>
      <w:bookmarkEnd w:id="140"/>
      <w:bookmarkEnd w:id="141"/>
    </w:p>
    <w:p w14:paraId="17980C4F">
      <w:pPr>
        <w:spacing w:line="400" w:lineRule="exact"/>
        <w:ind w:firstLine="420" w:firstLineChars="200"/>
        <w:rPr>
          <w:color w:val="auto"/>
          <w:highlight w:val="none"/>
        </w:rPr>
      </w:pPr>
      <w:r>
        <w:rPr>
          <w:color w:val="auto"/>
          <w:highlight w:val="none"/>
        </w:rPr>
        <w:t xml:space="preserve">1.3.1 </w:t>
      </w:r>
      <w:r>
        <w:rPr>
          <w:rFonts w:hint="eastAsia"/>
          <w:color w:val="auto"/>
          <w:highlight w:val="none"/>
        </w:rPr>
        <w:t>本次招标范围：见投标人须知前附表。</w:t>
      </w:r>
    </w:p>
    <w:p w14:paraId="097F0B3C">
      <w:pPr>
        <w:spacing w:line="400" w:lineRule="exact"/>
        <w:ind w:firstLine="420" w:firstLineChars="200"/>
        <w:rPr>
          <w:color w:val="auto"/>
          <w:highlight w:val="none"/>
        </w:rPr>
      </w:pPr>
      <w:r>
        <w:rPr>
          <w:color w:val="auto"/>
          <w:highlight w:val="none"/>
        </w:rPr>
        <w:t xml:space="preserve">1.3.2 </w:t>
      </w:r>
      <w:r>
        <w:rPr>
          <w:rFonts w:hint="eastAsia"/>
          <w:color w:val="auto"/>
          <w:highlight w:val="none"/>
        </w:rPr>
        <w:t>本标段的计划工期：见投标人须知前附表。</w:t>
      </w:r>
    </w:p>
    <w:p w14:paraId="1F9C8824">
      <w:pPr>
        <w:spacing w:line="400" w:lineRule="exact"/>
        <w:ind w:firstLine="420" w:firstLineChars="200"/>
        <w:rPr>
          <w:rFonts w:hint="eastAsia"/>
          <w:color w:val="auto"/>
          <w:highlight w:val="none"/>
        </w:rPr>
      </w:pPr>
      <w:r>
        <w:rPr>
          <w:color w:val="auto"/>
          <w:highlight w:val="none"/>
        </w:rPr>
        <w:t xml:space="preserve">1.3.3 </w:t>
      </w:r>
      <w:r>
        <w:rPr>
          <w:rFonts w:hint="eastAsia"/>
          <w:color w:val="auto"/>
          <w:highlight w:val="none"/>
        </w:rPr>
        <w:t>本标段的质量要求：见投标人须知前附表。</w:t>
      </w:r>
    </w:p>
    <w:p w14:paraId="5D26474C">
      <w:pPr>
        <w:spacing w:line="400" w:lineRule="exact"/>
        <w:ind w:firstLine="420" w:firstLineChars="200"/>
        <w:rPr>
          <w:color w:val="auto"/>
          <w:highlight w:val="none"/>
        </w:rPr>
      </w:pPr>
      <w:r>
        <w:rPr>
          <w:color w:val="auto"/>
          <w:highlight w:val="none"/>
        </w:rPr>
        <w:t xml:space="preserve">1.3.4 </w:t>
      </w:r>
      <w:r>
        <w:rPr>
          <w:rFonts w:hint="eastAsia"/>
          <w:color w:val="auto"/>
          <w:highlight w:val="none"/>
        </w:rPr>
        <w:t>本标段执行的政府采购政策：见投标人须知前附表。</w:t>
      </w:r>
    </w:p>
    <w:p w14:paraId="17DB893D">
      <w:pPr>
        <w:pStyle w:val="33"/>
        <w:rPr>
          <w:color w:val="auto"/>
          <w:highlight w:val="none"/>
        </w:rPr>
      </w:pPr>
      <w:bookmarkStart w:id="142" w:name="_Toc28531686"/>
      <w:bookmarkStart w:id="143" w:name="_Toc152042310"/>
      <w:bookmarkStart w:id="144" w:name="_Toc144974502"/>
      <w:bookmarkStart w:id="145" w:name="_Toc152045534"/>
      <w:bookmarkStart w:id="146" w:name="_Toc9118"/>
      <w:bookmarkStart w:id="147" w:name="_Toc179632551"/>
      <w:r>
        <w:rPr>
          <w:color w:val="auto"/>
          <w:highlight w:val="none"/>
        </w:rPr>
        <w:t xml:space="preserve">1.4 </w:t>
      </w:r>
      <w:r>
        <w:rPr>
          <w:rFonts w:hint="eastAsia"/>
          <w:color w:val="auto"/>
          <w:highlight w:val="none"/>
        </w:rPr>
        <w:t>投标人资格要求（适用于未进行资格预审的）</w:t>
      </w:r>
      <w:bookmarkEnd w:id="142"/>
      <w:bookmarkEnd w:id="143"/>
      <w:bookmarkEnd w:id="144"/>
      <w:bookmarkEnd w:id="145"/>
      <w:bookmarkEnd w:id="146"/>
      <w:bookmarkEnd w:id="147"/>
    </w:p>
    <w:p w14:paraId="4EF5CF9D">
      <w:pPr>
        <w:spacing w:line="400" w:lineRule="exact"/>
        <w:ind w:firstLine="420" w:firstLineChars="200"/>
        <w:rPr>
          <w:color w:val="auto"/>
          <w:highlight w:val="none"/>
        </w:rPr>
      </w:pPr>
      <w:r>
        <w:rPr>
          <w:color w:val="auto"/>
          <w:highlight w:val="none"/>
        </w:rPr>
        <w:t>1.4.1</w:t>
      </w:r>
      <w:r>
        <w:rPr>
          <w:rFonts w:hint="eastAsia"/>
          <w:color w:val="auto"/>
          <w:highlight w:val="none"/>
        </w:rPr>
        <w:t>投标人应具备承担本标段施工的资质条件、能力和信誉。</w:t>
      </w:r>
    </w:p>
    <w:p w14:paraId="143A782D">
      <w:pPr>
        <w:spacing w:line="400" w:lineRule="exact"/>
        <w:ind w:firstLine="718" w:firstLineChars="342"/>
        <w:rPr>
          <w:color w:val="auto"/>
          <w:highlight w:val="none"/>
        </w:rPr>
      </w:pPr>
      <w:r>
        <w:rPr>
          <w:rFonts w:hint="eastAsia"/>
          <w:color w:val="auto"/>
          <w:highlight w:val="none"/>
        </w:rPr>
        <w:t>（</w:t>
      </w:r>
      <w:r>
        <w:rPr>
          <w:color w:val="auto"/>
          <w:highlight w:val="none"/>
        </w:rPr>
        <w:t>1</w:t>
      </w:r>
      <w:r>
        <w:rPr>
          <w:rFonts w:hint="eastAsia"/>
          <w:color w:val="auto"/>
          <w:highlight w:val="none"/>
        </w:rPr>
        <w:t>）资质条件：见投标人须知前附表；</w:t>
      </w:r>
    </w:p>
    <w:p w14:paraId="725D819A">
      <w:pPr>
        <w:spacing w:line="400" w:lineRule="exact"/>
        <w:ind w:firstLine="718" w:firstLineChars="342"/>
        <w:rPr>
          <w:color w:val="auto"/>
          <w:highlight w:val="none"/>
        </w:rPr>
      </w:pPr>
      <w:r>
        <w:rPr>
          <w:rFonts w:hint="eastAsia"/>
          <w:color w:val="auto"/>
          <w:highlight w:val="none"/>
        </w:rPr>
        <w:t>（</w:t>
      </w:r>
      <w:r>
        <w:rPr>
          <w:color w:val="auto"/>
          <w:highlight w:val="none"/>
        </w:rPr>
        <w:t>2</w:t>
      </w:r>
      <w:r>
        <w:rPr>
          <w:rFonts w:hint="eastAsia"/>
          <w:color w:val="auto"/>
          <w:highlight w:val="none"/>
        </w:rPr>
        <w:t>）财务要求：见投标人须知前附表；</w:t>
      </w:r>
    </w:p>
    <w:p w14:paraId="613090D0">
      <w:pPr>
        <w:spacing w:line="400" w:lineRule="exact"/>
        <w:ind w:firstLine="718" w:firstLineChars="342"/>
        <w:rPr>
          <w:color w:val="auto"/>
          <w:highlight w:val="none"/>
        </w:rPr>
      </w:pPr>
      <w:r>
        <w:rPr>
          <w:rFonts w:hint="eastAsia"/>
          <w:color w:val="auto"/>
          <w:highlight w:val="none"/>
        </w:rPr>
        <w:t>（</w:t>
      </w:r>
      <w:r>
        <w:rPr>
          <w:color w:val="auto"/>
          <w:highlight w:val="none"/>
        </w:rPr>
        <w:t>3</w:t>
      </w:r>
      <w:r>
        <w:rPr>
          <w:rFonts w:hint="eastAsia"/>
          <w:color w:val="auto"/>
          <w:highlight w:val="none"/>
        </w:rPr>
        <w:t>）业绩要求：见投标人须知前附表；</w:t>
      </w:r>
    </w:p>
    <w:p w14:paraId="52AB0CA4">
      <w:pPr>
        <w:spacing w:line="400" w:lineRule="exact"/>
        <w:ind w:firstLine="718" w:firstLineChars="342"/>
        <w:rPr>
          <w:color w:val="auto"/>
          <w:highlight w:val="none"/>
        </w:rPr>
      </w:pPr>
      <w:r>
        <w:rPr>
          <w:rFonts w:hint="eastAsia"/>
          <w:color w:val="auto"/>
          <w:highlight w:val="none"/>
        </w:rPr>
        <w:t>（</w:t>
      </w:r>
      <w:r>
        <w:rPr>
          <w:color w:val="auto"/>
          <w:highlight w:val="none"/>
        </w:rPr>
        <w:t>4</w:t>
      </w:r>
      <w:r>
        <w:rPr>
          <w:rFonts w:hint="eastAsia"/>
          <w:color w:val="auto"/>
          <w:highlight w:val="none"/>
        </w:rPr>
        <w:t>）信誉要求：见投标人须知前附表</w:t>
      </w:r>
      <w:r>
        <w:rPr>
          <w:color w:val="auto"/>
          <w:highlight w:val="none"/>
        </w:rPr>
        <w:t>;</w:t>
      </w:r>
    </w:p>
    <w:p w14:paraId="1F8475BC">
      <w:pPr>
        <w:spacing w:line="400" w:lineRule="exact"/>
        <w:ind w:firstLine="735" w:firstLineChars="350"/>
        <w:rPr>
          <w:color w:val="auto"/>
          <w:highlight w:val="none"/>
        </w:rPr>
      </w:pPr>
      <w:r>
        <w:rPr>
          <w:rFonts w:hint="eastAsia"/>
          <w:color w:val="auto"/>
          <w:highlight w:val="none"/>
        </w:rPr>
        <w:t>（</w:t>
      </w:r>
      <w:r>
        <w:rPr>
          <w:color w:val="auto"/>
          <w:highlight w:val="none"/>
        </w:rPr>
        <w:t>5</w:t>
      </w:r>
      <w:r>
        <w:rPr>
          <w:rFonts w:hint="eastAsia"/>
          <w:color w:val="auto"/>
          <w:highlight w:val="none"/>
        </w:rPr>
        <w:t>）项目经理资格：见投标人须知前附表；</w:t>
      </w:r>
    </w:p>
    <w:p w14:paraId="3DF47EED">
      <w:pPr>
        <w:spacing w:line="400" w:lineRule="exact"/>
        <w:ind w:firstLine="735" w:firstLineChars="350"/>
        <w:rPr>
          <w:color w:val="auto"/>
          <w:highlight w:val="none"/>
        </w:rPr>
      </w:pPr>
      <w:r>
        <w:rPr>
          <w:rFonts w:hint="eastAsia"/>
          <w:color w:val="auto"/>
          <w:highlight w:val="none"/>
        </w:rPr>
        <w:t>（</w:t>
      </w:r>
      <w:r>
        <w:rPr>
          <w:color w:val="auto"/>
          <w:highlight w:val="none"/>
        </w:rPr>
        <w:t>6</w:t>
      </w:r>
      <w:r>
        <w:rPr>
          <w:rFonts w:hint="eastAsia"/>
          <w:color w:val="auto"/>
          <w:highlight w:val="none"/>
        </w:rPr>
        <w:t>）其他要求：见投标人须知前附表。</w:t>
      </w:r>
    </w:p>
    <w:p w14:paraId="3B685C55">
      <w:pPr>
        <w:spacing w:line="400" w:lineRule="exact"/>
        <w:ind w:firstLine="420" w:firstLineChars="200"/>
        <w:rPr>
          <w:color w:val="auto"/>
          <w:highlight w:val="none"/>
        </w:rPr>
      </w:pPr>
      <w:r>
        <w:rPr>
          <w:color w:val="auto"/>
          <w:highlight w:val="none"/>
        </w:rPr>
        <w:t xml:space="preserve">1.4.2 </w:t>
      </w:r>
      <w:r>
        <w:rPr>
          <w:rFonts w:hint="eastAsia"/>
          <w:color w:val="auto"/>
          <w:highlight w:val="none"/>
        </w:rPr>
        <w:t>投标人须知前附表规定接受联合体投标的，除应符合本章第</w:t>
      </w:r>
      <w:r>
        <w:rPr>
          <w:color w:val="auto"/>
          <w:highlight w:val="none"/>
        </w:rPr>
        <w:t>1.4.1</w:t>
      </w:r>
      <w:r>
        <w:rPr>
          <w:rFonts w:hint="eastAsia"/>
          <w:color w:val="auto"/>
          <w:highlight w:val="none"/>
        </w:rPr>
        <w:t>项和投标人须知前附表的要求外，还应遵守以下规定：</w:t>
      </w:r>
      <w:r>
        <w:rPr>
          <w:color w:val="auto"/>
          <w:highlight w:val="none"/>
        </w:rPr>
        <w:t xml:space="preserve"> </w:t>
      </w:r>
    </w:p>
    <w:p w14:paraId="7864E90A">
      <w:pPr>
        <w:spacing w:line="400" w:lineRule="exact"/>
        <w:ind w:firstLine="718" w:firstLineChars="342"/>
        <w:rPr>
          <w:color w:val="auto"/>
          <w:highlight w:val="none"/>
        </w:rPr>
      </w:pPr>
      <w:r>
        <w:rPr>
          <w:rFonts w:hint="eastAsia"/>
          <w:color w:val="auto"/>
          <w:highlight w:val="none"/>
        </w:rPr>
        <w:t>（</w:t>
      </w:r>
      <w:r>
        <w:rPr>
          <w:color w:val="auto"/>
          <w:highlight w:val="none"/>
        </w:rPr>
        <w:t>1</w:t>
      </w:r>
      <w:r>
        <w:rPr>
          <w:rFonts w:hint="eastAsia"/>
          <w:color w:val="auto"/>
          <w:highlight w:val="none"/>
        </w:rPr>
        <w:t>）联合体各方应按招标文件提供的格式签订联合体协议书，明确联合体牵头人和各方权利义务；</w:t>
      </w:r>
    </w:p>
    <w:p w14:paraId="626A6766">
      <w:pPr>
        <w:spacing w:line="400" w:lineRule="exact"/>
        <w:ind w:firstLine="718" w:firstLineChars="342"/>
        <w:rPr>
          <w:color w:val="auto"/>
          <w:highlight w:val="none"/>
        </w:rPr>
      </w:pPr>
      <w:r>
        <w:rPr>
          <w:rFonts w:hint="eastAsia"/>
          <w:color w:val="auto"/>
          <w:highlight w:val="none"/>
        </w:rPr>
        <w:t>（</w:t>
      </w:r>
      <w:r>
        <w:rPr>
          <w:color w:val="auto"/>
          <w:highlight w:val="none"/>
        </w:rPr>
        <w:t>2</w:t>
      </w:r>
      <w:r>
        <w:rPr>
          <w:rFonts w:hint="eastAsia"/>
          <w:color w:val="auto"/>
          <w:highlight w:val="none"/>
        </w:rPr>
        <w:t>）由同一专业的单位组成的联合体，按照资质等级较低的单位确定资质等级；</w:t>
      </w:r>
      <w:r>
        <w:rPr>
          <w:color w:val="auto"/>
          <w:highlight w:val="none"/>
        </w:rPr>
        <w:t xml:space="preserve"> </w:t>
      </w:r>
    </w:p>
    <w:p w14:paraId="5426C239">
      <w:pPr>
        <w:spacing w:line="400" w:lineRule="exact"/>
        <w:ind w:firstLine="718" w:firstLineChars="342"/>
        <w:rPr>
          <w:color w:val="auto"/>
          <w:highlight w:val="none"/>
        </w:rPr>
      </w:pPr>
      <w:r>
        <w:rPr>
          <w:rFonts w:hint="eastAsia"/>
          <w:color w:val="auto"/>
          <w:highlight w:val="none"/>
        </w:rPr>
        <w:t>（</w:t>
      </w:r>
      <w:r>
        <w:rPr>
          <w:color w:val="auto"/>
          <w:highlight w:val="none"/>
        </w:rPr>
        <w:t>3</w:t>
      </w:r>
      <w:r>
        <w:rPr>
          <w:rFonts w:hint="eastAsia"/>
          <w:color w:val="auto"/>
          <w:highlight w:val="none"/>
        </w:rPr>
        <w:t>）联合体各方不得再以自己名义单独或参加其他联合体在同一标段中投标。</w:t>
      </w:r>
    </w:p>
    <w:p w14:paraId="782282D4">
      <w:pPr>
        <w:spacing w:line="400" w:lineRule="exact"/>
        <w:ind w:firstLine="420" w:firstLineChars="200"/>
        <w:rPr>
          <w:color w:val="auto"/>
          <w:highlight w:val="none"/>
        </w:rPr>
      </w:pPr>
      <w:r>
        <w:rPr>
          <w:color w:val="auto"/>
          <w:highlight w:val="none"/>
        </w:rPr>
        <w:t xml:space="preserve">1.4.3 </w:t>
      </w:r>
      <w:r>
        <w:rPr>
          <w:rFonts w:hint="eastAsia"/>
          <w:color w:val="auto"/>
          <w:highlight w:val="none"/>
        </w:rPr>
        <w:t>投标人不得存在下列情形之一：</w:t>
      </w:r>
    </w:p>
    <w:p w14:paraId="241E53CD">
      <w:pPr>
        <w:spacing w:line="400" w:lineRule="exact"/>
        <w:ind w:firstLine="718" w:firstLineChars="342"/>
        <w:rPr>
          <w:color w:val="auto"/>
          <w:highlight w:val="none"/>
        </w:rPr>
      </w:pPr>
      <w:r>
        <w:rPr>
          <w:rFonts w:hint="eastAsia"/>
          <w:color w:val="auto"/>
          <w:highlight w:val="none"/>
        </w:rPr>
        <w:t>（</w:t>
      </w:r>
      <w:r>
        <w:rPr>
          <w:color w:val="auto"/>
          <w:highlight w:val="none"/>
        </w:rPr>
        <w:t>1</w:t>
      </w:r>
      <w:r>
        <w:rPr>
          <w:rFonts w:hint="eastAsia"/>
          <w:color w:val="auto"/>
          <w:highlight w:val="none"/>
        </w:rPr>
        <w:t>）为招标人不具有独立法人资格的附属机构（单位）；</w:t>
      </w:r>
      <w:r>
        <w:rPr>
          <w:color w:val="auto"/>
          <w:highlight w:val="none"/>
        </w:rPr>
        <w:t xml:space="preserve"> </w:t>
      </w:r>
    </w:p>
    <w:p w14:paraId="2F771870">
      <w:pPr>
        <w:spacing w:line="400" w:lineRule="exact"/>
        <w:ind w:firstLine="735" w:firstLineChars="350"/>
        <w:rPr>
          <w:color w:val="auto"/>
          <w:highlight w:val="none"/>
        </w:rPr>
      </w:pPr>
      <w:r>
        <w:rPr>
          <w:rFonts w:hint="eastAsia"/>
          <w:color w:val="auto"/>
          <w:highlight w:val="none"/>
        </w:rPr>
        <w:t>（</w:t>
      </w:r>
      <w:r>
        <w:rPr>
          <w:color w:val="auto"/>
          <w:highlight w:val="none"/>
        </w:rPr>
        <w:t>2</w:t>
      </w:r>
      <w:r>
        <w:rPr>
          <w:rFonts w:hint="eastAsia"/>
          <w:color w:val="auto"/>
          <w:highlight w:val="none"/>
        </w:rPr>
        <w:t>）与招标人存在利害关系且可能影响招标公正性；</w:t>
      </w:r>
    </w:p>
    <w:p w14:paraId="1AC9E71E">
      <w:pPr>
        <w:spacing w:line="400" w:lineRule="exact"/>
        <w:ind w:firstLine="735" w:firstLineChars="350"/>
        <w:rPr>
          <w:color w:val="auto"/>
          <w:highlight w:val="none"/>
        </w:rPr>
      </w:pPr>
      <w:r>
        <w:rPr>
          <w:rFonts w:hint="eastAsia"/>
          <w:color w:val="auto"/>
          <w:highlight w:val="none"/>
        </w:rPr>
        <w:t>（</w:t>
      </w:r>
      <w:r>
        <w:rPr>
          <w:color w:val="auto"/>
          <w:highlight w:val="none"/>
        </w:rPr>
        <w:t>3</w:t>
      </w:r>
      <w:r>
        <w:rPr>
          <w:rFonts w:hint="eastAsia"/>
          <w:color w:val="auto"/>
          <w:highlight w:val="none"/>
        </w:rPr>
        <w:t>）与本标段的其他投标人为同一个单位负责人；</w:t>
      </w:r>
    </w:p>
    <w:p w14:paraId="76F755B7">
      <w:pPr>
        <w:spacing w:line="400" w:lineRule="exact"/>
        <w:ind w:firstLine="735" w:firstLineChars="350"/>
        <w:rPr>
          <w:color w:val="auto"/>
          <w:highlight w:val="none"/>
        </w:rPr>
      </w:pPr>
      <w:r>
        <w:rPr>
          <w:rFonts w:hint="eastAsia"/>
          <w:color w:val="auto"/>
          <w:highlight w:val="none"/>
        </w:rPr>
        <w:t>（</w:t>
      </w:r>
      <w:r>
        <w:rPr>
          <w:color w:val="auto"/>
          <w:highlight w:val="none"/>
        </w:rPr>
        <w:t>4</w:t>
      </w:r>
      <w:r>
        <w:rPr>
          <w:rFonts w:hint="eastAsia"/>
          <w:color w:val="auto"/>
          <w:highlight w:val="none"/>
        </w:rPr>
        <w:t>）与本标段的其他投标人存在控股、管理关系；</w:t>
      </w:r>
    </w:p>
    <w:p w14:paraId="1C8AAA72">
      <w:pPr>
        <w:spacing w:line="400" w:lineRule="exact"/>
        <w:ind w:firstLine="735" w:firstLineChars="350"/>
        <w:rPr>
          <w:color w:val="auto"/>
          <w:highlight w:val="none"/>
        </w:rPr>
      </w:pPr>
      <w:r>
        <w:rPr>
          <w:rFonts w:hint="eastAsia"/>
          <w:color w:val="auto"/>
          <w:highlight w:val="none"/>
        </w:rPr>
        <w:t>（</w:t>
      </w:r>
      <w:r>
        <w:rPr>
          <w:color w:val="auto"/>
          <w:highlight w:val="none"/>
        </w:rPr>
        <w:t>5</w:t>
      </w:r>
      <w:r>
        <w:rPr>
          <w:rFonts w:hint="eastAsia"/>
          <w:color w:val="auto"/>
          <w:highlight w:val="none"/>
        </w:rPr>
        <w:t>）为本标段前期准备提供设计或咨询服务的；</w:t>
      </w:r>
      <w:r>
        <w:rPr>
          <w:color w:val="auto"/>
          <w:highlight w:val="none"/>
        </w:rPr>
        <w:t xml:space="preserve"> </w:t>
      </w:r>
    </w:p>
    <w:p w14:paraId="27841C84">
      <w:pPr>
        <w:spacing w:line="400" w:lineRule="exact"/>
        <w:ind w:firstLine="735" w:firstLineChars="350"/>
        <w:rPr>
          <w:color w:val="auto"/>
          <w:highlight w:val="none"/>
        </w:rPr>
      </w:pPr>
      <w:r>
        <w:rPr>
          <w:rFonts w:hint="eastAsia"/>
          <w:color w:val="auto"/>
          <w:highlight w:val="none"/>
        </w:rPr>
        <w:t>（</w:t>
      </w:r>
      <w:r>
        <w:rPr>
          <w:color w:val="auto"/>
          <w:highlight w:val="none"/>
        </w:rPr>
        <w:t>6</w:t>
      </w:r>
      <w:r>
        <w:rPr>
          <w:rFonts w:hint="eastAsia"/>
          <w:color w:val="auto"/>
          <w:highlight w:val="none"/>
        </w:rPr>
        <w:t>）为本标段的监理人；</w:t>
      </w:r>
    </w:p>
    <w:p w14:paraId="2223028C">
      <w:pPr>
        <w:spacing w:line="400" w:lineRule="exact"/>
        <w:ind w:firstLine="735" w:firstLineChars="350"/>
        <w:rPr>
          <w:color w:val="auto"/>
          <w:highlight w:val="none"/>
        </w:rPr>
      </w:pPr>
      <w:r>
        <w:rPr>
          <w:rFonts w:hint="eastAsia"/>
          <w:color w:val="auto"/>
          <w:highlight w:val="none"/>
        </w:rPr>
        <w:t>（</w:t>
      </w:r>
      <w:r>
        <w:rPr>
          <w:color w:val="auto"/>
          <w:highlight w:val="none"/>
        </w:rPr>
        <w:t>7</w:t>
      </w:r>
      <w:r>
        <w:rPr>
          <w:rFonts w:hint="eastAsia"/>
          <w:color w:val="auto"/>
          <w:highlight w:val="none"/>
        </w:rPr>
        <w:t>）为本标段的代建人；</w:t>
      </w:r>
      <w:r>
        <w:rPr>
          <w:color w:val="auto"/>
          <w:highlight w:val="none"/>
        </w:rPr>
        <w:t xml:space="preserve"> </w:t>
      </w:r>
    </w:p>
    <w:p w14:paraId="0A266103">
      <w:pPr>
        <w:spacing w:line="400" w:lineRule="exact"/>
        <w:ind w:firstLine="735" w:firstLineChars="350"/>
        <w:rPr>
          <w:color w:val="auto"/>
          <w:highlight w:val="none"/>
        </w:rPr>
      </w:pPr>
      <w:r>
        <w:rPr>
          <w:rFonts w:hint="eastAsia"/>
          <w:color w:val="auto"/>
          <w:highlight w:val="none"/>
        </w:rPr>
        <w:t>（</w:t>
      </w:r>
      <w:r>
        <w:rPr>
          <w:color w:val="auto"/>
          <w:highlight w:val="none"/>
        </w:rPr>
        <w:t>8</w:t>
      </w:r>
      <w:r>
        <w:rPr>
          <w:rFonts w:hint="eastAsia"/>
          <w:color w:val="auto"/>
          <w:highlight w:val="none"/>
        </w:rPr>
        <w:t>）为本标段提供招标代理服务；</w:t>
      </w:r>
      <w:r>
        <w:rPr>
          <w:color w:val="auto"/>
          <w:highlight w:val="none"/>
        </w:rPr>
        <w:t xml:space="preserve"> </w:t>
      </w:r>
    </w:p>
    <w:p w14:paraId="3D35C6E8">
      <w:pPr>
        <w:spacing w:line="400" w:lineRule="exact"/>
        <w:ind w:firstLine="735" w:firstLineChars="350"/>
        <w:rPr>
          <w:color w:val="auto"/>
          <w:highlight w:val="none"/>
        </w:rPr>
      </w:pPr>
      <w:r>
        <w:rPr>
          <w:rFonts w:hint="eastAsia"/>
          <w:color w:val="auto"/>
          <w:highlight w:val="none"/>
        </w:rPr>
        <w:t>（</w:t>
      </w:r>
      <w:r>
        <w:rPr>
          <w:color w:val="auto"/>
          <w:highlight w:val="none"/>
        </w:rPr>
        <w:t>9</w:t>
      </w:r>
      <w:r>
        <w:rPr>
          <w:rFonts w:hint="eastAsia"/>
          <w:color w:val="auto"/>
          <w:highlight w:val="none"/>
        </w:rPr>
        <w:t>）与本标段的监理人或代建人或招标代理机构同为一个法定代表人；</w:t>
      </w:r>
    </w:p>
    <w:p w14:paraId="4A56E601">
      <w:pPr>
        <w:spacing w:line="400" w:lineRule="exact"/>
        <w:ind w:firstLine="735" w:firstLineChars="350"/>
        <w:rPr>
          <w:color w:val="auto"/>
          <w:highlight w:val="none"/>
        </w:rPr>
      </w:pPr>
      <w:r>
        <w:rPr>
          <w:rFonts w:hint="eastAsia"/>
          <w:color w:val="auto"/>
          <w:highlight w:val="none"/>
        </w:rPr>
        <w:t>（</w:t>
      </w:r>
      <w:r>
        <w:rPr>
          <w:color w:val="auto"/>
          <w:highlight w:val="none"/>
        </w:rPr>
        <w:t>10</w:t>
      </w:r>
      <w:r>
        <w:rPr>
          <w:rFonts w:hint="eastAsia"/>
          <w:color w:val="auto"/>
          <w:highlight w:val="none"/>
        </w:rPr>
        <w:t>）与本标段的监理人或代建人或招标代理机构相互控股或参股；</w:t>
      </w:r>
    </w:p>
    <w:p w14:paraId="1D72C53F">
      <w:pPr>
        <w:spacing w:line="400" w:lineRule="exact"/>
        <w:ind w:firstLine="735" w:firstLineChars="350"/>
        <w:rPr>
          <w:color w:val="auto"/>
          <w:highlight w:val="none"/>
        </w:rPr>
      </w:pPr>
      <w:r>
        <w:rPr>
          <w:rFonts w:hint="eastAsia"/>
          <w:color w:val="auto"/>
          <w:highlight w:val="none"/>
        </w:rPr>
        <w:t>（</w:t>
      </w:r>
      <w:r>
        <w:rPr>
          <w:color w:val="auto"/>
          <w:highlight w:val="none"/>
        </w:rPr>
        <w:t>11</w:t>
      </w:r>
      <w:r>
        <w:rPr>
          <w:rFonts w:hint="eastAsia"/>
          <w:color w:val="auto"/>
          <w:highlight w:val="none"/>
        </w:rPr>
        <w:t>）与本标段的监理人或代建人或招标代理机构相互任职或工作；</w:t>
      </w:r>
    </w:p>
    <w:p w14:paraId="7F16F182">
      <w:pPr>
        <w:spacing w:line="400" w:lineRule="exact"/>
        <w:ind w:firstLine="735" w:firstLineChars="350"/>
        <w:rPr>
          <w:color w:val="auto"/>
          <w:highlight w:val="none"/>
        </w:rPr>
      </w:pPr>
      <w:r>
        <w:rPr>
          <w:rFonts w:hint="eastAsia"/>
          <w:color w:val="auto"/>
          <w:highlight w:val="none"/>
        </w:rPr>
        <w:t>（</w:t>
      </w:r>
      <w:r>
        <w:rPr>
          <w:color w:val="auto"/>
          <w:highlight w:val="none"/>
        </w:rPr>
        <w:t>12</w:t>
      </w:r>
      <w:r>
        <w:rPr>
          <w:rFonts w:hint="eastAsia"/>
          <w:color w:val="auto"/>
          <w:highlight w:val="none"/>
        </w:rPr>
        <w:t>）被依法暂停或取消投标资格（指被本招标项目所在地县级及以上</w:t>
      </w:r>
      <w:r>
        <w:rPr>
          <w:rFonts w:hint="eastAsia"/>
          <w:color w:val="auto"/>
          <w:szCs w:val="21"/>
          <w:highlight w:val="none"/>
        </w:rPr>
        <w:t>住房城乡建设</w:t>
      </w:r>
      <w:r>
        <w:rPr>
          <w:rFonts w:hint="eastAsia"/>
          <w:color w:val="auto"/>
          <w:highlight w:val="none"/>
        </w:rPr>
        <w:t>主管部门或其他行政主管部门暂停或取消投标资格或禁止进入该区域建设市场且处于有效期内）；</w:t>
      </w:r>
    </w:p>
    <w:p w14:paraId="450C368D">
      <w:pPr>
        <w:spacing w:line="400" w:lineRule="exact"/>
        <w:ind w:firstLine="735" w:firstLineChars="350"/>
        <w:rPr>
          <w:color w:val="auto"/>
          <w:highlight w:val="none"/>
        </w:rPr>
      </w:pPr>
      <w:r>
        <w:rPr>
          <w:rFonts w:hint="eastAsia"/>
          <w:color w:val="auto"/>
          <w:highlight w:val="none"/>
        </w:rPr>
        <w:t>（</w:t>
      </w:r>
      <w:r>
        <w:rPr>
          <w:color w:val="auto"/>
          <w:highlight w:val="none"/>
        </w:rPr>
        <w:t>13</w:t>
      </w:r>
      <w:r>
        <w:rPr>
          <w:rFonts w:hint="eastAsia"/>
          <w:color w:val="auto"/>
          <w:highlight w:val="none"/>
        </w:rPr>
        <w:t>）被责令停产停业、暂扣或者吊销许可证、暂扣或者吊销执照；</w:t>
      </w:r>
      <w:r>
        <w:rPr>
          <w:color w:val="auto"/>
          <w:highlight w:val="none"/>
        </w:rPr>
        <w:t xml:space="preserve"> </w:t>
      </w:r>
    </w:p>
    <w:p w14:paraId="1B2276CD">
      <w:pPr>
        <w:spacing w:line="400" w:lineRule="exact"/>
        <w:ind w:firstLine="735" w:firstLineChars="350"/>
        <w:rPr>
          <w:color w:val="auto"/>
          <w:highlight w:val="none"/>
        </w:rPr>
      </w:pPr>
      <w:r>
        <w:rPr>
          <w:rFonts w:hint="eastAsia"/>
          <w:color w:val="auto"/>
          <w:highlight w:val="none"/>
        </w:rPr>
        <w:t>（</w:t>
      </w:r>
      <w:r>
        <w:rPr>
          <w:color w:val="auto"/>
          <w:highlight w:val="none"/>
        </w:rPr>
        <w:t>14</w:t>
      </w:r>
      <w:r>
        <w:rPr>
          <w:rFonts w:hint="eastAsia"/>
          <w:color w:val="auto"/>
          <w:highlight w:val="none"/>
        </w:rPr>
        <w:t>）进入清算程序，或被宣告破产，或其他丧失履约能力的情形；</w:t>
      </w:r>
    </w:p>
    <w:p w14:paraId="675DF15D">
      <w:pPr>
        <w:spacing w:line="400" w:lineRule="exact"/>
        <w:ind w:firstLine="735" w:firstLineChars="350"/>
        <w:rPr>
          <w:color w:val="auto"/>
          <w:highlight w:val="none"/>
        </w:rPr>
      </w:pPr>
      <w:r>
        <w:rPr>
          <w:rFonts w:hint="eastAsia"/>
          <w:color w:val="auto"/>
          <w:highlight w:val="none"/>
        </w:rPr>
        <w:t>（</w:t>
      </w:r>
      <w:r>
        <w:rPr>
          <w:color w:val="auto"/>
          <w:highlight w:val="none"/>
        </w:rPr>
        <w:t>15</w:t>
      </w:r>
      <w:r>
        <w:rPr>
          <w:rFonts w:hint="eastAsia"/>
          <w:color w:val="auto"/>
          <w:highlight w:val="none"/>
        </w:rPr>
        <w:t>）在最近三年内发生重大工程质量问题（以相关行业主管部门的行政处罚决定或司法机关出具的有关法律文书为准）；</w:t>
      </w:r>
    </w:p>
    <w:p w14:paraId="3943E816">
      <w:pPr>
        <w:spacing w:line="400" w:lineRule="exact"/>
        <w:ind w:firstLine="735" w:firstLineChars="350"/>
        <w:rPr>
          <w:color w:val="auto"/>
          <w:highlight w:val="none"/>
        </w:rPr>
      </w:pPr>
      <w:r>
        <w:rPr>
          <w:rFonts w:hint="eastAsia"/>
          <w:color w:val="auto"/>
          <w:highlight w:val="none"/>
        </w:rPr>
        <w:t>（</w:t>
      </w:r>
      <w:r>
        <w:rPr>
          <w:color w:val="auto"/>
          <w:highlight w:val="none"/>
        </w:rPr>
        <w:t>16</w:t>
      </w:r>
      <w:r>
        <w:rPr>
          <w:rFonts w:hint="eastAsia"/>
          <w:color w:val="auto"/>
          <w:highlight w:val="none"/>
        </w:rPr>
        <w:t>）在“国家企业信用信息公示系统”（</w:t>
      </w:r>
      <w:r>
        <w:rPr>
          <w:color w:val="auto"/>
          <w:highlight w:val="none"/>
        </w:rPr>
        <w:t xml:space="preserve"> www.gsxt.gov.cn</w:t>
      </w:r>
      <w:r>
        <w:rPr>
          <w:rFonts w:hint="eastAsia"/>
          <w:color w:val="auto"/>
          <w:highlight w:val="none"/>
        </w:rPr>
        <w:t>）中被列入严重违法失信企业名单；</w:t>
      </w:r>
    </w:p>
    <w:p w14:paraId="6D427587">
      <w:pPr>
        <w:spacing w:line="400" w:lineRule="exact"/>
        <w:ind w:firstLine="735" w:firstLineChars="350"/>
        <w:rPr>
          <w:color w:val="auto"/>
          <w:highlight w:val="none"/>
        </w:rPr>
      </w:pPr>
      <w:r>
        <w:rPr>
          <w:rFonts w:hint="eastAsia"/>
          <w:color w:val="auto"/>
          <w:highlight w:val="none"/>
        </w:rPr>
        <w:t>（</w:t>
      </w:r>
      <w:r>
        <w:rPr>
          <w:color w:val="auto"/>
          <w:highlight w:val="none"/>
        </w:rPr>
        <w:t>17</w:t>
      </w:r>
      <w:r>
        <w:rPr>
          <w:rFonts w:hint="eastAsia"/>
          <w:color w:val="auto"/>
          <w:highlight w:val="none"/>
        </w:rPr>
        <w:t>）在</w:t>
      </w:r>
      <w:r>
        <w:rPr>
          <w:color w:val="auto"/>
          <w:highlight w:val="none"/>
        </w:rPr>
        <w:t>“</w:t>
      </w:r>
      <w:r>
        <w:rPr>
          <w:rFonts w:hint="eastAsia"/>
          <w:color w:val="auto"/>
          <w:highlight w:val="none"/>
        </w:rPr>
        <w:t>信用中国</w:t>
      </w:r>
      <w:r>
        <w:rPr>
          <w:color w:val="auto"/>
          <w:highlight w:val="none"/>
        </w:rPr>
        <w:t>”</w:t>
      </w:r>
      <w:r>
        <w:rPr>
          <w:rFonts w:hint="eastAsia"/>
          <w:color w:val="auto"/>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5"/>
          <w:color w:val="auto"/>
          <w:highlight w:val="none"/>
        </w:rPr>
        <w:t>www.creditchina.gov.cn</w:t>
      </w:r>
      <w:r>
        <w:rPr>
          <w:color w:val="auto"/>
          <w:highlight w:val="none"/>
        </w:rPr>
        <w:fldChar w:fldCharType="end"/>
      </w:r>
      <w:r>
        <w:rPr>
          <w:rFonts w:hint="eastAsia"/>
          <w:color w:val="auto"/>
          <w:highlight w:val="none"/>
        </w:rPr>
        <w:t>）或“中国执行信息公开网”（</w:t>
      </w:r>
      <w:r>
        <w:rPr>
          <w:color w:val="auto"/>
          <w:highlight w:val="none"/>
        </w:rPr>
        <w:t>http://zxgk.court.gov.cn/shixin/</w:t>
      </w:r>
      <w:r>
        <w:rPr>
          <w:rFonts w:hint="eastAsia"/>
          <w:color w:val="auto"/>
          <w:highlight w:val="none"/>
        </w:rPr>
        <w:t>）被列入失信被执行人名单；</w:t>
      </w:r>
    </w:p>
    <w:p w14:paraId="25BD6688">
      <w:pPr>
        <w:spacing w:line="400" w:lineRule="exact"/>
        <w:ind w:firstLine="735" w:firstLineChars="350"/>
        <w:rPr>
          <w:color w:val="auto"/>
          <w:highlight w:val="none"/>
        </w:rPr>
      </w:pPr>
      <w:r>
        <w:rPr>
          <w:rFonts w:hint="eastAsia"/>
          <w:color w:val="auto"/>
          <w:highlight w:val="none"/>
        </w:rPr>
        <w:t>（</w:t>
      </w:r>
      <w:r>
        <w:rPr>
          <w:color w:val="auto"/>
          <w:highlight w:val="none"/>
        </w:rPr>
        <w:t>18</w:t>
      </w:r>
      <w:r>
        <w:rPr>
          <w:rFonts w:hint="eastAsia"/>
          <w:color w:val="auto"/>
          <w:highlight w:val="none"/>
        </w:rPr>
        <w:t>）在近三年内投标人或其法定代表人、拟委任的项目经理有行贿犯罪行为；</w:t>
      </w:r>
    </w:p>
    <w:p w14:paraId="51CA76B0">
      <w:pPr>
        <w:spacing w:line="400" w:lineRule="exact"/>
        <w:ind w:firstLine="718" w:firstLineChars="342"/>
        <w:rPr>
          <w:color w:val="auto"/>
          <w:highlight w:val="none"/>
        </w:rPr>
      </w:pPr>
      <w:r>
        <w:rPr>
          <w:rFonts w:hint="eastAsia"/>
          <w:color w:val="auto"/>
          <w:highlight w:val="none"/>
        </w:rPr>
        <w:t>（</w:t>
      </w:r>
      <w:r>
        <w:rPr>
          <w:color w:val="auto"/>
          <w:highlight w:val="none"/>
        </w:rPr>
        <w:t>19</w:t>
      </w:r>
      <w:r>
        <w:rPr>
          <w:rFonts w:hint="eastAsia"/>
          <w:color w:val="auto"/>
          <w:highlight w:val="none"/>
        </w:rPr>
        <w:t>）法律法规或投标人须知前附表规定的其他情形。</w:t>
      </w:r>
    </w:p>
    <w:p w14:paraId="7356C79E">
      <w:pPr>
        <w:pStyle w:val="33"/>
        <w:rPr>
          <w:color w:val="auto"/>
          <w:highlight w:val="none"/>
        </w:rPr>
      </w:pPr>
      <w:bookmarkStart w:id="148" w:name="_Toc144974503"/>
      <w:bookmarkStart w:id="149" w:name="_Toc28531687"/>
      <w:bookmarkStart w:id="150" w:name="_Toc152045535"/>
      <w:bookmarkStart w:id="151" w:name="_Toc152042311"/>
      <w:bookmarkStart w:id="152" w:name="_Toc27328"/>
      <w:bookmarkStart w:id="153" w:name="_Toc179632552"/>
      <w:r>
        <w:rPr>
          <w:color w:val="auto"/>
          <w:highlight w:val="none"/>
        </w:rPr>
        <w:t xml:space="preserve">1.5 </w:t>
      </w:r>
      <w:r>
        <w:rPr>
          <w:rFonts w:hint="eastAsia"/>
          <w:color w:val="auto"/>
          <w:highlight w:val="none"/>
        </w:rPr>
        <w:t>费用承担</w:t>
      </w:r>
      <w:bookmarkEnd w:id="148"/>
      <w:bookmarkEnd w:id="149"/>
      <w:bookmarkEnd w:id="150"/>
      <w:bookmarkEnd w:id="151"/>
      <w:bookmarkEnd w:id="152"/>
      <w:bookmarkEnd w:id="153"/>
    </w:p>
    <w:p w14:paraId="4FA2B47F">
      <w:pPr>
        <w:spacing w:line="400" w:lineRule="exact"/>
        <w:ind w:firstLine="420" w:firstLineChars="200"/>
        <w:rPr>
          <w:color w:val="auto"/>
          <w:highlight w:val="none"/>
        </w:rPr>
      </w:pPr>
      <w:r>
        <w:rPr>
          <w:rFonts w:hint="eastAsia"/>
          <w:color w:val="auto"/>
          <w:highlight w:val="none"/>
        </w:rPr>
        <w:t>投标人准备和参加投标活动发生的费用自理。</w:t>
      </w:r>
    </w:p>
    <w:p w14:paraId="459DFC03">
      <w:pPr>
        <w:pStyle w:val="33"/>
        <w:rPr>
          <w:color w:val="auto"/>
          <w:highlight w:val="none"/>
        </w:rPr>
      </w:pPr>
      <w:bookmarkStart w:id="154" w:name="_Toc152045536"/>
      <w:bookmarkStart w:id="155" w:name="_Toc11156"/>
      <w:bookmarkStart w:id="156" w:name="_Toc179632553"/>
      <w:bookmarkStart w:id="157" w:name="_Toc152042312"/>
      <w:bookmarkStart w:id="158" w:name="_Toc144974504"/>
      <w:bookmarkStart w:id="159" w:name="_Toc28531688"/>
      <w:r>
        <w:rPr>
          <w:color w:val="auto"/>
          <w:highlight w:val="none"/>
        </w:rPr>
        <w:t xml:space="preserve">1.6 </w:t>
      </w:r>
      <w:r>
        <w:rPr>
          <w:rFonts w:hint="eastAsia"/>
          <w:color w:val="auto"/>
          <w:highlight w:val="none"/>
        </w:rPr>
        <w:t>保密</w:t>
      </w:r>
      <w:bookmarkEnd w:id="154"/>
      <w:bookmarkEnd w:id="155"/>
      <w:bookmarkEnd w:id="156"/>
      <w:bookmarkEnd w:id="157"/>
      <w:bookmarkEnd w:id="158"/>
      <w:bookmarkEnd w:id="159"/>
    </w:p>
    <w:p w14:paraId="16431FFD">
      <w:pPr>
        <w:spacing w:line="400" w:lineRule="exact"/>
        <w:ind w:firstLine="420" w:firstLineChars="200"/>
        <w:rPr>
          <w:color w:val="auto"/>
          <w:highlight w:val="none"/>
        </w:rPr>
      </w:pPr>
      <w:r>
        <w:rPr>
          <w:rFonts w:hint="eastAsia"/>
          <w:color w:val="auto"/>
          <w:highlight w:val="none"/>
        </w:rPr>
        <w:t>参与招标投标活动的各方应对招标文件和投标文件中的商业和技术等秘密保密，违者应对由此造成的后果承担法律责任。</w:t>
      </w:r>
      <w:r>
        <w:rPr>
          <w:color w:val="auto"/>
          <w:highlight w:val="none"/>
        </w:rPr>
        <w:t xml:space="preserve"> </w:t>
      </w:r>
    </w:p>
    <w:p w14:paraId="69676C46">
      <w:pPr>
        <w:pStyle w:val="33"/>
        <w:rPr>
          <w:color w:val="auto"/>
          <w:highlight w:val="none"/>
        </w:rPr>
      </w:pPr>
      <w:bookmarkStart w:id="160" w:name="_Toc144974505"/>
      <w:bookmarkStart w:id="161" w:name="_Toc23071"/>
      <w:bookmarkStart w:id="162" w:name="_Toc152045537"/>
      <w:bookmarkStart w:id="163" w:name="_Toc152042313"/>
      <w:bookmarkStart w:id="164" w:name="_Toc179632554"/>
      <w:bookmarkStart w:id="165" w:name="_Toc28531689"/>
      <w:r>
        <w:rPr>
          <w:color w:val="auto"/>
          <w:highlight w:val="none"/>
        </w:rPr>
        <w:t xml:space="preserve">1.7 </w:t>
      </w:r>
      <w:r>
        <w:rPr>
          <w:rFonts w:hint="eastAsia"/>
          <w:color w:val="auto"/>
          <w:highlight w:val="none"/>
        </w:rPr>
        <w:t>语言</w:t>
      </w:r>
      <w:bookmarkEnd w:id="160"/>
      <w:r>
        <w:rPr>
          <w:rFonts w:hint="eastAsia"/>
          <w:color w:val="auto"/>
          <w:highlight w:val="none"/>
        </w:rPr>
        <w:t>文字</w:t>
      </w:r>
      <w:bookmarkEnd w:id="161"/>
      <w:bookmarkEnd w:id="162"/>
      <w:bookmarkEnd w:id="163"/>
      <w:bookmarkEnd w:id="164"/>
      <w:bookmarkEnd w:id="165"/>
    </w:p>
    <w:p w14:paraId="51B29079">
      <w:pPr>
        <w:spacing w:line="400" w:lineRule="exact"/>
        <w:ind w:firstLine="420" w:firstLineChars="200"/>
        <w:rPr>
          <w:color w:val="auto"/>
          <w:highlight w:val="none"/>
        </w:rPr>
      </w:pPr>
      <w:r>
        <w:rPr>
          <w:rFonts w:hint="eastAsia"/>
          <w:color w:val="auto"/>
          <w:highlight w:val="none"/>
        </w:rPr>
        <w:t>除专用术语外，与招标投标有关的语言均使用中文。必要时专用术语应附有中文注释。</w:t>
      </w:r>
    </w:p>
    <w:p w14:paraId="32AE032C">
      <w:pPr>
        <w:pStyle w:val="33"/>
        <w:rPr>
          <w:color w:val="auto"/>
          <w:highlight w:val="none"/>
        </w:rPr>
      </w:pPr>
      <w:bookmarkStart w:id="166" w:name="_Toc28531690"/>
      <w:bookmarkStart w:id="167" w:name="_Toc179632555"/>
      <w:bookmarkStart w:id="168" w:name="_Toc152045538"/>
      <w:bookmarkStart w:id="169" w:name="_Toc152042314"/>
      <w:bookmarkStart w:id="170" w:name="_Toc8288"/>
      <w:bookmarkStart w:id="171" w:name="_Toc144974506"/>
      <w:r>
        <w:rPr>
          <w:color w:val="auto"/>
          <w:highlight w:val="none"/>
        </w:rPr>
        <w:t xml:space="preserve">1.8 </w:t>
      </w:r>
      <w:r>
        <w:rPr>
          <w:rFonts w:hint="eastAsia"/>
          <w:color w:val="auto"/>
          <w:highlight w:val="none"/>
        </w:rPr>
        <w:t>计量单位</w:t>
      </w:r>
      <w:bookmarkEnd w:id="166"/>
      <w:bookmarkEnd w:id="167"/>
      <w:bookmarkEnd w:id="168"/>
      <w:bookmarkEnd w:id="169"/>
      <w:bookmarkEnd w:id="170"/>
      <w:bookmarkEnd w:id="171"/>
    </w:p>
    <w:p w14:paraId="371E2DFC">
      <w:pPr>
        <w:spacing w:line="400" w:lineRule="exact"/>
        <w:ind w:firstLine="420" w:firstLineChars="200"/>
        <w:rPr>
          <w:color w:val="auto"/>
          <w:highlight w:val="none"/>
        </w:rPr>
      </w:pPr>
      <w:r>
        <w:rPr>
          <w:rFonts w:hint="eastAsia"/>
          <w:color w:val="auto"/>
          <w:highlight w:val="none"/>
        </w:rPr>
        <w:t>所有计量均采用中华人民共和国法定计量单位。</w:t>
      </w:r>
    </w:p>
    <w:p w14:paraId="1CDC12D9">
      <w:pPr>
        <w:pStyle w:val="33"/>
        <w:rPr>
          <w:color w:val="auto"/>
          <w:highlight w:val="none"/>
        </w:rPr>
      </w:pPr>
      <w:bookmarkStart w:id="172" w:name="_Toc10533"/>
      <w:bookmarkStart w:id="173" w:name="_Toc28531691"/>
      <w:bookmarkStart w:id="174" w:name="_Toc152042315"/>
      <w:bookmarkStart w:id="175" w:name="_Toc179632556"/>
      <w:bookmarkStart w:id="176" w:name="_Toc144974507"/>
      <w:bookmarkStart w:id="177" w:name="_Toc152045539"/>
      <w:r>
        <w:rPr>
          <w:color w:val="auto"/>
          <w:highlight w:val="none"/>
        </w:rPr>
        <w:t xml:space="preserve">1.9 </w:t>
      </w:r>
      <w:r>
        <w:rPr>
          <w:rFonts w:hint="eastAsia"/>
          <w:color w:val="auto"/>
          <w:highlight w:val="none"/>
        </w:rPr>
        <w:t>踏勘现场</w:t>
      </w:r>
      <w:bookmarkEnd w:id="172"/>
      <w:bookmarkEnd w:id="173"/>
      <w:bookmarkEnd w:id="174"/>
      <w:bookmarkEnd w:id="175"/>
      <w:bookmarkEnd w:id="176"/>
      <w:bookmarkEnd w:id="177"/>
    </w:p>
    <w:p w14:paraId="679F943E">
      <w:pPr>
        <w:spacing w:line="400" w:lineRule="exact"/>
        <w:ind w:firstLine="420" w:firstLineChars="200"/>
        <w:rPr>
          <w:color w:val="auto"/>
          <w:highlight w:val="none"/>
        </w:rPr>
      </w:pPr>
      <w:r>
        <w:rPr>
          <w:color w:val="auto"/>
          <w:highlight w:val="none"/>
        </w:rPr>
        <w:t xml:space="preserve">1.9.1 </w:t>
      </w:r>
      <w:r>
        <w:rPr>
          <w:rFonts w:hint="eastAsia"/>
          <w:color w:val="auto"/>
          <w:highlight w:val="none"/>
        </w:rPr>
        <w:t>投标人须知前附表规定组织踏勘现场的，招标人按投标人须知前附表规定的时间、地点组织投标人踏勘项目现场。</w:t>
      </w:r>
      <w:r>
        <w:rPr>
          <w:color w:val="auto"/>
          <w:highlight w:val="none"/>
        </w:rPr>
        <w:t xml:space="preserve"> </w:t>
      </w:r>
    </w:p>
    <w:p w14:paraId="1B97E453">
      <w:pPr>
        <w:spacing w:line="400" w:lineRule="exact"/>
        <w:ind w:firstLine="420" w:firstLineChars="200"/>
        <w:rPr>
          <w:color w:val="auto"/>
          <w:highlight w:val="none"/>
        </w:rPr>
      </w:pPr>
      <w:r>
        <w:rPr>
          <w:color w:val="auto"/>
          <w:highlight w:val="none"/>
        </w:rPr>
        <w:t xml:space="preserve">1.9.2 </w:t>
      </w:r>
      <w:r>
        <w:rPr>
          <w:rFonts w:hint="eastAsia"/>
          <w:color w:val="auto"/>
          <w:highlight w:val="none"/>
        </w:rPr>
        <w:t>投标人踏勘现场发生的费用自理。</w:t>
      </w:r>
    </w:p>
    <w:p w14:paraId="5838AE3A">
      <w:pPr>
        <w:spacing w:line="400" w:lineRule="exact"/>
        <w:ind w:firstLine="420" w:firstLineChars="200"/>
        <w:rPr>
          <w:color w:val="auto"/>
          <w:highlight w:val="none"/>
        </w:rPr>
      </w:pPr>
      <w:r>
        <w:rPr>
          <w:color w:val="auto"/>
          <w:highlight w:val="none"/>
        </w:rPr>
        <w:t xml:space="preserve">1.9.3 </w:t>
      </w:r>
      <w:r>
        <w:rPr>
          <w:rFonts w:hint="eastAsia"/>
          <w:color w:val="auto"/>
          <w:highlight w:val="none"/>
        </w:rPr>
        <w:t>除招标人的原因外，投标人自行负责在踏勘现场中所发生的人员伤亡和财产损失。</w:t>
      </w:r>
    </w:p>
    <w:p w14:paraId="09923798">
      <w:pPr>
        <w:spacing w:line="400" w:lineRule="exact"/>
        <w:ind w:firstLine="420" w:firstLineChars="200"/>
        <w:rPr>
          <w:color w:val="auto"/>
          <w:highlight w:val="none"/>
        </w:rPr>
      </w:pPr>
      <w:r>
        <w:rPr>
          <w:color w:val="auto"/>
          <w:highlight w:val="none"/>
        </w:rPr>
        <w:t xml:space="preserve">1.9.4 </w:t>
      </w:r>
      <w:r>
        <w:rPr>
          <w:rFonts w:hint="eastAsia"/>
          <w:color w:val="auto"/>
          <w:highlight w:val="none"/>
        </w:rPr>
        <w:t>招标人在踏勘现场中介绍的工程场地和相关的周边环境情况，供投标人在编制投标文件时参考，招标人不对投标人据此作出的判断和决策负责。</w:t>
      </w:r>
    </w:p>
    <w:p w14:paraId="69648FE3">
      <w:pPr>
        <w:pStyle w:val="33"/>
        <w:rPr>
          <w:color w:val="auto"/>
          <w:highlight w:val="none"/>
        </w:rPr>
      </w:pPr>
      <w:bookmarkStart w:id="178" w:name="_Toc152045540"/>
      <w:bookmarkStart w:id="179" w:name="_Toc144974508"/>
      <w:bookmarkStart w:id="180" w:name="_Toc179632557"/>
      <w:bookmarkStart w:id="181" w:name="_Toc18605"/>
      <w:bookmarkStart w:id="182" w:name="_Toc28531692"/>
      <w:bookmarkStart w:id="183" w:name="_Toc152042316"/>
      <w:r>
        <w:rPr>
          <w:color w:val="auto"/>
          <w:highlight w:val="none"/>
        </w:rPr>
        <w:t xml:space="preserve">1.10 </w:t>
      </w:r>
      <w:r>
        <w:rPr>
          <w:rFonts w:hint="eastAsia"/>
          <w:color w:val="auto"/>
          <w:highlight w:val="none"/>
        </w:rPr>
        <w:t>投标预备会</w:t>
      </w:r>
      <w:bookmarkEnd w:id="178"/>
      <w:bookmarkEnd w:id="179"/>
      <w:bookmarkEnd w:id="180"/>
      <w:bookmarkEnd w:id="181"/>
      <w:bookmarkEnd w:id="182"/>
      <w:bookmarkEnd w:id="183"/>
    </w:p>
    <w:p w14:paraId="46075B31">
      <w:pPr>
        <w:spacing w:line="400" w:lineRule="exact"/>
        <w:ind w:firstLine="420" w:firstLineChars="200"/>
        <w:rPr>
          <w:color w:val="auto"/>
          <w:highlight w:val="none"/>
        </w:rPr>
      </w:pPr>
      <w:r>
        <w:rPr>
          <w:color w:val="auto"/>
          <w:highlight w:val="none"/>
        </w:rPr>
        <w:t xml:space="preserve">1.10.1 </w:t>
      </w:r>
      <w:r>
        <w:rPr>
          <w:rFonts w:hint="eastAsia"/>
          <w:color w:val="auto"/>
          <w:highlight w:val="none"/>
        </w:rPr>
        <w:t>投标人须知前附表规定召开投标预备会的，招标人按投标人须知前附表规定的时间和地点召开投标预备会，澄清投标人提出的问题。</w:t>
      </w:r>
    </w:p>
    <w:p w14:paraId="78A1F87A">
      <w:pPr>
        <w:spacing w:line="400" w:lineRule="exact"/>
        <w:ind w:firstLine="420" w:firstLineChars="200"/>
        <w:rPr>
          <w:color w:val="auto"/>
          <w:highlight w:val="none"/>
        </w:rPr>
      </w:pPr>
      <w:r>
        <w:rPr>
          <w:color w:val="auto"/>
          <w:highlight w:val="none"/>
        </w:rPr>
        <w:t xml:space="preserve">1.10.2 </w:t>
      </w:r>
      <w:r>
        <w:rPr>
          <w:rFonts w:hint="eastAsia"/>
          <w:color w:val="auto"/>
          <w:highlight w:val="none"/>
        </w:rPr>
        <w:t>在投标人须知前附表规定的时间前，投标人应使用</w:t>
      </w:r>
      <w:r>
        <w:rPr>
          <w:color w:val="auto"/>
          <w:highlight w:val="none"/>
        </w:rPr>
        <w:t>CA</w:t>
      </w:r>
      <w:r>
        <w:rPr>
          <w:rFonts w:hint="eastAsia"/>
          <w:color w:val="auto"/>
          <w:highlight w:val="none"/>
        </w:rPr>
        <w:t>数字证书登录“电子交易平台”，在“投标答疑”菜单以书面形式将提出的问题送达招标人，以便招标人在会议期间澄清。</w:t>
      </w:r>
    </w:p>
    <w:p w14:paraId="7F0D1091">
      <w:pPr>
        <w:spacing w:line="400" w:lineRule="exact"/>
        <w:ind w:firstLine="420" w:firstLineChars="200"/>
        <w:rPr>
          <w:color w:val="auto"/>
          <w:highlight w:val="none"/>
        </w:rPr>
      </w:pPr>
      <w:r>
        <w:rPr>
          <w:color w:val="auto"/>
          <w:highlight w:val="none"/>
        </w:rPr>
        <w:t xml:space="preserve">1.10.3 </w:t>
      </w:r>
      <w:r>
        <w:rPr>
          <w:rFonts w:hint="eastAsia"/>
          <w:color w:val="auto"/>
          <w:highlight w:val="none"/>
        </w:rPr>
        <w:t>投标预备会后，招标人在本章第</w:t>
      </w:r>
      <w:r>
        <w:rPr>
          <w:color w:val="auto"/>
          <w:highlight w:val="none"/>
        </w:rPr>
        <w:t>2.2.2</w:t>
      </w:r>
      <w:r>
        <w:rPr>
          <w:rFonts w:hint="eastAsia"/>
          <w:color w:val="auto"/>
          <w:highlight w:val="none"/>
        </w:rPr>
        <w:t>项规定的时间内，将对投标人所提问题的澄清，以书面形式通过“电子交易平台”通知所有下载招标文件的投标人。该澄清内容为招标文件的组成部分。</w:t>
      </w:r>
    </w:p>
    <w:p w14:paraId="5FCAA8B4">
      <w:pPr>
        <w:pStyle w:val="33"/>
        <w:rPr>
          <w:color w:val="auto"/>
          <w:highlight w:val="none"/>
        </w:rPr>
      </w:pPr>
      <w:bookmarkStart w:id="184" w:name="_Toc152045541"/>
      <w:bookmarkStart w:id="185" w:name="_Toc28531693"/>
      <w:bookmarkStart w:id="186" w:name="_Toc144974509"/>
      <w:bookmarkStart w:id="187" w:name="_Toc152042317"/>
      <w:bookmarkStart w:id="188" w:name="_Toc5951"/>
      <w:bookmarkStart w:id="189" w:name="_Toc179632558"/>
      <w:r>
        <w:rPr>
          <w:color w:val="auto"/>
          <w:highlight w:val="none"/>
        </w:rPr>
        <w:t xml:space="preserve">1.11 </w:t>
      </w:r>
      <w:r>
        <w:rPr>
          <w:rFonts w:hint="eastAsia"/>
          <w:color w:val="auto"/>
          <w:highlight w:val="none"/>
        </w:rPr>
        <w:t>分包</w:t>
      </w:r>
      <w:bookmarkEnd w:id="184"/>
      <w:bookmarkEnd w:id="185"/>
      <w:bookmarkEnd w:id="186"/>
      <w:bookmarkEnd w:id="187"/>
      <w:bookmarkEnd w:id="188"/>
      <w:bookmarkEnd w:id="189"/>
    </w:p>
    <w:p w14:paraId="7990D57C">
      <w:pPr>
        <w:spacing w:line="400" w:lineRule="exact"/>
        <w:ind w:firstLine="567" w:firstLineChars="270"/>
        <w:rPr>
          <w:color w:val="auto"/>
          <w:highlight w:val="none"/>
        </w:rPr>
      </w:pPr>
      <w:r>
        <w:rPr>
          <w:rFonts w:hint="eastAsia"/>
          <w:color w:val="auto"/>
          <w:highlight w:val="none"/>
        </w:rPr>
        <w:t>投标人拟在中标后将中标项目的部分非主体、非关键性工作进行分包的，应符合投标人须知前附表规定的分包内容、分包金额和接受分包的第三人资质要求等限制性条件。</w:t>
      </w:r>
    </w:p>
    <w:p w14:paraId="5423DA4A">
      <w:pPr>
        <w:pStyle w:val="33"/>
        <w:rPr>
          <w:color w:val="auto"/>
          <w:highlight w:val="none"/>
        </w:rPr>
      </w:pPr>
      <w:bookmarkStart w:id="190" w:name="_Toc28531694"/>
      <w:bookmarkStart w:id="191" w:name="_Toc21496"/>
      <w:bookmarkStart w:id="192" w:name="_Toc179632559"/>
      <w:r>
        <w:rPr>
          <w:color w:val="auto"/>
          <w:highlight w:val="none"/>
        </w:rPr>
        <w:t xml:space="preserve">1.12 </w:t>
      </w:r>
      <w:r>
        <w:rPr>
          <w:rFonts w:hint="eastAsia"/>
          <w:color w:val="auto"/>
          <w:highlight w:val="none"/>
        </w:rPr>
        <w:t>偏离</w:t>
      </w:r>
      <w:bookmarkEnd w:id="190"/>
      <w:bookmarkEnd w:id="191"/>
      <w:bookmarkEnd w:id="192"/>
    </w:p>
    <w:p w14:paraId="56E8D2BD">
      <w:pPr>
        <w:spacing w:line="400" w:lineRule="exact"/>
        <w:ind w:firstLine="359" w:firstLineChars="171"/>
        <w:rPr>
          <w:color w:val="auto"/>
          <w:highlight w:val="none"/>
        </w:rPr>
      </w:pPr>
      <w:r>
        <w:rPr>
          <w:rFonts w:hint="eastAsia"/>
          <w:color w:val="auto"/>
          <w:highlight w:val="none"/>
        </w:rPr>
        <w:t>投标人须知前附表允许投标文件偏离招标文件某些要求的，偏离应当符合招标文件规定的偏离范围和幅度。</w:t>
      </w:r>
    </w:p>
    <w:p w14:paraId="138DB369">
      <w:pPr>
        <w:pStyle w:val="31"/>
        <w:rPr>
          <w:color w:val="auto"/>
          <w:highlight w:val="none"/>
        </w:rPr>
      </w:pPr>
      <w:bookmarkStart w:id="193" w:name="_Toc28531695"/>
      <w:bookmarkStart w:id="194" w:name="_Toc144974510"/>
      <w:bookmarkStart w:id="195" w:name="_Toc21682"/>
      <w:bookmarkStart w:id="196" w:name="_Toc152042318"/>
      <w:bookmarkStart w:id="197" w:name="_Toc179632560"/>
      <w:bookmarkStart w:id="198" w:name="_Toc152045542"/>
      <w:r>
        <w:rPr>
          <w:color w:val="auto"/>
          <w:highlight w:val="none"/>
        </w:rPr>
        <w:t xml:space="preserve">2. </w:t>
      </w:r>
      <w:r>
        <w:rPr>
          <w:rFonts w:hint="eastAsia"/>
          <w:color w:val="auto"/>
          <w:highlight w:val="none"/>
        </w:rPr>
        <w:t>招标文件</w:t>
      </w:r>
      <w:bookmarkEnd w:id="193"/>
      <w:bookmarkEnd w:id="194"/>
      <w:bookmarkEnd w:id="195"/>
      <w:bookmarkEnd w:id="196"/>
      <w:bookmarkEnd w:id="197"/>
      <w:bookmarkEnd w:id="198"/>
    </w:p>
    <w:p w14:paraId="53512485">
      <w:pPr>
        <w:pStyle w:val="33"/>
        <w:rPr>
          <w:color w:val="auto"/>
          <w:highlight w:val="none"/>
        </w:rPr>
      </w:pPr>
      <w:bookmarkStart w:id="199" w:name="_Toc179632561"/>
      <w:bookmarkStart w:id="200" w:name="_Toc23875"/>
      <w:bookmarkStart w:id="201" w:name="_Toc152042319"/>
      <w:bookmarkStart w:id="202" w:name="_Toc144974511"/>
      <w:bookmarkStart w:id="203" w:name="_Toc152045543"/>
      <w:bookmarkStart w:id="204" w:name="_Toc28531696"/>
      <w:r>
        <w:rPr>
          <w:color w:val="auto"/>
          <w:highlight w:val="none"/>
        </w:rPr>
        <w:t xml:space="preserve">2.1 </w:t>
      </w:r>
      <w:r>
        <w:rPr>
          <w:rFonts w:hint="eastAsia"/>
          <w:color w:val="auto"/>
          <w:highlight w:val="none"/>
        </w:rPr>
        <w:t>招标文件的组成</w:t>
      </w:r>
      <w:bookmarkEnd w:id="199"/>
      <w:bookmarkEnd w:id="200"/>
      <w:bookmarkEnd w:id="201"/>
      <w:bookmarkEnd w:id="202"/>
      <w:bookmarkEnd w:id="203"/>
      <w:bookmarkEnd w:id="204"/>
    </w:p>
    <w:p w14:paraId="18397515">
      <w:pPr>
        <w:spacing w:line="400" w:lineRule="exact"/>
        <w:rPr>
          <w:color w:val="auto"/>
          <w:highlight w:val="none"/>
        </w:rPr>
      </w:pPr>
      <w:r>
        <w:rPr>
          <w:rFonts w:hint="eastAsia"/>
          <w:color w:val="auto"/>
          <w:highlight w:val="none"/>
        </w:rPr>
        <w:t>　　</w:t>
      </w:r>
      <w:r>
        <w:rPr>
          <w:color w:val="auto"/>
          <w:highlight w:val="none"/>
        </w:rPr>
        <w:t>2.1.1</w:t>
      </w:r>
      <w:r>
        <w:rPr>
          <w:rFonts w:hint="eastAsia"/>
          <w:color w:val="auto"/>
          <w:highlight w:val="none"/>
        </w:rPr>
        <w:t>本招标文件包括：</w:t>
      </w:r>
    </w:p>
    <w:p w14:paraId="168B313F">
      <w:pPr>
        <w:spacing w:line="400" w:lineRule="exact"/>
        <w:ind w:firstLine="359" w:firstLineChars="171"/>
        <w:rPr>
          <w:color w:val="auto"/>
          <w:highlight w:val="none"/>
        </w:rPr>
      </w:pPr>
      <w:r>
        <w:rPr>
          <w:rFonts w:hint="eastAsia"/>
          <w:color w:val="auto"/>
          <w:highlight w:val="none"/>
        </w:rPr>
        <w:t>（</w:t>
      </w:r>
      <w:r>
        <w:rPr>
          <w:color w:val="auto"/>
          <w:highlight w:val="none"/>
        </w:rPr>
        <w:t>1</w:t>
      </w:r>
      <w:r>
        <w:rPr>
          <w:rFonts w:hint="eastAsia"/>
          <w:color w:val="auto"/>
          <w:highlight w:val="none"/>
        </w:rPr>
        <w:t>）招标公告（或投标邀请书）；</w:t>
      </w:r>
    </w:p>
    <w:p w14:paraId="47D72A8B">
      <w:pPr>
        <w:spacing w:line="400" w:lineRule="exact"/>
        <w:ind w:firstLine="359" w:firstLineChars="171"/>
        <w:rPr>
          <w:color w:val="auto"/>
          <w:highlight w:val="none"/>
        </w:rPr>
      </w:pPr>
      <w:r>
        <w:rPr>
          <w:rFonts w:hint="eastAsia"/>
          <w:color w:val="auto"/>
          <w:highlight w:val="none"/>
        </w:rPr>
        <w:t>（</w:t>
      </w:r>
      <w:r>
        <w:rPr>
          <w:color w:val="auto"/>
          <w:highlight w:val="none"/>
        </w:rPr>
        <w:t>2</w:t>
      </w:r>
      <w:r>
        <w:rPr>
          <w:rFonts w:hint="eastAsia"/>
          <w:color w:val="auto"/>
          <w:highlight w:val="none"/>
        </w:rPr>
        <w:t>）投标人须知；</w:t>
      </w:r>
    </w:p>
    <w:p w14:paraId="5F875929">
      <w:pPr>
        <w:spacing w:line="400" w:lineRule="exact"/>
        <w:ind w:firstLine="359" w:firstLineChars="171"/>
        <w:rPr>
          <w:color w:val="auto"/>
          <w:highlight w:val="none"/>
        </w:rPr>
      </w:pPr>
      <w:r>
        <w:rPr>
          <w:rFonts w:hint="eastAsia"/>
          <w:color w:val="auto"/>
          <w:highlight w:val="none"/>
        </w:rPr>
        <w:t>（</w:t>
      </w:r>
      <w:r>
        <w:rPr>
          <w:color w:val="auto"/>
          <w:highlight w:val="none"/>
        </w:rPr>
        <w:t>3</w:t>
      </w:r>
      <w:r>
        <w:rPr>
          <w:rFonts w:hint="eastAsia"/>
          <w:color w:val="auto"/>
          <w:highlight w:val="none"/>
        </w:rPr>
        <w:t>）评标办法；</w:t>
      </w:r>
    </w:p>
    <w:p w14:paraId="6D6AD5F6">
      <w:pPr>
        <w:spacing w:line="400" w:lineRule="exact"/>
        <w:ind w:firstLine="359" w:firstLineChars="171"/>
        <w:rPr>
          <w:color w:val="auto"/>
          <w:highlight w:val="none"/>
        </w:rPr>
      </w:pPr>
      <w:r>
        <w:rPr>
          <w:rFonts w:hint="eastAsia"/>
          <w:color w:val="auto"/>
          <w:highlight w:val="none"/>
        </w:rPr>
        <w:t>（</w:t>
      </w:r>
      <w:r>
        <w:rPr>
          <w:color w:val="auto"/>
          <w:highlight w:val="none"/>
        </w:rPr>
        <w:t>4</w:t>
      </w:r>
      <w:r>
        <w:rPr>
          <w:rFonts w:hint="eastAsia"/>
          <w:color w:val="auto"/>
          <w:highlight w:val="none"/>
        </w:rPr>
        <w:t>）合同条款及格式；</w:t>
      </w:r>
    </w:p>
    <w:p w14:paraId="5E81F8E8">
      <w:pPr>
        <w:spacing w:line="400" w:lineRule="exact"/>
        <w:ind w:firstLine="359" w:firstLineChars="171"/>
        <w:rPr>
          <w:color w:val="auto"/>
          <w:highlight w:val="none"/>
        </w:rPr>
      </w:pPr>
      <w:r>
        <w:rPr>
          <w:rFonts w:hint="eastAsia"/>
          <w:color w:val="auto"/>
          <w:highlight w:val="none"/>
        </w:rPr>
        <w:t>（</w:t>
      </w:r>
      <w:r>
        <w:rPr>
          <w:color w:val="auto"/>
          <w:highlight w:val="none"/>
        </w:rPr>
        <w:t>5</w:t>
      </w:r>
      <w:r>
        <w:rPr>
          <w:rFonts w:hint="eastAsia"/>
          <w:color w:val="auto"/>
          <w:highlight w:val="none"/>
        </w:rPr>
        <w:t>）工程量清单；</w:t>
      </w:r>
      <w:r>
        <w:rPr>
          <w:color w:val="auto"/>
          <w:highlight w:val="none"/>
        </w:rPr>
        <w:t xml:space="preserve"> </w:t>
      </w:r>
    </w:p>
    <w:p w14:paraId="231577E2">
      <w:pPr>
        <w:spacing w:line="400" w:lineRule="exact"/>
        <w:ind w:firstLine="359" w:firstLineChars="171"/>
        <w:rPr>
          <w:color w:val="auto"/>
          <w:highlight w:val="none"/>
        </w:rPr>
      </w:pPr>
      <w:r>
        <w:rPr>
          <w:rFonts w:hint="eastAsia"/>
          <w:color w:val="auto"/>
          <w:highlight w:val="none"/>
        </w:rPr>
        <w:t>（</w:t>
      </w:r>
      <w:r>
        <w:rPr>
          <w:color w:val="auto"/>
          <w:highlight w:val="none"/>
        </w:rPr>
        <w:t>6</w:t>
      </w:r>
      <w:r>
        <w:rPr>
          <w:rFonts w:hint="eastAsia"/>
          <w:color w:val="auto"/>
          <w:highlight w:val="none"/>
        </w:rPr>
        <w:t>）图纸；</w:t>
      </w:r>
      <w:r>
        <w:rPr>
          <w:color w:val="auto"/>
          <w:highlight w:val="none"/>
        </w:rPr>
        <w:t xml:space="preserve"> </w:t>
      </w:r>
    </w:p>
    <w:p w14:paraId="7C4EA322">
      <w:pPr>
        <w:spacing w:line="400" w:lineRule="exact"/>
        <w:ind w:firstLine="359" w:firstLineChars="171"/>
        <w:rPr>
          <w:color w:val="auto"/>
          <w:highlight w:val="none"/>
        </w:rPr>
      </w:pPr>
      <w:r>
        <w:rPr>
          <w:rFonts w:hint="eastAsia"/>
          <w:color w:val="auto"/>
          <w:highlight w:val="none"/>
        </w:rPr>
        <w:t>（</w:t>
      </w:r>
      <w:r>
        <w:rPr>
          <w:color w:val="auto"/>
          <w:highlight w:val="none"/>
        </w:rPr>
        <w:t>7</w:t>
      </w:r>
      <w:r>
        <w:rPr>
          <w:rFonts w:hint="eastAsia"/>
          <w:color w:val="auto"/>
          <w:highlight w:val="none"/>
        </w:rPr>
        <w:t>）技术标准和要求；</w:t>
      </w:r>
      <w:r>
        <w:rPr>
          <w:color w:val="auto"/>
          <w:highlight w:val="none"/>
        </w:rPr>
        <w:t xml:space="preserve"> </w:t>
      </w:r>
    </w:p>
    <w:p w14:paraId="6C1BD38A">
      <w:pPr>
        <w:spacing w:line="400" w:lineRule="exact"/>
        <w:ind w:firstLine="359" w:firstLineChars="171"/>
        <w:rPr>
          <w:color w:val="auto"/>
          <w:highlight w:val="none"/>
        </w:rPr>
      </w:pPr>
      <w:r>
        <w:rPr>
          <w:rFonts w:hint="eastAsia"/>
          <w:color w:val="auto"/>
          <w:highlight w:val="none"/>
        </w:rPr>
        <w:t>（</w:t>
      </w:r>
      <w:r>
        <w:rPr>
          <w:color w:val="auto"/>
          <w:highlight w:val="none"/>
        </w:rPr>
        <w:t>8</w:t>
      </w:r>
      <w:r>
        <w:rPr>
          <w:rFonts w:hint="eastAsia"/>
          <w:color w:val="auto"/>
          <w:highlight w:val="none"/>
        </w:rPr>
        <w:t>）投标文件格式；</w:t>
      </w:r>
    </w:p>
    <w:p w14:paraId="4DA52663">
      <w:pPr>
        <w:spacing w:line="400" w:lineRule="exact"/>
        <w:ind w:firstLine="359" w:firstLineChars="171"/>
        <w:rPr>
          <w:color w:val="auto"/>
          <w:highlight w:val="none"/>
        </w:rPr>
      </w:pPr>
      <w:r>
        <w:rPr>
          <w:rFonts w:hint="eastAsia"/>
          <w:color w:val="auto"/>
          <w:highlight w:val="none"/>
        </w:rPr>
        <w:t>（</w:t>
      </w:r>
      <w:r>
        <w:rPr>
          <w:color w:val="auto"/>
          <w:highlight w:val="none"/>
        </w:rPr>
        <w:t>9</w:t>
      </w:r>
      <w:r>
        <w:rPr>
          <w:rFonts w:hint="eastAsia"/>
          <w:color w:val="auto"/>
          <w:highlight w:val="none"/>
        </w:rPr>
        <w:t>）投标人须知前附表规定的其他材料。</w:t>
      </w:r>
    </w:p>
    <w:p w14:paraId="016DD1F0">
      <w:pPr>
        <w:spacing w:line="400" w:lineRule="exact"/>
        <w:ind w:firstLine="420" w:firstLineChars="200"/>
        <w:rPr>
          <w:color w:val="auto"/>
          <w:highlight w:val="none"/>
        </w:rPr>
      </w:pPr>
      <w:r>
        <w:rPr>
          <w:rFonts w:hint="eastAsia"/>
          <w:color w:val="auto"/>
          <w:highlight w:val="none"/>
        </w:rPr>
        <w:t>根据本章第</w:t>
      </w:r>
      <w:r>
        <w:rPr>
          <w:color w:val="auto"/>
          <w:highlight w:val="none"/>
        </w:rPr>
        <w:t>1.10</w:t>
      </w:r>
      <w:r>
        <w:rPr>
          <w:rFonts w:hint="eastAsia"/>
          <w:color w:val="auto"/>
          <w:highlight w:val="none"/>
        </w:rPr>
        <w:t>款、第</w:t>
      </w:r>
      <w:r>
        <w:rPr>
          <w:color w:val="auto"/>
          <w:highlight w:val="none"/>
        </w:rPr>
        <w:t>2.2</w:t>
      </w:r>
      <w:r>
        <w:rPr>
          <w:rFonts w:hint="eastAsia"/>
          <w:color w:val="auto"/>
          <w:highlight w:val="none"/>
        </w:rPr>
        <w:t>款和第</w:t>
      </w:r>
      <w:r>
        <w:rPr>
          <w:color w:val="auto"/>
          <w:highlight w:val="none"/>
        </w:rPr>
        <w:t>2.3</w:t>
      </w:r>
      <w:r>
        <w:rPr>
          <w:rFonts w:hint="eastAsia"/>
          <w:color w:val="auto"/>
          <w:highlight w:val="none"/>
        </w:rPr>
        <w:t>款对招标文件所作的澄清、修改，构成招标文件的组成部分。</w:t>
      </w:r>
    </w:p>
    <w:p w14:paraId="14643065">
      <w:pPr>
        <w:spacing w:line="400" w:lineRule="exact"/>
        <w:ind w:firstLine="420" w:firstLineChars="200"/>
        <w:rPr>
          <w:color w:val="auto"/>
          <w:highlight w:val="none"/>
        </w:rPr>
      </w:pPr>
      <w:r>
        <w:rPr>
          <w:color w:val="auto"/>
          <w:highlight w:val="none"/>
        </w:rPr>
        <w:t xml:space="preserve">2.1.2 </w:t>
      </w:r>
      <w:r>
        <w:rPr>
          <w:rFonts w:hint="eastAsia"/>
          <w:color w:val="auto"/>
          <w:highlight w:val="none"/>
        </w:rPr>
        <w:t>招标控制价</w:t>
      </w:r>
    </w:p>
    <w:p w14:paraId="21C83917">
      <w:pPr>
        <w:spacing w:line="400" w:lineRule="exact"/>
        <w:ind w:firstLine="420" w:firstLineChars="200"/>
        <w:rPr>
          <w:color w:val="auto"/>
          <w:highlight w:val="none"/>
        </w:rPr>
      </w:pPr>
      <w:r>
        <w:rPr>
          <w:rFonts w:hint="eastAsia"/>
          <w:color w:val="auto"/>
          <w:highlight w:val="none"/>
        </w:rPr>
        <w:t>（</w:t>
      </w:r>
      <w:r>
        <w:rPr>
          <w:color w:val="auto"/>
          <w:highlight w:val="none"/>
        </w:rPr>
        <w:t>1</w:t>
      </w:r>
      <w:r>
        <w:rPr>
          <w:rFonts w:hint="eastAsia"/>
          <w:color w:val="auto"/>
          <w:highlight w:val="none"/>
        </w:rPr>
        <w:t>）本工程的计税方法见投标人须知前附表。</w:t>
      </w:r>
    </w:p>
    <w:p w14:paraId="0B48895E">
      <w:pPr>
        <w:spacing w:line="400" w:lineRule="exact"/>
        <w:ind w:firstLine="420" w:firstLineChars="200"/>
        <w:rPr>
          <w:color w:val="auto"/>
          <w:highlight w:val="none"/>
        </w:rPr>
      </w:pPr>
      <w:r>
        <w:rPr>
          <w:rFonts w:hint="eastAsia"/>
          <w:color w:val="auto"/>
          <w:highlight w:val="none"/>
        </w:rPr>
        <w:t>（</w:t>
      </w:r>
      <w:r>
        <w:rPr>
          <w:color w:val="auto"/>
          <w:highlight w:val="none"/>
        </w:rPr>
        <w:t>2</w:t>
      </w:r>
      <w:r>
        <w:rPr>
          <w:rFonts w:hint="eastAsia"/>
          <w:color w:val="auto"/>
          <w:highlight w:val="none"/>
        </w:rPr>
        <w:t>）招标人将设置招标控制价，招标控制价总价见投标人须知前附表，招标控制价明细应随招标文件发给所有下载招标文件的投标人。</w:t>
      </w:r>
    </w:p>
    <w:p w14:paraId="5590F311">
      <w:pPr>
        <w:spacing w:line="400" w:lineRule="exact"/>
        <w:ind w:firstLine="420" w:firstLineChars="200"/>
        <w:rPr>
          <w:color w:val="auto"/>
          <w:highlight w:val="none"/>
        </w:rPr>
      </w:pPr>
      <w:r>
        <w:rPr>
          <w:rFonts w:hint="eastAsia"/>
          <w:color w:val="auto"/>
          <w:highlight w:val="none"/>
        </w:rPr>
        <w:t>（</w:t>
      </w:r>
      <w:r>
        <w:rPr>
          <w:color w:val="auto"/>
          <w:highlight w:val="none"/>
        </w:rPr>
        <w:t>3</w:t>
      </w:r>
      <w:r>
        <w:rPr>
          <w:rFonts w:hint="eastAsia"/>
          <w:color w:val="auto"/>
          <w:highlight w:val="none"/>
        </w:rPr>
        <w:t>）招标控制价按照《建设工程工程量清单计价规范》（</w:t>
      </w:r>
      <w:r>
        <w:rPr>
          <w:color w:val="auto"/>
          <w:highlight w:val="none"/>
        </w:rPr>
        <w:t>GB50500-201</w:t>
      </w:r>
      <w:r>
        <w:rPr>
          <w:rFonts w:hint="eastAsia" w:ascii="宋体" w:hAnsi="宋体"/>
          <w:color w:val="auto"/>
          <w:szCs w:val="21"/>
          <w:highlight w:val="none"/>
        </w:rPr>
        <w:t>3）和配套的工程量计算规范（GB50854-2013 ～GB50862-2013）、鄂建文[2013]39号《关于执行&lt;房屋建筑与装饰工程工程量计算规范&gt;（GB50584-2013）等9项工程量计算规范有关问题的通知》、</w:t>
      </w:r>
      <w:r>
        <w:rPr>
          <w:rFonts w:hint="eastAsia"/>
          <w:color w:val="auto"/>
          <w:highlight w:val="none"/>
        </w:rPr>
        <w:t>鄂建办</w:t>
      </w:r>
      <w:r>
        <w:rPr>
          <w:color w:val="auto"/>
          <w:highlight w:val="none"/>
        </w:rPr>
        <w:t>[2018]27</w:t>
      </w:r>
      <w:r>
        <w:rPr>
          <w:rFonts w:hint="eastAsia"/>
          <w:color w:val="auto"/>
          <w:highlight w:val="none"/>
        </w:rPr>
        <w:t>号《关于发布</w:t>
      </w:r>
      <w:r>
        <w:rPr>
          <w:rFonts w:hint="eastAsia" w:ascii="宋体" w:hAnsi="宋体"/>
          <w:color w:val="auto"/>
          <w:szCs w:val="21"/>
          <w:highlight w:val="none"/>
        </w:rPr>
        <w:t>&lt;</w:t>
      </w:r>
      <w:r>
        <w:rPr>
          <w:rFonts w:hint="eastAsia"/>
          <w:color w:val="auto"/>
          <w:highlight w:val="none"/>
        </w:rPr>
        <w:t>湖北省房屋建筑与装饰工程消耗量定额及全费用基价表</w:t>
      </w:r>
      <w:r>
        <w:rPr>
          <w:rFonts w:hint="eastAsia" w:ascii="宋体" w:hAnsi="宋体"/>
          <w:color w:val="auto"/>
          <w:szCs w:val="21"/>
          <w:highlight w:val="none"/>
        </w:rPr>
        <w:t>&gt;</w:t>
      </w:r>
      <w:r>
        <w:rPr>
          <w:rFonts w:hint="eastAsia"/>
          <w:color w:val="auto"/>
          <w:highlight w:val="none"/>
        </w:rPr>
        <w:t>等</w:t>
      </w:r>
      <w:r>
        <w:rPr>
          <w:color w:val="auto"/>
          <w:highlight w:val="none"/>
        </w:rPr>
        <w:t>8</w:t>
      </w:r>
      <w:r>
        <w:rPr>
          <w:rFonts w:hint="eastAsia"/>
          <w:color w:val="auto"/>
          <w:highlight w:val="none"/>
        </w:rPr>
        <w:t>项定额的通知》、</w:t>
      </w:r>
      <w:r>
        <w:rPr>
          <w:rFonts w:hint="eastAsia" w:ascii="宋体" w:hAnsi="宋体"/>
          <w:color w:val="auto"/>
          <w:szCs w:val="21"/>
          <w:highlight w:val="none"/>
        </w:rPr>
        <w:t>鄂建办〔2019〕93号《关于调整湖北省建设工程计价依据的通知》</w:t>
      </w:r>
      <w:r>
        <w:rPr>
          <w:rFonts w:hint="eastAsia"/>
          <w:color w:val="auto"/>
          <w:highlight w:val="none"/>
        </w:rPr>
        <w:t>的规定进行编制，具体内容依据第五章工程量清单的说明。</w:t>
      </w:r>
    </w:p>
    <w:p w14:paraId="50DAD345">
      <w:pPr>
        <w:pStyle w:val="33"/>
        <w:rPr>
          <w:color w:val="auto"/>
          <w:highlight w:val="none"/>
        </w:rPr>
      </w:pPr>
      <w:bookmarkStart w:id="205" w:name="_Toc179632562"/>
      <w:bookmarkStart w:id="206" w:name="_Toc28531697"/>
      <w:bookmarkStart w:id="207" w:name="_Toc21758"/>
      <w:bookmarkStart w:id="208" w:name="_Toc152042320"/>
      <w:bookmarkStart w:id="209" w:name="_Toc152045544"/>
      <w:bookmarkStart w:id="210" w:name="_Toc144974512"/>
      <w:r>
        <w:rPr>
          <w:color w:val="auto"/>
          <w:highlight w:val="none"/>
        </w:rPr>
        <w:t xml:space="preserve">2.2 </w:t>
      </w:r>
      <w:r>
        <w:rPr>
          <w:rFonts w:hint="eastAsia"/>
          <w:color w:val="auto"/>
          <w:highlight w:val="none"/>
        </w:rPr>
        <w:t>招标文件的澄清</w:t>
      </w:r>
      <w:bookmarkEnd w:id="205"/>
      <w:bookmarkEnd w:id="206"/>
      <w:bookmarkEnd w:id="207"/>
      <w:bookmarkEnd w:id="208"/>
      <w:bookmarkEnd w:id="209"/>
      <w:bookmarkEnd w:id="210"/>
    </w:p>
    <w:p w14:paraId="3B92485F">
      <w:pPr>
        <w:spacing w:line="400" w:lineRule="exact"/>
        <w:ind w:firstLine="420" w:firstLineChars="200"/>
        <w:rPr>
          <w:color w:val="auto"/>
          <w:highlight w:val="none"/>
        </w:rPr>
      </w:pPr>
      <w:r>
        <w:rPr>
          <w:color w:val="auto"/>
          <w:highlight w:val="none"/>
        </w:rPr>
        <w:t>2.2.1</w:t>
      </w:r>
      <w:r>
        <w:rPr>
          <w:rFonts w:hint="eastAsia"/>
          <w:color w:val="auto"/>
          <w:highlight w:val="none"/>
        </w:rPr>
        <w:t>投标人应仔细阅读和检查招标文件的全部内容。</w:t>
      </w:r>
      <w:r>
        <w:rPr>
          <w:rFonts w:hint="eastAsia" w:ascii="宋体" w:hAnsi="宋体"/>
          <w:color w:val="auto"/>
          <w:szCs w:val="21"/>
          <w:highlight w:val="none"/>
        </w:rPr>
        <w:t>如发现缺页或附件不全，应及时向招标人提出，以便补齐。</w:t>
      </w:r>
      <w:r>
        <w:rPr>
          <w:rFonts w:hint="eastAsia"/>
          <w:color w:val="auto"/>
          <w:highlight w:val="none"/>
        </w:rPr>
        <w:t>如有疑问，应在投标人须知前附表规定的时间前，使用</w:t>
      </w:r>
      <w:r>
        <w:rPr>
          <w:color w:val="auto"/>
          <w:highlight w:val="none"/>
        </w:rPr>
        <w:t>CA</w:t>
      </w:r>
      <w:r>
        <w:rPr>
          <w:rFonts w:hint="eastAsia"/>
          <w:color w:val="auto"/>
          <w:highlight w:val="none"/>
        </w:rPr>
        <w:t>数字证书登录“电子交易平台”，在“投标答疑”菜单以书面形式要求招标人对招标文件予以澄清。</w:t>
      </w:r>
    </w:p>
    <w:p w14:paraId="60D8F694">
      <w:pPr>
        <w:spacing w:line="400" w:lineRule="exact"/>
        <w:ind w:firstLine="420" w:firstLineChars="200"/>
        <w:rPr>
          <w:color w:val="auto"/>
          <w:highlight w:val="none"/>
        </w:rPr>
      </w:pPr>
      <w:r>
        <w:rPr>
          <w:color w:val="auto"/>
          <w:highlight w:val="none"/>
        </w:rPr>
        <w:t xml:space="preserve">2.2.2 </w:t>
      </w:r>
      <w:r>
        <w:rPr>
          <w:rFonts w:hint="eastAsia"/>
          <w:color w:val="auto"/>
          <w:highlight w:val="none"/>
        </w:rPr>
        <w:t>招标人对招标文件的澄清通过“电子交易平台”以书面形式发给所有下载招标文件的投标人，但不指明澄清问题的来源。如果澄清通知发出的时间距投标人须知前附表第</w:t>
      </w:r>
      <w:r>
        <w:rPr>
          <w:color w:val="auto"/>
          <w:highlight w:val="none"/>
        </w:rPr>
        <w:t>4.2.1</w:t>
      </w:r>
      <w:r>
        <w:rPr>
          <w:rFonts w:hint="eastAsia"/>
          <w:color w:val="auto"/>
          <w:highlight w:val="none"/>
        </w:rPr>
        <w:t>项规定的投标截止时间不足</w:t>
      </w:r>
      <w:r>
        <w:rPr>
          <w:color w:val="auto"/>
          <w:highlight w:val="none"/>
        </w:rPr>
        <w:t>15</w:t>
      </w:r>
      <w:r>
        <w:rPr>
          <w:rFonts w:hint="eastAsia"/>
          <w:color w:val="auto"/>
          <w:highlight w:val="none"/>
        </w:rPr>
        <w:t>日，并且澄清的内容影响投标文件编制的，相应延长投标截止时间。</w:t>
      </w:r>
    </w:p>
    <w:p w14:paraId="47BEC107">
      <w:pPr>
        <w:spacing w:line="400" w:lineRule="exact"/>
        <w:ind w:firstLine="420" w:firstLineChars="200"/>
        <w:rPr>
          <w:color w:val="auto"/>
          <w:highlight w:val="none"/>
        </w:rPr>
      </w:pPr>
      <w:r>
        <w:rPr>
          <w:color w:val="auto"/>
          <w:highlight w:val="none"/>
        </w:rPr>
        <w:t>2.2.3</w:t>
      </w:r>
      <w:r>
        <w:rPr>
          <w:rFonts w:hint="eastAsia"/>
          <w:color w:val="auto"/>
          <w:highlight w:val="none"/>
        </w:rPr>
        <w:t>投标人应</w:t>
      </w:r>
      <w:r>
        <w:rPr>
          <w:rFonts w:hint="eastAsia"/>
          <w:b/>
          <w:color w:val="auto"/>
          <w:highlight w:val="none"/>
        </w:rPr>
        <w:t>实时关注</w:t>
      </w:r>
      <w:r>
        <w:rPr>
          <w:rFonts w:hint="eastAsia"/>
          <w:color w:val="auto"/>
          <w:highlight w:val="none"/>
        </w:rPr>
        <w:t>“电子交易平台”上发出的澄清通知，因投标人自身原因未及时获知澄清内容而导致的任何后果将由投标人自行承担。</w:t>
      </w:r>
    </w:p>
    <w:p w14:paraId="1EF3D288">
      <w:pPr>
        <w:pStyle w:val="33"/>
        <w:rPr>
          <w:color w:val="auto"/>
          <w:highlight w:val="none"/>
        </w:rPr>
      </w:pPr>
      <w:bookmarkStart w:id="211" w:name="_Toc152042321"/>
      <w:bookmarkStart w:id="212" w:name="_Toc28531698"/>
      <w:bookmarkStart w:id="213" w:name="_Toc179632563"/>
      <w:bookmarkStart w:id="214" w:name="_Toc144974513"/>
      <w:bookmarkStart w:id="215" w:name="_Toc25717"/>
      <w:bookmarkStart w:id="216" w:name="_Toc152045545"/>
      <w:r>
        <w:rPr>
          <w:color w:val="auto"/>
          <w:highlight w:val="none"/>
        </w:rPr>
        <w:t xml:space="preserve">2.3 </w:t>
      </w:r>
      <w:r>
        <w:rPr>
          <w:rFonts w:hint="eastAsia"/>
          <w:color w:val="auto"/>
          <w:highlight w:val="none"/>
        </w:rPr>
        <w:t>招标文件的修改</w:t>
      </w:r>
      <w:bookmarkEnd w:id="211"/>
      <w:bookmarkEnd w:id="212"/>
      <w:bookmarkEnd w:id="213"/>
      <w:bookmarkEnd w:id="214"/>
      <w:bookmarkEnd w:id="215"/>
      <w:bookmarkEnd w:id="216"/>
    </w:p>
    <w:p w14:paraId="76A56205">
      <w:pPr>
        <w:spacing w:line="400" w:lineRule="exact"/>
        <w:ind w:firstLine="420" w:firstLineChars="200"/>
        <w:rPr>
          <w:color w:val="auto"/>
          <w:highlight w:val="none"/>
        </w:rPr>
      </w:pPr>
      <w:r>
        <w:rPr>
          <w:color w:val="auto"/>
          <w:highlight w:val="none"/>
        </w:rPr>
        <w:t xml:space="preserve">2.3.1 </w:t>
      </w:r>
      <w:r>
        <w:rPr>
          <w:rFonts w:hint="eastAsia"/>
          <w:color w:val="auto"/>
          <w:highlight w:val="none"/>
        </w:rPr>
        <w:t>招标人可以书面形式修改招标文件，并通过“电子交易平台”通知所有已下载招标文件的投标人。如果修改通知发出的时间距投标人须知前附表第</w:t>
      </w:r>
      <w:r>
        <w:rPr>
          <w:color w:val="auto"/>
          <w:highlight w:val="none"/>
        </w:rPr>
        <w:t>4.2.1</w:t>
      </w:r>
      <w:r>
        <w:rPr>
          <w:rFonts w:hint="eastAsia"/>
          <w:color w:val="auto"/>
          <w:highlight w:val="none"/>
        </w:rPr>
        <w:t>项规定的投标截止时间不足</w:t>
      </w:r>
      <w:r>
        <w:rPr>
          <w:color w:val="auto"/>
          <w:highlight w:val="none"/>
        </w:rPr>
        <w:t>15</w:t>
      </w:r>
      <w:r>
        <w:rPr>
          <w:rFonts w:hint="eastAsia"/>
          <w:color w:val="auto"/>
          <w:highlight w:val="none"/>
        </w:rPr>
        <w:t>日，并且修改的内容影响投标文件编制的，相应延长投标截止时间。</w:t>
      </w:r>
    </w:p>
    <w:p w14:paraId="6B571CEC">
      <w:pPr>
        <w:spacing w:line="400" w:lineRule="exact"/>
        <w:ind w:firstLine="420" w:firstLineChars="200"/>
        <w:rPr>
          <w:color w:val="auto"/>
          <w:highlight w:val="none"/>
        </w:rPr>
      </w:pPr>
      <w:r>
        <w:rPr>
          <w:color w:val="auto"/>
          <w:highlight w:val="none"/>
        </w:rPr>
        <w:t>2.3.2</w:t>
      </w:r>
      <w:r>
        <w:rPr>
          <w:rFonts w:hint="eastAsia"/>
          <w:color w:val="auto"/>
          <w:highlight w:val="none"/>
        </w:rPr>
        <w:t>投标人应</w:t>
      </w:r>
      <w:r>
        <w:rPr>
          <w:rFonts w:hint="eastAsia"/>
          <w:b/>
          <w:color w:val="auto"/>
          <w:highlight w:val="none"/>
        </w:rPr>
        <w:t>实时关注</w:t>
      </w:r>
      <w:r>
        <w:rPr>
          <w:rFonts w:hint="eastAsia"/>
          <w:color w:val="auto"/>
          <w:highlight w:val="none"/>
        </w:rPr>
        <w:t>“电子交易平台”上发出的修改通知，因投标人自身原因未及时获知修改内容而导致的任何后果将由投标人自行承担。</w:t>
      </w:r>
    </w:p>
    <w:p w14:paraId="15D4525D">
      <w:pPr>
        <w:pStyle w:val="33"/>
        <w:rPr>
          <w:color w:val="auto"/>
          <w:highlight w:val="none"/>
        </w:rPr>
      </w:pPr>
      <w:bookmarkStart w:id="217" w:name="_Toc28531699"/>
      <w:bookmarkStart w:id="218" w:name="_Toc4431"/>
      <w:r>
        <w:rPr>
          <w:color w:val="auto"/>
          <w:highlight w:val="none"/>
        </w:rPr>
        <w:t xml:space="preserve">2.4 </w:t>
      </w:r>
      <w:r>
        <w:rPr>
          <w:rFonts w:hint="eastAsia"/>
          <w:color w:val="auto"/>
          <w:highlight w:val="none"/>
        </w:rPr>
        <w:t>招标文件的异议</w:t>
      </w:r>
      <w:bookmarkEnd w:id="217"/>
      <w:bookmarkEnd w:id="218"/>
    </w:p>
    <w:p w14:paraId="620E6BDE">
      <w:pPr>
        <w:spacing w:line="400" w:lineRule="exact"/>
        <w:ind w:firstLine="420" w:firstLineChars="200"/>
        <w:rPr>
          <w:color w:val="auto"/>
          <w:highlight w:val="none"/>
        </w:rPr>
      </w:pPr>
      <w:r>
        <w:rPr>
          <w:color w:val="auto"/>
          <w:highlight w:val="none"/>
        </w:rPr>
        <w:t>2.4.1</w:t>
      </w:r>
      <w:r>
        <w:rPr>
          <w:rFonts w:hint="eastAsia"/>
          <w:color w:val="auto"/>
          <w:highlight w:val="none"/>
        </w:rPr>
        <w:t>投标人或者其他利害关系人对招标文件（包括对招标文件澄清和修改的内容）有异议的，应当在投标人须知前附表第</w:t>
      </w:r>
      <w:r>
        <w:rPr>
          <w:color w:val="auto"/>
          <w:highlight w:val="none"/>
        </w:rPr>
        <w:t>4.2.1</w:t>
      </w:r>
      <w:r>
        <w:rPr>
          <w:rFonts w:hint="eastAsia"/>
          <w:color w:val="auto"/>
          <w:highlight w:val="none"/>
        </w:rPr>
        <w:t>项规定的投标截止时间</w:t>
      </w:r>
      <w:r>
        <w:rPr>
          <w:color w:val="auto"/>
          <w:highlight w:val="none"/>
        </w:rPr>
        <w:t>10</w:t>
      </w:r>
      <w:r>
        <w:rPr>
          <w:rFonts w:hint="eastAsia"/>
          <w:color w:val="auto"/>
          <w:highlight w:val="none"/>
        </w:rPr>
        <w:t>日前提出。招标人自收到异议之日起</w:t>
      </w:r>
      <w:r>
        <w:rPr>
          <w:color w:val="auto"/>
          <w:highlight w:val="none"/>
        </w:rPr>
        <w:t>3</w:t>
      </w:r>
      <w:r>
        <w:rPr>
          <w:rFonts w:hint="eastAsia"/>
          <w:color w:val="auto"/>
          <w:highlight w:val="none"/>
        </w:rPr>
        <w:t>日内作出答复；作出答复前，招标人将暂停招标投标活动。逾期提出的，招标人可不予受理。异议与答复应通过“电子交易平台”在“异议与答复”菜单以书面形式进行。</w:t>
      </w:r>
    </w:p>
    <w:p w14:paraId="1EE9666F">
      <w:pPr>
        <w:spacing w:line="400" w:lineRule="exact"/>
        <w:ind w:firstLine="420" w:firstLineChars="200"/>
        <w:rPr>
          <w:color w:val="auto"/>
          <w:highlight w:val="none"/>
        </w:rPr>
      </w:pPr>
      <w:r>
        <w:rPr>
          <w:rFonts w:hint="eastAsia"/>
          <w:color w:val="auto"/>
          <w:highlight w:val="none"/>
        </w:rPr>
        <w:t>本处所称异议是指投标人或者其他利害关系人认为招标文件的内容违反法律、法规、规章的强制性规定，违反公开、公平、公正和诚实信用原则，影响投标人投标而向招标人提出的质疑。</w:t>
      </w:r>
    </w:p>
    <w:p w14:paraId="3211311A">
      <w:pPr>
        <w:spacing w:line="400" w:lineRule="exact"/>
        <w:ind w:firstLine="420" w:firstLineChars="200"/>
        <w:rPr>
          <w:color w:val="auto"/>
          <w:highlight w:val="none"/>
        </w:rPr>
      </w:pPr>
      <w:r>
        <w:rPr>
          <w:color w:val="auto"/>
          <w:highlight w:val="none"/>
        </w:rPr>
        <w:t>2.4.2</w:t>
      </w:r>
      <w:r>
        <w:rPr>
          <w:rFonts w:hint="eastAsia"/>
          <w:color w:val="auto"/>
          <w:highlight w:val="none"/>
        </w:rPr>
        <w:t>招标人对异议的答复构成对招标文件澄清或者修改的，招标人将按照本章第</w:t>
      </w:r>
      <w:r>
        <w:rPr>
          <w:color w:val="auto"/>
          <w:highlight w:val="none"/>
        </w:rPr>
        <w:t>2.2</w:t>
      </w:r>
      <w:r>
        <w:rPr>
          <w:rFonts w:hint="eastAsia"/>
          <w:color w:val="auto"/>
          <w:highlight w:val="none"/>
        </w:rPr>
        <w:t>款、第</w:t>
      </w:r>
      <w:r>
        <w:rPr>
          <w:color w:val="auto"/>
          <w:highlight w:val="none"/>
        </w:rPr>
        <w:t>2.3</w:t>
      </w:r>
      <w:r>
        <w:rPr>
          <w:rFonts w:hint="eastAsia"/>
          <w:color w:val="auto"/>
          <w:highlight w:val="none"/>
        </w:rPr>
        <w:t>款规定办理。</w:t>
      </w:r>
    </w:p>
    <w:p w14:paraId="7477DB40">
      <w:pPr>
        <w:pStyle w:val="31"/>
        <w:rPr>
          <w:color w:val="auto"/>
          <w:highlight w:val="none"/>
        </w:rPr>
      </w:pPr>
      <w:bookmarkStart w:id="219" w:name="_Toc144974514"/>
      <w:bookmarkStart w:id="220" w:name="_Toc152042322"/>
      <w:bookmarkStart w:id="221" w:name="_Toc31607"/>
      <w:bookmarkStart w:id="222" w:name="_Toc152045546"/>
      <w:bookmarkStart w:id="223" w:name="_Toc28531700"/>
      <w:bookmarkStart w:id="224" w:name="_Toc179632564"/>
      <w:r>
        <w:rPr>
          <w:color w:val="auto"/>
          <w:highlight w:val="none"/>
        </w:rPr>
        <w:t xml:space="preserve">3. </w:t>
      </w:r>
      <w:r>
        <w:rPr>
          <w:rFonts w:hint="eastAsia"/>
          <w:color w:val="auto"/>
          <w:highlight w:val="none"/>
        </w:rPr>
        <w:t>投标文件</w:t>
      </w:r>
      <w:bookmarkEnd w:id="219"/>
      <w:bookmarkEnd w:id="220"/>
      <w:bookmarkEnd w:id="221"/>
      <w:bookmarkEnd w:id="222"/>
      <w:bookmarkEnd w:id="223"/>
      <w:bookmarkEnd w:id="224"/>
    </w:p>
    <w:p w14:paraId="1444D86A">
      <w:pPr>
        <w:pStyle w:val="33"/>
        <w:rPr>
          <w:color w:val="auto"/>
          <w:highlight w:val="none"/>
        </w:rPr>
      </w:pPr>
      <w:bookmarkStart w:id="225" w:name="_Toc144974515"/>
      <w:bookmarkStart w:id="226" w:name="_Toc9099"/>
      <w:bookmarkStart w:id="227" w:name="_Toc28531701"/>
      <w:bookmarkStart w:id="228" w:name="_Toc152045547"/>
      <w:bookmarkStart w:id="229" w:name="_Toc179632565"/>
      <w:bookmarkStart w:id="230" w:name="_Toc152042323"/>
      <w:r>
        <w:rPr>
          <w:color w:val="auto"/>
          <w:highlight w:val="none"/>
        </w:rPr>
        <w:t xml:space="preserve">3.1 </w:t>
      </w:r>
      <w:r>
        <w:rPr>
          <w:rFonts w:hint="eastAsia"/>
          <w:color w:val="auto"/>
          <w:highlight w:val="none"/>
        </w:rPr>
        <w:t>投标文件的组成</w:t>
      </w:r>
      <w:bookmarkEnd w:id="225"/>
      <w:bookmarkEnd w:id="226"/>
      <w:bookmarkEnd w:id="227"/>
      <w:bookmarkEnd w:id="228"/>
      <w:bookmarkEnd w:id="229"/>
      <w:bookmarkEnd w:id="230"/>
    </w:p>
    <w:p w14:paraId="76FA2DEB">
      <w:pPr>
        <w:spacing w:line="400" w:lineRule="exact"/>
        <w:rPr>
          <w:color w:val="auto"/>
          <w:highlight w:val="none"/>
        </w:rPr>
      </w:pPr>
      <w:r>
        <w:rPr>
          <w:rFonts w:hint="eastAsia"/>
          <w:color w:val="auto"/>
          <w:highlight w:val="none"/>
        </w:rPr>
        <w:t>　　</w:t>
      </w:r>
      <w:r>
        <w:rPr>
          <w:color w:val="auto"/>
          <w:highlight w:val="none"/>
        </w:rPr>
        <w:t>3.1.1</w:t>
      </w:r>
      <w:r>
        <w:rPr>
          <w:rFonts w:hint="eastAsia"/>
          <w:color w:val="auto"/>
          <w:highlight w:val="none"/>
        </w:rPr>
        <w:t>投标文件应包括下列内容：</w:t>
      </w:r>
    </w:p>
    <w:p w14:paraId="68B867BD">
      <w:pPr>
        <w:spacing w:line="400" w:lineRule="exact"/>
        <w:ind w:firstLine="359" w:firstLineChars="171"/>
        <w:rPr>
          <w:color w:val="auto"/>
          <w:highlight w:val="none"/>
        </w:rPr>
      </w:pPr>
      <w:r>
        <w:rPr>
          <w:rFonts w:hint="eastAsia"/>
          <w:color w:val="auto"/>
          <w:highlight w:val="none"/>
        </w:rPr>
        <w:t>（</w:t>
      </w:r>
      <w:r>
        <w:rPr>
          <w:color w:val="auto"/>
          <w:highlight w:val="none"/>
        </w:rPr>
        <w:t>1</w:t>
      </w:r>
      <w:r>
        <w:rPr>
          <w:rFonts w:hint="eastAsia"/>
          <w:color w:val="auto"/>
          <w:highlight w:val="none"/>
        </w:rPr>
        <w:t>）投标函及投标函附录；</w:t>
      </w:r>
    </w:p>
    <w:p w14:paraId="00CBF8B5">
      <w:pPr>
        <w:spacing w:line="400" w:lineRule="exact"/>
        <w:ind w:firstLine="359" w:firstLineChars="171"/>
        <w:rPr>
          <w:color w:val="auto"/>
          <w:highlight w:val="none"/>
        </w:rPr>
      </w:pPr>
      <w:r>
        <w:rPr>
          <w:rFonts w:hint="eastAsia"/>
          <w:color w:val="auto"/>
          <w:highlight w:val="none"/>
        </w:rPr>
        <w:t>（</w:t>
      </w:r>
      <w:r>
        <w:rPr>
          <w:color w:val="auto"/>
          <w:highlight w:val="none"/>
        </w:rPr>
        <w:t>2</w:t>
      </w:r>
      <w:r>
        <w:rPr>
          <w:rFonts w:hint="eastAsia"/>
          <w:color w:val="auto"/>
          <w:highlight w:val="none"/>
        </w:rPr>
        <w:t>）法定代表人身份证明；</w:t>
      </w:r>
    </w:p>
    <w:p w14:paraId="7C756596">
      <w:pPr>
        <w:spacing w:line="400" w:lineRule="exact"/>
        <w:ind w:firstLine="359" w:firstLineChars="171"/>
        <w:rPr>
          <w:color w:val="auto"/>
          <w:highlight w:val="none"/>
        </w:rPr>
      </w:pPr>
      <w:r>
        <w:rPr>
          <w:rFonts w:hint="eastAsia"/>
          <w:color w:val="auto"/>
          <w:highlight w:val="none"/>
        </w:rPr>
        <w:t>（</w:t>
      </w:r>
      <w:r>
        <w:rPr>
          <w:color w:val="auto"/>
          <w:highlight w:val="none"/>
        </w:rPr>
        <w:t>3</w:t>
      </w:r>
      <w:r>
        <w:rPr>
          <w:rFonts w:hint="eastAsia"/>
          <w:color w:val="auto"/>
          <w:highlight w:val="none"/>
        </w:rPr>
        <w:t>）投标保证金；</w:t>
      </w:r>
    </w:p>
    <w:p w14:paraId="19147ECE">
      <w:pPr>
        <w:spacing w:line="400" w:lineRule="exact"/>
        <w:ind w:firstLine="359" w:firstLineChars="171"/>
        <w:rPr>
          <w:color w:val="auto"/>
          <w:highlight w:val="none"/>
        </w:rPr>
      </w:pPr>
      <w:r>
        <w:rPr>
          <w:rFonts w:hint="eastAsia"/>
          <w:color w:val="auto"/>
          <w:highlight w:val="none"/>
        </w:rPr>
        <w:t>（</w:t>
      </w:r>
      <w:r>
        <w:rPr>
          <w:color w:val="auto"/>
          <w:highlight w:val="none"/>
        </w:rPr>
        <w:t>4</w:t>
      </w:r>
      <w:r>
        <w:rPr>
          <w:rFonts w:hint="eastAsia"/>
          <w:color w:val="auto"/>
          <w:highlight w:val="none"/>
        </w:rPr>
        <w:t>）联合体协议书；</w:t>
      </w:r>
    </w:p>
    <w:p w14:paraId="54EA9ED6">
      <w:pPr>
        <w:spacing w:line="400" w:lineRule="exact"/>
        <w:ind w:firstLine="359" w:firstLineChars="171"/>
        <w:rPr>
          <w:color w:val="auto"/>
          <w:highlight w:val="none"/>
        </w:rPr>
      </w:pPr>
      <w:r>
        <w:rPr>
          <w:rFonts w:hint="eastAsia"/>
          <w:color w:val="auto"/>
          <w:highlight w:val="none"/>
        </w:rPr>
        <w:t>（</w:t>
      </w:r>
      <w:r>
        <w:rPr>
          <w:color w:val="auto"/>
          <w:highlight w:val="none"/>
        </w:rPr>
        <w:t>5</w:t>
      </w:r>
      <w:r>
        <w:rPr>
          <w:rFonts w:hint="eastAsia"/>
          <w:color w:val="auto"/>
          <w:highlight w:val="none"/>
        </w:rPr>
        <w:t>）</w:t>
      </w:r>
      <w:r>
        <w:rPr>
          <w:rFonts w:hint="eastAsia" w:ascii="宋体" w:hAnsi="宋体"/>
          <w:color w:val="auto"/>
          <w:szCs w:val="21"/>
          <w:highlight w:val="none"/>
        </w:rPr>
        <w:t>拟分包项目情况表</w:t>
      </w:r>
      <w:r>
        <w:rPr>
          <w:rFonts w:hint="eastAsia"/>
          <w:color w:val="auto"/>
          <w:highlight w:val="none"/>
        </w:rPr>
        <w:t>（适用于非政府采购工程）；</w:t>
      </w:r>
    </w:p>
    <w:p w14:paraId="09CE36BF">
      <w:pPr>
        <w:spacing w:line="400" w:lineRule="exact"/>
        <w:ind w:firstLine="359" w:firstLineChars="171"/>
        <w:rPr>
          <w:color w:val="auto"/>
          <w:highlight w:val="none"/>
        </w:rPr>
      </w:pPr>
      <w:r>
        <w:rPr>
          <w:rFonts w:hint="eastAsia"/>
          <w:color w:val="auto"/>
          <w:highlight w:val="none"/>
        </w:rPr>
        <w:t>（</w:t>
      </w:r>
      <w:r>
        <w:rPr>
          <w:color w:val="auto"/>
          <w:highlight w:val="none"/>
        </w:rPr>
        <w:t>5</w:t>
      </w:r>
      <w:r>
        <w:rPr>
          <w:rFonts w:hint="eastAsia"/>
          <w:color w:val="auto"/>
          <w:highlight w:val="none"/>
        </w:rPr>
        <w:t>）</w:t>
      </w:r>
      <w:r>
        <w:rPr>
          <w:rFonts w:hint="eastAsia" w:ascii="宋体" w:hAnsi="宋体"/>
          <w:color w:val="auto"/>
          <w:szCs w:val="21"/>
          <w:highlight w:val="none"/>
        </w:rPr>
        <w:t>分包意向协议书</w:t>
      </w:r>
      <w:r>
        <w:rPr>
          <w:rFonts w:hint="eastAsia"/>
          <w:color w:val="auto"/>
          <w:highlight w:val="none"/>
        </w:rPr>
        <w:t>（适用于政府采购工程）；</w:t>
      </w:r>
      <w:r>
        <w:rPr>
          <w:color w:val="auto"/>
          <w:highlight w:val="none"/>
        </w:rPr>
        <w:t xml:space="preserve"> </w:t>
      </w:r>
    </w:p>
    <w:p w14:paraId="4BCD96F8">
      <w:pPr>
        <w:spacing w:line="400" w:lineRule="exact"/>
        <w:ind w:firstLine="359" w:firstLineChars="171"/>
        <w:rPr>
          <w:color w:val="auto"/>
          <w:highlight w:val="none"/>
        </w:rPr>
      </w:pPr>
      <w:r>
        <w:rPr>
          <w:rFonts w:hint="eastAsia"/>
          <w:color w:val="auto"/>
          <w:highlight w:val="none"/>
        </w:rPr>
        <w:t>（</w:t>
      </w:r>
      <w:r>
        <w:rPr>
          <w:color w:val="auto"/>
          <w:highlight w:val="none"/>
        </w:rPr>
        <w:t>6</w:t>
      </w:r>
      <w:r>
        <w:rPr>
          <w:rFonts w:hint="eastAsia"/>
          <w:color w:val="auto"/>
          <w:highlight w:val="none"/>
        </w:rPr>
        <w:t>）</w:t>
      </w:r>
      <w:r>
        <w:rPr>
          <w:rFonts w:hint="eastAsia" w:ascii="宋体" w:hAnsi="宋体"/>
          <w:color w:val="auto"/>
          <w:szCs w:val="21"/>
          <w:highlight w:val="none"/>
        </w:rPr>
        <w:t>中小企业声明函</w:t>
      </w:r>
      <w:r>
        <w:rPr>
          <w:rFonts w:hint="eastAsia"/>
          <w:color w:val="auto"/>
          <w:highlight w:val="none"/>
        </w:rPr>
        <w:t>（适用于政府采购工程）；</w:t>
      </w:r>
    </w:p>
    <w:p w14:paraId="4610234F">
      <w:pPr>
        <w:spacing w:line="400" w:lineRule="exact"/>
        <w:ind w:firstLine="359" w:firstLineChars="171"/>
        <w:rPr>
          <w:color w:val="auto"/>
          <w:highlight w:val="none"/>
        </w:rPr>
      </w:pPr>
      <w:r>
        <w:rPr>
          <w:rFonts w:hint="eastAsia"/>
          <w:color w:val="auto"/>
          <w:highlight w:val="none"/>
        </w:rPr>
        <w:t>（</w:t>
      </w:r>
      <w:r>
        <w:rPr>
          <w:color w:val="auto"/>
          <w:highlight w:val="none"/>
        </w:rPr>
        <w:t>7</w:t>
      </w:r>
      <w:r>
        <w:rPr>
          <w:rFonts w:hint="eastAsia"/>
          <w:color w:val="auto"/>
          <w:highlight w:val="none"/>
        </w:rPr>
        <w:t>）项目管理机构；</w:t>
      </w:r>
    </w:p>
    <w:p w14:paraId="72E2CF85">
      <w:pPr>
        <w:spacing w:line="400" w:lineRule="exact"/>
        <w:ind w:firstLine="359" w:firstLineChars="171"/>
        <w:rPr>
          <w:color w:val="auto"/>
          <w:highlight w:val="none"/>
        </w:rPr>
      </w:pPr>
      <w:r>
        <w:rPr>
          <w:rFonts w:hint="eastAsia"/>
          <w:color w:val="auto"/>
          <w:highlight w:val="none"/>
        </w:rPr>
        <w:t>（</w:t>
      </w:r>
      <w:r>
        <w:rPr>
          <w:color w:val="auto"/>
          <w:highlight w:val="none"/>
        </w:rPr>
        <w:t>8</w:t>
      </w:r>
      <w:r>
        <w:rPr>
          <w:rFonts w:hint="eastAsia"/>
          <w:color w:val="auto"/>
          <w:highlight w:val="none"/>
        </w:rPr>
        <w:t>）资格审查资料；</w:t>
      </w:r>
    </w:p>
    <w:p w14:paraId="049E9D88">
      <w:pPr>
        <w:spacing w:line="400" w:lineRule="exact"/>
        <w:ind w:firstLine="359" w:firstLineChars="171"/>
        <w:rPr>
          <w:color w:val="auto"/>
          <w:highlight w:val="none"/>
        </w:rPr>
      </w:pPr>
      <w:r>
        <w:rPr>
          <w:rFonts w:hint="eastAsia"/>
          <w:color w:val="auto"/>
          <w:highlight w:val="none"/>
        </w:rPr>
        <w:t>（</w:t>
      </w:r>
      <w:r>
        <w:rPr>
          <w:color w:val="auto"/>
          <w:highlight w:val="none"/>
        </w:rPr>
        <w:t>9</w:t>
      </w:r>
      <w:r>
        <w:rPr>
          <w:rFonts w:hint="eastAsia"/>
          <w:color w:val="auto"/>
          <w:highlight w:val="none"/>
        </w:rPr>
        <w:t>）</w:t>
      </w:r>
      <w:r>
        <w:rPr>
          <w:rFonts w:hint="eastAsia" w:ascii="宋体" w:hAnsi="宋体"/>
          <w:color w:val="auto"/>
          <w:szCs w:val="21"/>
          <w:highlight w:val="none"/>
        </w:rPr>
        <w:t>已标价工程量清单</w:t>
      </w:r>
      <w:r>
        <w:rPr>
          <w:rFonts w:hint="eastAsia"/>
          <w:color w:val="auto"/>
          <w:highlight w:val="none"/>
        </w:rPr>
        <w:t>；</w:t>
      </w:r>
    </w:p>
    <w:p w14:paraId="280B6615">
      <w:pPr>
        <w:spacing w:line="400" w:lineRule="exact"/>
        <w:ind w:firstLine="359" w:firstLineChars="171"/>
        <w:rPr>
          <w:color w:val="auto"/>
          <w:highlight w:val="none"/>
        </w:rPr>
      </w:pPr>
      <w:r>
        <w:rPr>
          <w:rFonts w:hint="eastAsia"/>
          <w:color w:val="auto"/>
          <w:highlight w:val="none"/>
        </w:rPr>
        <w:t>（</w:t>
      </w:r>
      <w:r>
        <w:rPr>
          <w:color w:val="auto"/>
          <w:highlight w:val="none"/>
        </w:rPr>
        <w:t>10</w:t>
      </w:r>
      <w:r>
        <w:rPr>
          <w:rFonts w:hint="eastAsia"/>
          <w:color w:val="auto"/>
          <w:highlight w:val="none"/>
        </w:rPr>
        <w:t>）施工组织设计；</w:t>
      </w:r>
    </w:p>
    <w:p w14:paraId="64396155">
      <w:pPr>
        <w:spacing w:line="400" w:lineRule="exact"/>
        <w:ind w:firstLine="359" w:firstLineChars="171"/>
        <w:rPr>
          <w:rFonts w:hint="eastAsia"/>
          <w:color w:val="auto"/>
          <w:highlight w:val="none"/>
        </w:rPr>
      </w:pPr>
      <w:r>
        <w:rPr>
          <w:rFonts w:hint="eastAsia"/>
          <w:color w:val="auto"/>
          <w:highlight w:val="none"/>
        </w:rPr>
        <w:t>（</w:t>
      </w:r>
      <w:r>
        <w:rPr>
          <w:color w:val="auto"/>
          <w:highlight w:val="none"/>
        </w:rPr>
        <w:t>11</w:t>
      </w:r>
      <w:r>
        <w:rPr>
          <w:rFonts w:hint="eastAsia"/>
          <w:color w:val="auto"/>
          <w:highlight w:val="none"/>
        </w:rPr>
        <w:t>）投标人须知前附表规定的其他材料</w:t>
      </w:r>
    </w:p>
    <w:p w14:paraId="3F8238B7">
      <w:pPr>
        <w:spacing w:line="400" w:lineRule="exact"/>
        <w:ind w:firstLine="359" w:firstLineChars="171"/>
        <w:rPr>
          <w:color w:val="auto"/>
          <w:highlight w:val="none"/>
        </w:rPr>
      </w:pPr>
      <w:r>
        <w:rPr>
          <w:color w:val="auto"/>
          <w:highlight w:val="none"/>
        </w:rPr>
        <w:t xml:space="preserve">3.1.2 </w:t>
      </w:r>
      <w:r>
        <w:rPr>
          <w:rFonts w:hint="eastAsia"/>
          <w:color w:val="auto"/>
          <w:highlight w:val="none"/>
        </w:rPr>
        <w:t>投标人须知前附表规定不接受联合体投标的，或投标人没有组成联合体的，投标文件不包括本章第</w:t>
      </w:r>
      <w:r>
        <w:rPr>
          <w:color w:val="auto"/>
          <w:highlight w:val="none"/>
        </w:rPr>
        <w:t>3.1.1</w:t>
      </w:r>
      <w:r>
        <w:rPr>
          <w:rFonts w:hint="eastAsia"/>
          <w:color w:val="auto"/>
          <w:highlight w:val="none"/>
        </w:rPr>
        <w:t>（</w:t>
      </w:r>
      <w:r>
        <w:rPr>
          <w:color w:val="auto"/>
          <w:highlight w:val="none"/>
        </w:rPr>
        <w:t>3</w:t>
      </w:r>
      <w:r>
        <w:rPr>
          <w:rFonts w:hint="eastAsia"/>
          <w:color w:val="auto"/>
          <w:highlight w:val="none"/>
        </w:rPr>
        <w:t>）目所指的联合体协议书。</w:t>
      </w:r>
      <w:r>
        <w:rPr>
          <w:color w:val="auto"/>
          <w:highlight w:val="none"/>
        </w:rPr>
        <w:t xml:space="preserve"> </w:t>
      </w:r>
    </w:p>
    <w:p w14:paraId="3214FB93">
      <w:pPr>
        <w:pStyle w:val="33"/>
        <w:rPr>
          <w:color w:val="auto"/>
          <w:highlight w:val="none"/>
        </w:rPr>
      </w:pPr>
      <w:bookmarkStart w:id="231" w:name="_Toc152045548"/>
      <w:bookmarkStart w:id="232" w:name="_Toc152042324"/>
      <w:bookmarkStart w:id="233" w:name="_Toc179632566"/>
      <w:bookmarkStart w:id="234" w:name="_Toc144974516"/>
      <w:bookmarkStart w:id="235" w:name="_Toc28531702"/>
      <w:bookmarkStart w:id="236" w:name="_Toc3482"/>
      <w:r>
        <w:rPr>
          <w:color w:val="auto"/>
          <w:highlight w:val="none"/>
        </w:rPr>
        <w:t xml:space="preserve">3.2 </w:t>
      </w:r>
      <w:r>
        <w:rPr>
          <w:rFonts w:hint="eastAsia"/>
          <w:color w:val="auto"/>
          <w:highlight w:val="none"/>
        </w:rPr>
        <w:t>投标报价</w:t>
      </w:r>
      <w:bookmarkEnd w:id="231"/>
      <w:bookmarkEnd w:id="232"/>
      <w:bookmarkEnd w:id="233"/>
      <w:bookmarkEnd w:id="234"/>
      <w:bookmarkEnd w:id="235"/>
      <w:bookmarkEnd w:id="236"/>
    </w:p>
    <w:p w14:paraId="347721ED">
      <w:pPr>
        <w:spacing w:line="400" w:lineRule="exact"/>
        <w:ind w:firstLine="420" w:firstLineChars="200"/>
        <w:rPr>
          <w:color w:val="auto"/>
          <w:highlight w:val="none"/>
        </w:rPr>
      </w:pPr>
      <w:r>
        <w:rPr>
          <w:color w:val="auto"/>
          <w:highlight w:val="none"/>
        </w:rPr>
        <w:t xml:space="preserve">3.2.1 </w:t>
      </w:r>
      <w:r>
        <w:rPr>
          <w:rFonts w:hint="eastAsia"/>
          <w:color w:val="auto"/>
          <w:highlight w:val="none"/>
        </w:rPr>
        <w:t>投标人应按第五章“工程量清单”的要求填写相应表格，并按本章第</w:t>
      </w:r>
      <w:r>
        <w:rPr>
          <w:color w:val="auto"/>
          <w:highlight w:val="none"/>
        </w:rPr>
        <w:t>2.1.2</w:t>
      </w:r>
      <w:r>
        <w:rPr>
          <w:rFonts w:hint="eastAsia"/>
          <w:color w:val="auto"/>
          <w:highlight w:val="none"/>
        </w:rPr>
        <w:t>（</w:t>
      </w:r>
      <w:r>
        <w:rPr>
          <w:color w:val="auto"/>
          <w:highlight w:val="none"/>
        </w:rPr>
        <w:t>1</w:t>
      </w:r>
      <w:r>
        <w:rPr>
          <w:rFonts w:hint="eastAsia"/>
          <w:color w:val="auto"/>
          <w:highlight w:val="none"/>
        </w:rPr>
        <w:t>）目约定的计税方法计税。未按约定的计税方法计税的，其投标将被否决。</w:t>
      </w:r>
    </w:p>
    <w:p w14:paraId="4945BF1E">
      <w:pPr>
        <w:spacing w:line="400" w:lineRule="exact"/>
        <w:ind w:firstLine="420" w:firstLineChars="200"/>
        <w:rPr>
          <w:color w:val="auto"/>
          <w:highlight w:val="none"/>
        </w:rPr>
      </w:pPr>
      <w:r>
        <w:rPr>
          <w:color w:val="auto"/>
          <w:highlight w:val="none"/>
        </w:rPr>
        <w:t xml:space="preserve">3.2.2 </w:t>
      </w:r>
      <w:r>
        <w:rPr>
          <w:rFonts w:hint="eastAsia"/>
          <w:color w:val="auto"/>
          <w:highlight w:val="none"/>
        </w:rPr>
        <w:t>投标人经复核认为招标人公布的招标控制价未按本章第</w:t>
      </w:r>
      <w:r>
        <w:rPr>
          <w:color w:val="auto"/>
          <w:highlight w:val="none"/>
        </w:rPr>
        <w:t>2.1.2</w:t>
      </w:r>
      <w:r>
        <w:rPr>
          <w:rFonts w:hint="eastAsia"/>
          <w:color w:val="auto"/>
          <w:highlight w:val="none"/>
        </w:rPr>
        <w:t>（</w:t>
      </w:r>
      <w:r>
        <w:rPr>
          <w:color w:val="auto"/>
          <w:highlight w:val="none"/>
        </w:rPr>
        <w:t>1</w:t>
      </w:r>
      <w:r>
        <w:rPr>
          <w:rFonts w:hint="eastAsia"/>
          <w:color w:val="auto"/>
          <w:highlight w:val="none"/>
        </w:rPr>
        <w:t>）目、第</w:t>
      </w:r>
      <w:r>
        <w:rPr>
          <w:color w:val="auto"/>
          <w:highlight w:val="none"/>
        </w:rPr>
        <w:t>2.1.2</w:t>
      </w:r>
      <w:r>
        <w:rPr>
          <w:rFonts w:hint="eastAsia"/>
          <w:color w:val="auto"/>
          <w:highlight w:val="none"/>
        </w:rPr>
        <w:t>（</w:t>
      </w:r>
      <w:r>
        <w:rPr>
          <w:color w:val="auto"/>
          <w:highlight w:val="none"/>
        </w:rPr>
        <w:t>3</w:t>
      </w:r>
      <w:r>
        <w:rPr>
          <w:rFonts w:hint="eastAsia"/>
          <w:color w:val="auto"/>
          <w:highlight w:val="none"/>
        </w:rPr>
        <w:t>）目的规定编制，可按本章第</w:t>
      </w:r>
      <w:r>
        <w:rPr>
          <w:color w:val="auto"/>
          <w:highlight w:val="none"/>
        </w:rPr>
        <w:t>2.4</w:t>
      </w:r>
      <w:r>
        <w:rPr>
          <w:rFonts w:hint="eastAsia"/>
          <w:color w:val="auto"/>
          <w:highlight w:val="none"/>
        </w:rPr>
        <w:t>款的规定向招标人提出异议。对异议的答复仍持有异议，可按本章第</w:t>
      </w:r>
      <w:r>
        <w:rPr>
          <w:color w:val="auto"/>
          <w:highlight w:val="none"/>
        </w:rPr>
        <w:t>9.5</w:t>
      </w:r>
      <w:r>
        <w:rPr>
          <w:rFonts w:hint="eastAsia"/>
          <w:color w:val="auto"/>
          <w:highlight w:val="none"/>
        </w:rPr>
        <w:t>款的规定在投标截止时间前，向有关行政监督部门和工程造价管理机构投诉。</w:t>
      </w:r>
    </w:p>
    <w:p w14:paraId="7DAB24E0">
      <w:pPr>
        <w:spacing w:line="400" w:lineRule="exact"/>
        <w:ind w:firstLine="420" w:firstLineChars="200"/>
        <w:rPr>
          <w:color w:val="auto"/>
          <w:highlight w:val="none"/>
        </w:rPr>
      </w:pPr>
      <w:r>
        <w:rPr>
          <w:color w:val="auto"/>
          <w:highlight w:val="none"/>
        </w:rPr>
        <w:t xml:space="preserve">3.2.3 </w:t>
      </w:r>
      <w:r>
        <w:rPr>
          <w:rFonts w:hint="eastAsia"/>
          <w:color w:val="auto"/>
          <w:highlight w:val="none"/>
        </w:rPr>
        <w:t>投标人在投标截止时间前修改投标函中的投标总报价，应同时修改第五章“工程量清单”中的相应报价。此修改须符合本章第</w:t>
      </w:r>
      <w:r>
        <w:rPr>
          <w:color w:val="auto"/>
          <w:highlight w:val="none"/>
        </w:rPr>
        <w:t>4.3</w:t>
      </w:r>
      <w:r>
        <w:rPr>
          <w:rFonts w:hint="eastAsia"/>
          <w:color w:val="auto"/>
          <w:highlight w:val="none"/>
        </w:rPr>
        <w:t>款的有关要求。</w:t>
      </w:r>
    </w:p>
    <w:p w14:paraId="7F8B4BF5">
      <w:pPr>
        <w:spacing w:line="400" w:lineRule="exact"/>
        <w:ind w:firstLine="420" w:firstLineChars="200"/>
        <w:rPr>
          <w:color w:val="auto"/>
          <w:highlight w:val="none"/>
        </w:rPr>
      </w:pPr>
      <w:r>
        <w:rPr>
          <w:color w:val="auto"/>
          <w:highlight w:val="none"/>
        </w:rPr>
        <w:t>3.2.4</w:t>
      </w:r>
      <w:r>
        <w:rPr>
          <w:rFonts w:hint="eastAsia"/>
          <w:color w:val="auto"/>
          <w:highlight w:val="none"/>
        </w:rPr>
        <w:t>投标人投标函中的大写报价或算术错误修正后的投标总报价大于招标控制价总价的，其投标将被否决。</w:t>
      </w:r>
    </w:p>
    <w:p w14:paraId="53EE4E3D">
      <w:pPr>
        <w:pStyle w:val="33"/>
        <w:rPr>
          <w:color w:val="auto"/>
          <w:highlight w:val="none"/>
        </w:rPr>
      </w:pPr>
      <w:bookmarkStart w:id="237" w:name="_Toc9919"/>
      <w:bookmarkStart w:id="238" w:name="_Toc179632567"/>
      <w:bookmarkStart w:id="239" w:name="_Toc144974517"/>
      <w:bookmarkStart w:id="240" w:name="_Toc152045549"/>
      <w:bookmarkStart w:id="241" w:name="_Toc152042325"/>
      <w:bookmarkStart w:id="242" w:name="_Toc28531703"/>
      <w:r>
        <w:rPr>
          <w:color w:val="auto"/>
          <w:highlight w:val="none"/>
        </w:rPr>
        <w:t xml:space="preserve">3.3 </w:t>
      </w:r>
      <w:r>
        <w:rPr>
          <w:rFonts w:hint="eastAsia"/>
          <w:color w:val="auto"/>
          <w:highlight w:val="none"/>
        </w:rPr>
        <w:t>投标有效期</w:t>
      </w:r>
      <w:bookmarkEnd w:id="237"/>
      <w:bookmarkEnd w:id="238"/>
      <w:bookmarkEnd w:id="239"/>
      <w:bookmarkEnd w:id="240"/>
      <w:bookmarkEnd w:id="241"/>
      <w:bookmarkEnd w:id="242"/>
    </w:p>
    <w:p w14:paraId="2582C6BB">
      <w:pPr>
        <w:spacing w:line="400" w:lineRule="exact"/>
        <w:ind w:firstLine="420" w:firstLineChars="200"/>
        <w:rPr>
          <w:color w:val="auto"/>
          <w:highlight w:val="none"/>
        </w:rPr>
      </w:pPr>
      <w:r>
        <w:rPr>
          <w:color w:val="auto"/>
          <w:highlight w:val="none"/>
        </w:rPr>
        <w:t xml:space="preserve">3.3.1 </w:t>
      </w:r>
      <w:r>
        <w:rPr>
          <w:rFonts w:hint="eastAsia"/>
          <w:color w:val="auto"/>
          <w:highlight w:val="none"/>
        </w:rPr>
        <w:t>在投标人须知前附表规定的投标有效期内，投标人不得要求撤销或修改其投标文件。</w:t>
      </w:r>
    </w:p>
    <w:p w14:paraId="5D3552D0">
      <w:pPr>
        <w:spacing w:line="400" w:lineRule="exact"/>
        <w:ind w:firstLine="420" w:firstLineChars="200"/>
        <w:rPr>
          <w:color w:val="auto"/>
          <w:highlight w:val="none"/>
        </w:rPr>
      </w:pPr>
      <w:r>
        <w:rPr>
          <w:color w:val="auto"/>
          <w:highlight w:val="none"/>
        </w:rPr>
        <w:t>3.3.2</w:t>
      </w:r>
      <w:r>
        <w:rPr>
          <w:rFonts w:hint="eastAsia"/>
          <w:color w:val="auto"/>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r>
        <w:rPr>
          <w:color w:val="auto"/>
          <w:highlight w:val="none"/>
        </w:rPr>
        <w:t xml:space="preserve"> </w:t>
      </w:r>
    </w:p>
    <w:p w14:paraId="53AAE38E">
      <w:pPr>
        <w:pStyle w:val="33"/>
        <w:rPr>
          <w:color w:val="auto"/>
          <w:highlight w:val="none"/>
        </w:rPr>
      </w:pPr>
      <w:bookmarkStart w:id="243" w:name="_Toc6855"/>
      <w:bookmarkStart w:id="244" w:name="_Toc152045550"/>
      <w:bookmarkStart w:id="245" w:name="_Toc28531704"/>
      <w:bookmarkStart w:id="246" w:name="_Toc152042326"/>
      <w:bookmarkStart w:id="247" w:name="_Toc144974518"/>
      <w:bookmarkStart w:id="248" w:name="_Toc179632568"/>
      <w:r>
        <w:rPr>
          <w:color w:val="auto"/>
          <w:highlight w:val="none"/>
        </w:rPr>
        <w:t xml:space="preserve">3.4 </w:t>
      </w:r>
      <w:r>
        <w:rPr>
          <w:rFonts w:hint="eastAsia"/>
          <w:color w:val="auto"/>
          <w:highlight w:val="none"/>
        </w:rPr>
        <w:t>投标保证金</w:t>
      </w:r>
      <w:bookmarkEnd w:id="243"/>
      <w:bookmarkEnd w:id="244"/>
      <w:bookmarkEnd w:id="245"/>
      <w:bookmarkEnd w:id="246"/>
      <w:bookmarkEnd w:id="247"/>
      <w:bookmarkEnd w:id="248"/>
    </w:p>
    <w:p w14:paraId="1605AF5D">
      <w:pPr>
        <w:spacing w:line="400" w:lineRule="exact"/>
        <w:ind w:firstLine="420" w:firstLineChars="200"/>
        <w:rPr>
          <w:color w:val="auto"/>
          <w:highlight w:val="none"/>
        </w:rPr>
      </w:pPr>
      <w:r>
        <w:rPr>
          <w:color w:val="auto"/>
          <w:highlight w:val="none"/>
        </w:rPr>
        <w:t>3.4.1</w:t>
      </w:r>
      <w:r>
        <w:rPr>
          <w:rFonts w:hint="eastAsia"/>
          <w:color w:val="auto"/>
          <w:highlight w:val="none"/>
        </w:rPr>
        <w:t>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12C00F8B">
      <w:pPr>
        <w:spacing w:line="400" w:lineRule="exact"/>
        <w:ind w:firstLine="420" w:firstLineChars="200"/>
        <w:rPr>
          <w:color w:val="auto"/>
          <w:highlight w:val="none"/>
        </w:rPr>
      </w:pPr>
      <w:r>
        <w:rPr>
          <w:color w:val="auto"/>
          <w:highlight w:val="none"/>
        </w:rPr>
        <w:t xml:space="preserve">3.4.2 </w:t>
      </w:r>
      <w:r>
        <w:rPr>
          <w:rFonts w:hint="eastAsia"/>
          <w:color w:val="auto"/>
          <w:highlight w:val="none"/>
        </w:rPr>
        <w:t>投标人不按本章第</w:t>
      </w:r>
      <w:r>
        <w:rPr>
          <w:color w:val="auto"/>
          <w:highlight w:val="none"/>
        </w:rPr>
        <w:t>3.4.1</w:t>
      </w:r>
      <w:r>
        <w:rPr>
          <w:rFonts w:hint="eastAsia"/>
          <w:color w:val="auto"/>
          <w:highlight w:val="none"/>
        </w:rPr>
        <w:t>项要求提交投标保证金的，其投标将被否决。</w:t>
      </w:r>
    </w:p>
    <w:p w14:paraId="2FB73DDF">
      <w:pPr>
        <w:spacing w:line="400" w:lineRule="exact"/>
        <w:ind w:firstLine="420" w:firstLineChars="200"/>
        <w:rPr>
          <w:color w:val="auto"/>
          <w:highlight w:val="none"/>
        </w:rPr>
      </w:pPr>
      <w:r>
        <w:rPr>
          <w:color w:val="auto"/>
          <w:highlight w:val="none"/>
        </w:rPr>
        <w:t xml:space="preserve">3.4.3 </w:t>
      </w:r>
      <w:r>
        <w:rPr>
          <w:rFonts w:hint="eastAsia"/>
          <w:color w:val="auto"/>
          <w:highlight w:val="none"/>
        </w:rPr>
        <w:t>招标人最迟在与中标人签订合同后</w:t>
      </w:r>
      <w:r>
        <w:rPr>
          <w:color w:val="auto"/>
          <w:highlight w:val="none"/>
        </w:rPr>
        <w:t>5</w:t>
      </w:r>
      <w:r>
        <w:rPr>
          <w:rFonts w:hint="eastAsia"/>
          <w:color w:val="auto"/>
          <w:highlight w:val="none"/>
        </w:rPr>
        <w:t>日内，向未中标的投标人和中标人退还投标保证金。招标人同时退还投标保证金的银行同期存款利息。投标保证金及利息的计息标准和退还方式见投标人须知前附表。</w:t>
      </w:r>
    </w:p>
    <w:p w14:paraId="5F361E14">
      <w:pPr>
        <w:spacing w:line="400" w:lineRule="exact"/>
        <w:ind w:firstLine="420" w:firstLineChars="200"/>
        <w:rPr>
          <w:color w:val="auto"/>
          <w:highlight w:val="none"/>
        </w:rPr>
      </w:pPr>
      <w:r>
        <w:rPr>
          <w:color w:val="auto"/>
          <w:highlight w:val="none"/>
        </w:rPr>
        <w:t xml:space="preserve">3.4.4 </w:t>
      </w:r>
      <w:r>
        <w:rPr>
          <w:rFonts w:hint="eastAsia"/>
          <w:color w:val="auto"/>
          <w:highlight w:val="none"/>
        </w:rPr>
        <w:t>有下列情形之一的，投标保证金将不予退还：</w:t>
      </w:r>
      <w:r>
        <w:rPr>
          <w:color w:val="auto"/>
          <w:highlight w:val="none"/>
        </w:rPr>
        <w:t xml:space="preserve"> </w:t>
      </w:r>
    </w:p>
    <w:p w14:paraId="7124C677">
      <w:pPr>
        <w:spacing w:line="400" w:lineRule="exact"/>
        <w:ind w:firstLine="718" w:firstLineChars="342"/>
        <w:rPr>
          <w:color w:val="auto"/>
          <w:highlight w:val="none"/>
        </w:rPr>
      </w:pPr>
      <w:r>
        <w:rPr>
          <w:rFonts w:hint="eastAsia"/>
          <w:color w:val="auto"/>
          <w:highlight w:val="none"/>
        </w:rPr>
        <w:t>（</w:t>
      </w:r>
      <w:r>
        <w:rPr>
          <w:color w:val="auto"/>
          <w:highlight w:val="none"/>
        </w:rPr>
        <w:t>1</w:t>
      </w:r>
      <w:r>
        <w:rPr>
          <w:rFonts w:hint="eastAsia"/>
          <w:color w:val="auto"/>
          <w:highlight w:val="none"/>
        </w:rPr>
        <w:t>）投标人在规定的投标有效期内撤销或修改其投标文件；</w:t>
      </w:r>
    </w:p>
    <w:p w14:paraId="55B289E5">
      <w:pPr>
        <w:spacing w:line="400" w:lineRule="exact"/>
        <w:ind w:firstLine="718" w:firstLineChars="342"/>
        <w:rPr>
          <w:color w:val="auto"/>
          <w:highlight w:val="none"/>
        </w:rPr>
      </w:pPr>
      <w:r>
        <w:rPr>
          <w:rFonts w:hint="eastAsia"/>
          <w:color w:val="auto"/>
          <w:highlight w:val="none"/>
        </w:rPr>
        <w:t>（</w:t>
      </w:r>
      <w:r>
        <w:rPr>
          <w:color w:val="auto"/>
          <w:highlight w:val="none"/>
        </w:rPr>
        <w:t>2</w:t>
      </w:r>
      <w:r>
        <w:rPr>
          <w:rFonts w:hint="eastAsia"/>
          <w:color w:val="auto"/>
          <w:highlight w:val="none"/>
        </w:rPr>
        <w:t>）中标人在收到中标通知书后，无正当理由拒签合同、在签订合同时向招标人提出附加条件或未按招标文件规定提交履约保证金。</w:t>
      </w:r>
    </w:p>
    <w:p w14:paraId="136220D4">
      <w:pPr>
        <w:pStyle w:val="33"/>
        <w:rPr>
          <w:color w:val="auto"/>
          <w:highlight w:val="none"/>
        </w:rPr>
      </w:pPr>
      <w:bookmarkStart w:id="249" w:name="_Toc179632570"/>
      <w:bookmarkStart w:id="250" w:name="_Toc28662"/>
      <w:bookmarkStart w:id="251" w:name="_Toc28531705"/>
      <w:bookmarkStart w:id="252" w:name="_Toc144974520"/>
      <w:bookmarkStart w:id="253" w:name="_Toc152045552"/>
      <w:bookmarkStart w:id="254" w:name="_Toc152042328"/>
      <w:r>
        <w:rPr>
          <w:color w:val="auto"/>
          <w:highlight w:val="none"/>
        </w:rPr>
        <w:t xml:space="preserve">3.5 </w:t>
      </w:r>
      <w:r>
        <w:rPr>
          <w:rFonts w:hint="eastAsia"/>
          <w:color w:val="auto"/>
          <w:highlight w:val="none"/>
        </w:rPr>
        <w:t>资格审查资料（适用于未进行资格预审的）</w:t>
      </w:r>
      <w:bookmarkEnd w:id="249"/>
      <w:bookmarkEnd w:id="250"/>
      <w:bookmarkEnd w:id="251"/>
      <w:bookmarkEnd w:id="252"/>
      <w:bookmarkEnd w:id="253"/>
      <w:bookmarkEnd w:id="254"/>
    </w:p>
    <w:p w14:paraId="075BD3AF">
      <w:pPr>
        <w:spacing w:line="400" w:lineRule="exact"/>
        <w:ind w:firstLine="420" w:firstLineChars="200"/>
        <w:rPr>
          <w:color w:val="auto"/>
          <w:highlight w:val="none"/>
        </w:rPr>
      </w:pPr>
      <w:r>
        <w:rPr>
          <w:color w:val="auto"/>
          <w:highlight w:val="none"/>
        </w:rPr>
        <w:t>3.5.1</w:t>
      </w:r>
      <w:r>
        <w:rPr>
          <w:rFonts w:hint="eastAsia"/>
          <w:color w:val="auto"/>
          <w:highlight w:val="none"/>
        </w:rPr>
        <w:t>投标人应按招标文件第八章“投标文件格式”中规定的表格内容填写资格审查表，并按各资格审查表的具体要求提供相关证件及证明材料。</w:t>
      </w:r>
    </w:p>
    <w:p w14:paraId="3AB08621">
      <w:pPr>
        <w:spacing w:line="400" w:lineRule="exact"/>
        <w:ind w:firstLine="420" w:firstLineChars="200"/>
        <w:rPr>
          <w:color w:val="auto"/>
          <w:highlight w:val="none"/>
        </w:rPr>
      </w:pPr>
      <w:r>
        <w:rPr>
          <w:rFonts w:hint="eastAsia"/>
          <w:color w:val="auto"/>
          <w:highlight w:val="none"/>
        </w:rPr>
        <w:t>本招标文件中“类似项目”的定义见投标人须知前附表。</w:t>
      </w:r>
    </w:p>
    <w:p w14:paraId="674A200D">
      <w:pPr>
        <w:spacing w:line="400" w:lineRule="exact"/>
        <w:ind w:firstLine="420" w:firstLineChars="200"/>
        <w:rPr>
          <w:color w:val="auto"/>
          <w:highlight w:val="none"/>
        </w:rPr>
      </w:pPr>
      <w:r>
        <w:rPr>
          <w:color w:val="auto"/>
          <w:highlight w:val="none"/>
        </w:rPr>
        <w:t>3.5.2</w:t>
      </w:r>
      <w:r>
        <w:rPr>
          <w:rFonts w:hint="eastAsia"/>
          <w:color w:val="auto"/>
          <w:highlight w:val="none"/>
        </w:rPr>
        <w:t>投标人须知前附表第</w:t>
      </w:r>
      <w:r>
        <w:rPr>
          <w:color w:val="auto"/>
          <w:highlight w:val="none"/>
        </w:rPr>
        <w:t>1.4.2</w:t>
      </w:r>
      <w:r>
        <w:rPr>
          <w:rFonts w:hint="eastAsia"/>
          <w:color w:val="auto"/>
          <w:highlight w:val="none"/>
        </w:rPr>
        <w:t>项规定接受联合体投标的，本章第</w:t>
      </w:r>
      <w:r>
        <w:rPr>
          <w:color w:val="auto"/>
          <w:highlight w:val="none"/>
        </w:rPr>
        <w:t>3.5.1</w:t>
      </w:r>
      <w:r>
        <w:rPr>
          <w:rFonts w:hint="eastAsia"/>
          <w:color w:val="auto"/>
          <w:highlight w:val="none"/>
        </w:rPr>
        <w:t>项规定的表格和资料应包括联合体各方相关情况。</w:t>
      </w:r>
    </w:p>
    <w:p w14:paraId="41709FD4">
      <w:pPr>
        <w:pStyle w:val="33"/>
        <w:rPr>
          <w:color w:val="auto"/>
          <w:highlight w:val="none"/>
        </w:rPr>
      </w:pPr>
      <w:bookmarkStart w:id="255" w:name="_Toc179632571"/>
      <w:bookmarkStart w:id="256" w:name="_Toc144974521"/>
      <w:bookmarkStart w:id="257" w:name="_Toc152042329"/>
      <w:bookmarkStart w:id="258" w:name="_Toc28531706"/>
      <w:bookmarkStart w:id="259" w:name="_Toc152045553"/>
      <w:bookmarkStart w:id="260" w:name="_Toc19844"/>
      <w:r>
        <w:rPr>
          <w:color w:val="auto"/>
          <w:highlight w:val="none"/>
        </w:rPr>
        <w:t xml:space="preserve">3.6 </w:t>
      </w:r>
      <w:r>
        <w:rPr>
          <w:rFonts w:hint="eastAsia"/>
          <w:color w:val="auto"/>
          <w:highlight w:val="none"/>
        </w:rPr>
        <w:t>备选投标方案</w:t>
      </w:r>
      <w:bookmarkEnd w:id="255"/>
      <w:bookmarkEnd w:id="256"/>
      <w:bookmarkEnd w:id="257"/>
      <w:bookmarkEnd w:id="258"/>
      <w:bookmarkEnd w:id="259"/>
      <w:bookmarkEnd w:id="260"/>
    </w:p>
    <w:p w14:paraId="617AC85E">
      <w:pPr>
        <w:spacing w:line="400" w:lineRule="exact"/>
        <w:ind w:firstLine="420" w:firstLineChars="200"/>
        <w:rPr>
          <w:color w:val="auto"/>
          <w:highlight w:val="none"/>
        </w:rPr>
      </w:pPr>
      <w:r>
        <w:rPr>
          <w:rFonts w:hint="eastAsia"/>
          <w:color w:val="auto"/>
          <w:highlight w:val="none"/>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6A46BF1E">
      <w:pPr>
        <w:pStyle w:val="33"/>
        <w:rPr>
          <w:color w:val="auto"/>
          <w:highlight w:val="none"/>
        </w:rPr>
      </w:pPr>
      <w:bookmarkStart w:id="261" w:name="_Toc179632572"/>
      <w:bookmarkStart w:id="262" w:name="_Toc2749"/>
      <w:bookmarkStart w:id="263" w:name="_Toc28531707"/>
      <w:bookmarkStart w:id="264" w:name="_Toc152042330"/>
      <w:bookmarkStart w:id="265" w:name="_Toc152045554"/>
      <w:bookmarkStart w:id="266" w:name="_Toc144974522"/>
      <w:r>
        <w:rPr>
          <w:color w:val="auto"/>
          <w:highlight w:val="none"/>
        </w:rPr>
        <w:t xml:space="preserve">3.7 </w:t>
      </w:r>
      <w:r>
        <w:rPr>
          <w:rFonts w:hint="eastAsia"/>
          <w:color w:val="auto"/>
          <w:highlight w:val="none"/>
        </w:rPr>
        <w:t>投标文件的编制</w:t>
      </w:r>
      <w:bookmarkEnd w:id="261"/>
      <w:bookmarkEnd w:id="262"/>
      <w:bookmarkEnd w:id="263"/>
      <w:bookmarkEnd w:id="264"/>
      <w:bookmarkEnd w:id="265"/>
      <w:bookmarkEnd w:id="266"/>
    </w:p>
    <w:p w14:paraId="67A821C0">
      <w:pPr>
        <w:spacing w:line="400" w:lineRule="exact"/>
        <w:ind w:firstLine="420" w:firstLineChars="200"/>
        <w:rPr>
          <w:color w:val="auto"/>
          <w:highlight w:val="none"/>
        </w:rPr>
      </w:pPr>
      <w:r>
        <w:rPr>
          <w:color w:val="auto"/>
          <w:highlight w:val="none"/>
        </w:rPr>
        <w:t>3.7.1</w:t>
      </w:r>
      <w:r>
        <w:rPr>
          <w:rFonts w:hint="eastAsia"/>
          <w:color w:val="auto"/>
          <w:highlight w:val="none"/>
        </w:rPr>
        <w:t>投标文件应按第八章“投标文件格式”进行编写，如有必要，可以增加附页，作为投标文件的组成部分。其中，投标函附录在满足招标文件实质性要求的基础上，可以提出比招标文件要求更有利于招标人的承诺。</w:t>
      </w:r>
    </w:p>
    <w:p w14:paraId="3EA05DF5">
      <w:pPr>
        <w:spacing w:line="400" w:lineRule="exact"/>
        <w:ind w:firstLine="420" w:firstLineChars="200"/>
        <w:rPr>
          <w:color w:val="auto"/>
          <w:szCs w:val="21"/>
          <w:highlight w:val="none"/>
        </w:rPr>
      </w:pPr>
      <w:r>
        <w:rPr>
          <w:color w:val="auto"/>
          <w:highlight w:val="none"/>
        </w:rPr>
        <w:t xml:space="preserve">3.7.2 </w:t>
      </w:r>
      <w:r>
        <w:rPr>
          <w:rFonts w:hint="eastAsia"/>
          <w:color w:val="auto"/>
          <w:highlight w:val="none"/>
        </w:rPr>
        <w:t>投标文件应当对招标文件有关</w:t>
      </w:r>
      <w:r>
        <w:rPr>
          <w:rFonts w:hint="eastAsia"/>
          <w:color w:val="auto"/>
          <w:szCs w:val="21"/>
          <w:highlight w:val="none"/>
        </w:rPr>
        <w:t>工期、投标有效期、质量要求、技术标准和要求、招标范围等实质性内容作出响应。</w:t>
      </w:r>
    </w:p>
    <w:p w14:paraId="5BA29BB4">
      <w:pPr>
        <w:spacing w:line="400" w:lineRule="exact"/>
        <w:ind w:firstLine="420" w:firstLineChars="200"/>
        <w:rPr>
          <w:color w:val="auto"/>
          <w:szCs w:val="24"/>
          <w:highlight w:val="none"/>
        </w:rPr>
      </w:pPr>
      <w:r>
        <w:rPr>
          <w:color w:val="auto"/>
          <w:highlight w:val="none"/>
        </w:rPr>
        <w:t xml:space="preserve">3.7.3 </w:t>
      </w:r>
      <w:r>
        <w:rPr>
          <w:rFonts w:hint="eastAsia"/>
          <w:color w:val="auto"/>
          <w:highlight w:val="none"/>
        </w:rPr>
        <w:t>电子投标文件制作</w:t>
      </w:r>
    </w:p>
    <w:p w14:paraId="1BF3AF64">
      <w:pPr>
        <w:spacing w:line="400" w:lineRule="exact"/>
        <w:ind w:firstLine="420" w:firstLineChars="200"/>
        <w:rPr>
          <w:color w:val="auto"/>
          <w:highlight w:val="none"/>
        </w:rPr>
      </w:pPr>
      <w:r>
        <w:rPr>
          <w:rFonts w:hint="eastAsia"/>
          <w:color w:val="auto"/>
          <w:highlight w:val="none"/>
        </w:rPr>
        <w:t>（</w:t>
      </w:r>
      <w:r>
        <w:rPr>
          <w:color w:val="auto"/>
          <w:highlight w:val="none"/>
        </w:rPr>
        <w:t>1</w:t>
      </w:r>
      <w:r>
        <w:rPr>
          <w:rFonts w:hint="eastAsia"/>
          <w:color w:val="auto"/>
          <w:highlight w:val="none"/>
        </w:rPr>
        <w:t>）电子投标文件由投标人使用“电子交易平台”提供的“电子投标文件制作软件”制作生成。</w:t>
      </w:r>
    </w:p>
    <w:p w14:paraId="6977CF3B">
      <w:pPr>
        <w:spacing w:line="400" w:lineRule="exact"/>
        <w:ind w:firstLine="420" w:firstLineChars="200"/>
        <w:rPr>
          <w:color w:val="auto"/>
          <w:highlight w:val="none"/>
        </w:rPr>
      </w:pPr>
      <w:r>
        <w:rPr>
          <w:rFonts w:hint="eastAsia"/>
          <w:color w:val="auto"/>
          <w:highlight w:val="none"/>
        </w:rPr>
        <w:t>（</w:t>
      </w:r>
      <w:r>
        <w:rPr>
          <w:color w:val="auto"/>
          <w:highlight w:val="none"/>
        </w:rPr>
        <w:t>2</w:t>
      </w:r>
      <w:r>
        <w:rPr>
          <w:rFonts w:hint="eastAsia"/>
          <w:color w:val="auto"/>
          <w:highlight w:val="none"/>
        </w:rPr>
        <w:t>）投标人在编制电子投标文件时应当建立分级目录，并按照标签提示导入相关内容。</w:t>
      </w:r>
    </w:p>
    <w:p w14:paraId="084AB63C">
      <w:pPr>
        <w:spacing w:line="400" w:lineRule="exact"/>
        <w:ind w:firstLine="420" w:firstLineChars="200"/>
        <w:rPr>
          <w:color w:val="auto"/>
          <w:highlight w:val="none"/>
        </w:rPr>
      </w:pPr>
      <w:r>
        <w:rPr>
          <w:rFonts w:hint="eastAsia"/>
          <w:color w:val="auto"/>
          <w:highlight w:val="none"/>
        </w:rPr>
        <w:t>（</w:t>
      </w:r>
      <w:r>
        <w:rPr>
          <w:color w:val="auto"/>
          <w:highlight w:val="none"/>
        </w:rPr>
        <w:t>3</w:t>
      </w:r>
      <w:r>
        <w:rPr>
          <w:rFonts w:hint="eastAsia"/>
          <w:color w:val="auto"/>
          <w:highlight w:val="none"/>
        </w:rPr>
        <w:t>）电子投标文件中的证明资料均为“扫描件”，应从“电子交易平台</w:t>
      </w:r>
      <w:r>
        <w:rPr>
          <w:color w:val="auto"/>
          <w:highlight w:val="none"/>
        </w:rPr>
        <w:t>”</w:t>
      </w:r>
      <w:r>
        <w:rPr>
          <w:rFonts w:hint="eastAsia"/>
          <w:color w:val="auto"/>
          <w:highlight w:val="none"/>
        </w:rPr>
        <w:t>交易主体诚信库中选择，交易主体诚信库中没有的“扫描件”，应以附件形式直接导入，未标示“扫描件”的证明资料均应直接制作生成。</w:t>
      </w:r>
    </w:p>
    <w:p w14:paraId="3B28662E">
      <w:pPr>
        <w:spacing w:line="400" w:lineRule="exact"/>
        <w:ind w:firstLine="420" w:firstLineChars="200"/>
        <w:rPr>
          <w:color w:val="auto"/>
          <w:highlight w:val="none"/>
        </w:rPr>
      </w:pPr>
      <w:r>
        <w:rPr>
          <w:rFonts w:hint="eastAsia"/>
          <w:color w:val="auto"/>
          <w:highlight w:val="none"/>
        </w:rPr>
        <w:t>（</w:t>
      </w:r>
      <w:r>
        <w:rPr>
          <w:color w:val="auto"/>
          <w:highlight w:val="none"/>
        </w:rPr>
        <w:t>4</w:t>
      </w:r>
      <w:r>
        <w:rPr>
          <w:rFonts w:hint="eastAsia"/>
          <w:color w:val="auto"/>
          <w:highlight w:val="none"/>
        </w:rPr>
        <w:t>）电子投标文件中的已标价工程量清单数据文件</w:t>
      </w:r>
      <w:r>
        <w:rPr>
          <w:rFonts w:hint="eastAsia"/>
          <w:color w:val="auto"/>
          <w:szCs w:val="21"/>
          <w:highlight w:val="none"/>
        </w:rPr>
        <w:t>应符合《湖北省建设工程造价应用软件数据交换规范》和</w:t>
      </w:r>
      <w:r>
        <w:rPr>
          <w:rFonts w:hint="eastAsia"/>
          <w:color w:val="auto"/>
          <w:highlight w:val="none"/>
        </w:rPr>
        <w:t>《关于增加湖北省建设工程造价数据接口内容的通知》（鄂建标函</w:t>
      </w:r>
      <w:r>
        <w:rPr>
          <w:color w:val="auto"/>
          <w:highlight w:val="none"/>
        </w:rPr>
        <w:t>[2018]6</w:t>
      </w:r>
      <w:r>
        <w:rPr>
          <w:rFonts w:hint="eastAsia"/>
          <w:color w:val="auto"/>
          <w:highlight w:val="none"/>
        </w:rPr>
        <w:t>号）</w:t>
      </w:r>
      <w:r>
        <w:rPr>
          <w:rFonts w:hint="eastAsia"/>
          <w:color w:val="auto"/>
          <w:szCs w:val="21"/>
          <w:highlight w:val="none"/>
        </w:rPr>
        <w:t>的要求，采用</w:t>
      </w:r>
      <w:r>
        <w:rPr>
          <w:color w:val="auto"/>
          <w:szCs w:val="21"/>
          <w:highlight w:val="none"/>
        </w:rPr>
        <w:t>XML</w:t>
      </w:r>
      <w:r>
        <w:rPr>
          <w:rFonts w:hint="eastAsia"/>
          <w:color w:val="auto"/>
          <w:szCs w:val="21"/>
          <w:highlight w:val="none"/>
        </w:rPr>
        <w:t>格式。</w:t>
      </w:r>
      <w:r>
        <w:rPr>
          <w:rFonts w:hint="eastAsia"/>
          <w:color w:val="auto"/>
          <w:highlight w:val="none"/>
        </w:rPr>
        <w:t>电子投标文件中</w:t>
      </w:r>
      <w:r>
        <w:rPr>
          <w:rFonts w:hint="eastAsia"/>
          <w:color w:val="auto"/>
          <w:szCs w:val="21"/>
          <w:highlight w:val="none"/>
        </w:rPr>
        <w:t>只能包含一个</w:t>
      </w:r>
      <w:r>
        <w:rPr>
          <w:color w:val="auto"/>
          <w:szCs w:val="21"/>
          <w:highlight w:val="none"/>
        </w:rPr>
        <w:t>X</w:t>
      </w:r>
      <w:r>
        <w:rPr>
          <w:color w:val="auto"/>
          <w:highlight w:val="none"/>
        </w:rPr>
        <w:t>ML</w:t>
      </w:r>
      <w:r>
        <w:rPr>
          <w:rFonts w:hint="eastAsia"/>
          <w:color w:val="auto"/>
          <w:highlight w:val="none"/>
        </w:rPr>
        <w:t>或</w:t>
      </w:r>
      <w:r>
        <w:rPr>
          <w:color w:val="auto"/>
          <w:highlight w:val="none"/>
        </w:rPr>
        <w:t>HBTB</w:t>
      </w:r>
      <w:r>
        <w:rPr>
          <w:rFonts w:hint="eastAsia"/>
          <w:color w:val="auto"/>
          <w:szCs w:val="21"/>
          <w:highlight w:val="none"/>
        </w:rPr>
        <w:t>文件，多个专业分别编制时，应汇总合并为一个</w:t>
      </w:r>
      <w:r>
        <w:rPr>
          <w:color w:val="auto"/>
          <w:szCs w:val="21"/>
          <w:highlight w:val="none"/>
        </w:rPr>
        <w:t>XM</w:t>
      </w:r>
      <w:r>
        <w:rPr>
          <w:color w:val="auto"/>
          <w:highlight w:val="none"/>
        </w:rPr>
        <w:t>L</w:t>
      </w:r>
      <w:r>
        <w:rPr>
          <w:rFonts w:hint="eastAsia"/>
          <w:color w:val="auto"/>
          <w:highlight w:val="none"/>
        </w:rPr>
        <w:t>或</w:t>
      </w:r>
      <w:r>
        <w:rPr>
          <w:color w:val="auto"/>
          <w:highlight w:val="none"/>
        </w:rPr>
        <w:t>HBTB</w:t>
      </w:r>
      <w:r>
        <w:rPr>
          <w:rFonts w:hint="eastAsia"/>
          <w:color w:val="auto"/>
          <w:szCs w:val="21"/>
          <w:highlight w:val="none"/>
        </w:rPr>
        <w:t>文件</w:t>
      </w:r>
      <w:r>
        <w:rPr>
          <w:rFonts w:hint="eastAsia"/>
          <w:color w:val="auto"/>
          <w:highlight w:val="none"/>
        </w:rPr>
        <w:t>导入</w:t>
      </w:r>
      <w:r>
        <w:rPr>
          <w:rFonts w:hint="eastAsia"/>
          <w:color w:val="auto"/>
          <w:szCs w:val="21"/>
          <w:highlight w:val="none"/>
        </w:rPr>
        <w:t>。</w:t>
      </w:r>
    </w:p>
    <w:p w14:paraId="2541A1FB">
      <w:pPr>
        <w:spacing w:line="400" w:lineRule="exact"/>
        <w:ind w:firstLine="420" w:firstLineChars="200"/>
        <w:rPr>
          <w:color w:val="auto"/>
          <w:highlight w:val="none"/>
        </w:rPr>
      </w:pPr>
      <w:r>
        <w:rPr>
          <w:rFonts w:hint="eastAsia"/>
          <w:color w:val="auto"/>
          <w:highlight w:val="none"/>
        </w:rPr>
        <w:t>（</w:t>
      </w:r>
      <w:r>
        <w:rPr>
          <w:color w:val="auto"/>
          <w:highlight w:val="none"/>
        </w:rPr>
        <w:t>5</w:t>
      </w:r>
      <w:r>
        <w:rPr>
          <w:rFonts w:hint="eastAsia"/>
          <w:color w:val="auto"/>
          <w:highlight w:val="none"/>
        </w:rPr>
        <w:t>）第八章投标文件格式文件要求“盖单位章”的地方，投标人应使用</w:t>
      </w:r>
      <w:r>
        <w:rPr>
          <w:color w:val="auto"/>
          <w:highlight w:val="none"/>
        </w:rPr>
        <w:t xml:space="preserve">CA </w:t>
      </w:r>
      <w:r>
        <w:rPr>
          <w:rFonts w:hint="eastAsia"/>
          <w:color w:val="auto"/>
          <w:highlight w:val="none"/>
        </w:rPr>
        <w:t>数字证书加盖投标人的单位电子印章；要求“签字”的地方，投标人应使用</w:t>
      </w:r>
      <w:r>
        <w:rPr>
          <w:color w:val="auto"/>
          <w:highlight w:val="none"/>
        </w:rPr>
        <w:t xml:space="preserve">CA </w:t>
      </w:r>
      <w:r>
        <w:rPr>
          <w:rFonts w:hint="eastAsia"/>
          <w:color w:val="auto"/>
          <w:highlight w:val="none"/>
        </w:rPr>
        <w:t>数字证书加盖法定代表人的个人电子印章或电子签名章。</w:t>
      </w:r>
      <w:r>
        <w:rPr>
          <w:rFonts w:hint="eastAsia" w:ascii="宋体" w:hAnsi="宋体"/>
          <w:color w:val="auto"/>
          <w:highlight w:val="none"/>
        </w:rPr>
        <w:t>联合体投标的，投标文件由联合体牵头人按上述规定在要求</w:t>
      </w:r>
      <w:r>
        <w:rPr>
          <w:rFonts w:hint="eastAsia"/>
          <w:color w:val="auto"/>
          <w:highlight w:val="none"/>
        </w:rPr>
        <w:t>“盖单位章”的地方</w:t>
      </w:r>
      <w:r>
        <w:rPr>
          <w:rFonts w:hint="eastAsia" w:ascii="宋体" w:hAnsi="宋体"/>
          <w:color w:val="auto"/>
          <w:highlight w:val="none"/>
        </w:rPr>
        <w:t>加盖联合体牵头人单位电子印章；在</w:t>
      </w:r>
      <w:r>
        <w:rPr>
          <w:rFonts w:hint="eastAsia"/>
          <w:color w:val="auto"/>
          <w:highlight w:val="none"/>
        </w:rPr>
        <w:t>要求“签字”的地方加盖</w:t>
      </w:r>
      <w:r>
        <w:rPr>
          <w:rFonts w:hint="eastAsia" w:ascii="宋体" w:hAnsi="宋体"/>
          <w:color w:val="auto"/>
          <w:highlight w:val="none"/>
        </w:rPr>
        <w:t>联合体牵头人法定代表人的个人电子印章或电子签名章。</w:t>
      </w:r>
      <w:r>
        <w:rPr>
          <w:rFonts w:hint="eastAsia"/>
          <w:color w:val="auto"/>
          <w:highlight w:val="none"/>
        </w:rPr>
        <w:t>招标文件有特别说明的除外。</w:t>
      </w:r>
    </w:p>
    <w:p w14:paraId="0EC59150">
      <w:pPr>
        <w:spacing w:line="400" w:lineRule="exact"/>
        <w:ind w:firstLine="420" w:firstLineChars="200"/>
        <w:rPr>
          <w:color w:val="auto"/>
          <w:highlight w:val="none"/>
        </w:rPr>
      </w:pPr>
      <w:r>
        <w:rPr>
          <w:rFonts w:hint="eastAsia"/>
          <w:color w:val="auto"/>
          <w:highlight w:val="none"/>
        </w:rPr>
        <w:t>（</w:t>
      </w:r>
      <w:r>
        <w:rPr>
          <w:color w:val="auto"/>
          <w:highlight w:val="none"/>
        </w:rPr>
        <w:t>6</w:t>
      </w:r>
      <w:r>
        <w:rPr>
          <w:rFonts w:hint="eastAsia"/>
          <w:color w:val="auto"/>
          <w:highlight w:val="none"/>
        </w:rPr>
        <w:t>）电子投标文件制作完成后，将生成一份加密的电子投标文件（后缀名为</w:t>
      </w:r>
      <w:r>
        <w:rPr>
          <w:color w:val="auto"/>
          <w:highlight w:val="none"/>
        </w:rPr>
        <w:t>. DYTF</w:t>
      </w:r>
      <w:r>
        <w:rPr>
          <w:rFonts w:hint="eastAsia"/>
          <w:color w:val="auto"/>
          <w:highlight w:val="none"/>
        </w:rPr>
        <w:t>）和一份不加密的电子投标文件（后缀名为</w:t>
      </w:r>
      <w:r>
        <w:rPr>
          <w:color w:val="auto"/>
          <w:highlight w:val="none"/>
        </w:rPr>
        <w:t>.NDYTF</w:t>
      </w:r>
      <w:r>
        <w:rPr>
          <w:rFonts w:hint="eastAsia"/>
          <w:color w:val="auto"/>
          <w:highlight w:val="none"/>
        </w:rPr>
        <w:t>）。</w:t>
      </w:r>
    </w:p>
    <w:p w14:paraId="60E7CA78">
      <w:pPr>
        <w:spacing w:line="400" w:lineRule="exact"/>
        <w:ind w:firstLine="420" w:firstLineChars="200"/>
        <w:rPr>
          <w:color w:val="auto"/>
          <w:highlight w:val="none"/>
        </w:rPr>
      </w:pPr>
      <w:r>
        <w:rPr>
          <w:rFonts w:hint="eastAsia"/>
          <w:color w:val="auto"/>
          <w:highlight w:val="none"/>
        </w:rPr>
        <w:t>（</w:t>
      </w:r>
      <w:r>
        <w:rPr>
          <w:color w:val="auto"/>
          <w:highlight w:val="none"/>
        </w:rPr>
        <w:t>7</w:t>
      </w:r>
      <w:r>
        <w:rPr>
          <w:rFonts w:hint="eastAsia"/>
          <w:color w:val="auto"/>
          <w:highlight w:val="none"/>
        </w:rPr>
        <w:t>）电子投标文件制作的具体方法详见“电子投标文件制作软件”中的帮助文档。</w:t>
      </w:r>
    </w:p>
    <w:p w14:paraId="6B29921C">
      <w:pPr>
        <w:spacing w:line="420" w:lineRule="exact"/>
        <w:ind w:firstLine="420" w:firstLineChars="200"/>
        <w:rPr>
          <w:color w:val="auto"/>
          <w:szCs w:val="21"/>
          <w:highlight w:val="none"/>
        </w:rPr>
      </w:pPr>
      <w:r>
        <w:rPr>
          <w:color w:val="auto"/>
          <w:highlight w:val="none"/>
        </w:rPr>
        <w:t>3.7.4</w:t>
      </w:r>
      <w:r>
        <w:rPr>
          <w:color w:val="auto"/>
          <w:szCs w:val="21"/>
          <w:highlight w:val="none"/>
        </w:rPr>
        <w:t xml:space="preserve"> </w:t>
      </w:r>
      <w:r>
        <w:rPr>
          <w:rFonts w:hint="eastAsia"/>
          <w:color w:val="auto"/>
          <w:szCs w:val="21"/>
          <w:highlight w:val="none"/>
        </w:rPr>
        <w:t>投标人须知前附表规定“施工组织设计”采用无标识“技术暗标”时，则“施工组织设计”按本章第</w:t>
      </w:r>
      <w:r>
        <w:rPr>
          <w:color w:val="auto"/>
          <w:szCs w:val="21"/>
          <w:highlight w:val="none"/>
        </w:rPr>
        <w:t>3.7.3</w:t>
      </w:r>
      <w:r>
        <w:rPr>
          <w:rFonts w:hint="eastAsia"/>
          <w:color w:val="auto"/>
          <w:szCs w:val="21"/>
          <w:highlight w:val="none"/>
        </w:rPr>
        <w:t>项制作</w:t>
      </w:r>
      <w:r>
        <w:rPr>
          <w:rFonts w:hint="eastAsia"/>
          <w:color w:val="auto"/>
          <w:highlight w:val="none"/>
        </w:rPr>
        <w:t>电子投标文件</w:t>
      </w:r>
      <w:r>
        <w:rPr>
          <w:rFonts w:hint="eastAsia"/>
          <w:color w:val="auto"/>
          <w:szCs w:val="21"/>
          <w:highlight w:val="none"/>
        </w:rPr>
        <w:t>时应满足下列要求：</w:t>
      </w:r>
    </w:p>
    <w:p w14:paraId="7C9B3222">
      <w:pPr>
        <w:spacing w:line="400" w:lineRule="exact"/>
        <w:ind w:firstLine="420" w:firstLineChars="200"/>
        <w:rPr>
          <w:color w:val="auto"/>
          <w:szCs w:val="24"/>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r>
        <w:rPr>
          <w:rFonts w:hint="eastAsia" w:ascii="宋体" w:hAnsi="宋体"/>
          <w:color w:val="auto"/>
          <w:szCs w:val="21"/>
          <w:highlight w:val="none"/>
        </w:rPr>
        <w:t xml:space="preserve"> 封面设置要求：</w:t>
      </w:r>
      <w:r>
        <w:rPr>
          <w:rFonts w:hint="eastAsia"/>
          <w:color w:val="auto"/>
          <w:szCs w:val="21"/>
          <w:highlight w:val="none"/>
        </w:rPr>
        <w:t>采用</w:t>
      </w:r>
      <w:r>
        <w:rPr>
          <w:color w:val="auto"/>
          <w:szCs w:val="21"/>
          <w:highlight w:val="none"/>
        </w:rPr>
        <w:t>A4</w:t>
      </w:r>
      <w:r>
        <w:rPr>
          <w:rFonts w:hint="eastAsia"/>
          <w:color w:val="auto"/>
          <w:szCs w:val="21"/>
          <w:highlight w:val="none"/>
        </w:rPr>
        <w:t>规格白色底色，</w:t>
      </w:r>
      <w:r>
        <w:rPr>
          <w:rFonts w:hint="eastAsia"/>
          <w:color w:val="auto"/>
          <w:highlight w:val="none"/>
        </w:rPr>
        <w:t>写明“</w:t>
      </w:r>
      <w:r>
        <w:rPr>
          <w:color w:val="auto"/>
          <w:highlight w:val="none"/>
          <w:u w:val="single"/>
        </w:rPr>
        <w:t xml:space="preserve">     </w:t>
      </w:r>
      <w:r>
        <w:rPr>
          <w:rFonts w:hint="eastAsia"/>
          <w:color w:val="auto"/>
          <w:highlight w:val="none"/>
        </w:rPr>
        <w:t>（项目名称）</w:t>
      </w:r>
      <w:r>
        <w:rPr>
          <w:color w:val="auto"/>
          <w:highlight w:val="none"/>
          <w:u w:val="single"/>
        </w:rPr>
        <w:t xml:space="preserve">   </w:t>
      </w:r>
      <w:r>
        <w:rPr>
          <w:color w:val="auto"/>
          <w:highlight w:val="none"/>
        </w:rPr>
        <w:t xml:space="preserve"> (</w:t>
      </w:r>
      <w:r>
        <w:rPr>
          <w:rFonts w:hint="eastAsia"/>
          <w:color w:val="auto"/>
          <w:highlight w:val="none"/>
        </w:rPr>
        <w:t>标</w:t>
      </w:r>
      <w:r>
        <w:rPr>
          <w:rFonts w:hint="eastAsia"/>
          <w:color w:val="auto"/>
          <w:szCs w:val="21"/>
          <w:highlight w:val="none"/>
        </w:rPr>
        <w:t>段名称</w:t>
      </w:r>
      <w:r>
        <w:rPr>
          <w:color w:val="auto"/>
          <w:szCs w:val="21"/>
          <w:highlight w:val="none"/>
        </w:rPr>
        <w:t>)</w:t>
      </w:r>
      <w:r>
        <w:rPr>
          <w:rFonts w:hint="eastAsia"/>
          <w:color w:val="auto"/>
          <w:szCs w:val="21"/>
          <w:highlight w:val="none"/>
        </w:rPr>
        <w:t>施工组织设计”</w:t>
      </w:r>
      <w:r>
        <w:rPr>
          <w:rFonts w:hint="eastAsia"/>
          <w:color w:val="auto"/>
          <w:highlight w:val="none"/>
        </w:rPr>
        <w:t>字样，</w:t>
      </w:r>
      <w:r>
        <w:rPr>
          <w:rFonts w:hint="eastAsia"/>
          <w:color w:val="auto"/>
          <w:szCs w:val="21"/>
          <w:highlight w:val="none"/>
        </w:rPr>
        <w:t>文字为黑色二号宋体，可加粗</w:t>
      </w:r>
      <w:r>
        <w:rPr>
          <w:rFonts w:hint="eastAsia"/>
          <w:color w:val="auto"/>
          <w:highlight w:val="none"/>
        </w:rPr>
        <w:t>；</w:t>
      </w:r>
    </w:p>
    <w:p w14:paraId="07D861F8">
      <w:pPr>
        <w:spacing w:line="420" w:lineRule="exact"/>
        <w:ind w:firstLine="420" w:firstLineChars="200"/>
        <w:rPr>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w:t>
      </w:r>
      <w:r>
        <w:rPr>
          <w:color w:val="auto"/>
          <w:szCs w:val="21"/>
          <w:highlight w:val="none"/>
        </w:rPr>
        <w:t xml:space="preserve"> </w:t>
      </w:r>
      <w:r>
        <w:rPr>
          <w:rFonts w:hint="eastAsia" w:ascii="宋体" w:hAnsi="宋体"/>
          <w:color w:val="auto"/>
          <w:szCs w:val="21"/>
          <w:highlight w:val="none"/>
        </w:rPr>
        <w:t>目录、正文标题（包括章、节、条、款、项）、正文要求：</w:t>
      </w:r>
      <w:r>
        <w:rPr>
          <w:rFonts w:hint="eastAsia"/>
          <w:color w:val="auto"/>
          <w:szCs w:val="21"/>
          <w:highlight w:val="none"/>
        </w:rPr>
        <w:t>采用</w:t>
      </w:r>
      <w:r>
        <w:rPr>
          <w:color w:val="auto"/>
          <w:szCs w:val="21"/>
          <w:highlight w:val="none"/>
        </w:rPr>
        <w:t>A4</w:t>
      </w:r>
      <w:r>
        <w:rPr>
          <w:rFonts w:hint="eastAsia"/>
          <w:color w:val="auto"/>
          <w:szCs w:val="21"/>
          <w:highlight w:val="none"/>
        </w:rPr>
        <w:t>规格白色底色，文字为黑色小四号宋体，标题可加粗；</w:t>
      </w:r>
    </w:p>
    <w:p w14:paraId="3B5F7437">
      <w:pPr>
        <w:spacing w:line="420" w:lineRule="exact"/>
        <w:ind w:firstLine="420" w:firstLineChars="200"/>
        <w:rPr>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w:t>
      </w:r>
      <w:r>
        <w:rPr>
          <w:color w:val="auto"/>
          <w:szCs w:val="21"/>
          <w:highlight w:val="none"/>
        </w:rPr>
        <w:t xml:space="preserve"> </w:t>
      </w:r>
      <w:r>
        <w:rPr>
          <w:rFonts w:hint="eastAsia"/>
          <w:color w:val="auto"/>
          <w:szCs w:val="21"/>
          <w:highlight w:val="none"/>
        </w:rPr>
        <w:t>图表要求：</w:t>
      </w:r>
      <w:r>
        <w:rPr>
          <w:rFonts w:hint="eastAsia" w:ascii="宋体" w:hAnsi="宋体"/>
          <w:color w:val="auto"/>
          <w:szCs w:val="21"/>
          <w:highlight w:val="none"/>
        </w:rPr>
        <w:t>图表应尽可能采用</w:t>
      </w:r>
      <w:r>
        <w:rPr>
          <w:color w:val="auto"/>
          <w:szCs w:val="21"/>
          <w:highlight w:val="none"/>
        </w:rPr>
        <w:t>A4</w:t>
      </w:r>
      <w:r>
        <w:rPr>
          <w:rFonts w:hint="eastAsia"/>
          <w:color w:val="auto"/>
          <w:szCs w:val="21"/>
          <w:highlight w:val="none"/>
        </w:rPr>
        <w:t>规格白色底色，</w:t>
      </w:r>
      <w:r>
        <w:rPr>
          <w:rFonts w:hint="eastAsia" w:ascii="宋体" w:hAnsi="宋体"/>
          <w:color w:val="auto"/>
          <w:szCs w:val="21"/>
          <w:highlight w:val="none"/>
        </w:rPr>
        <w:t>对于比较大的图表可使用A3</w:t>
      </w:r>
      <w:r>
        <w:rPr>
          <w:rFonts w:hint="eastAsia"/>
          <w:color w:val="auto"/>
          <w:szCs w:val="21"/>
          <w:highlight w:val="none"/>
        </w:rPr>
        <w:t>规格白色底色。</w:t>
      </w:r>
      <w:r>
        <w:rPr>
          <w:rFonts w:hint="eastAsia" w:ascii="宋体" w:hAnsi="宋体"/>
          <w:color w:val="auto"/>
          <w:szCs w:val="21"/>
          <w:highlight w:val="none"/>
        </w:rPr>
        <w:t>图表中的文字采用</w:t>
      </w:r>
      <w:r>
        <w:rPr>
          <w:rFonts w:hint="eastAsia"/>
          <w:color w:val="auto"/>
          <w:szCs w:val="21"/>
          <w:highlight w:val="none"/>
        </w:rPr>
        <w:t>黑色</w:t>
      </w:r>
      <w:r>
        <w:rPr>
          <w:rFonts w:hint="eastAsia" w:ascii="宋体" w:hAnsi="宋体"/>
          <w:color w:val="auto"/>
          <w:szCs w:val="21"/>
          <w:highlight w:val="none"/>
        </w:rPr>
        <w:t>，字体、字号不限；</w:t>
      </w:r>
    </w:p>
    <w:p w14:paraId="5BA67CDB">
      <w:pPr>
        <w:spacing w:line="420" w:lineRule="exact"/>
        <w:ind w:firstLine="420" w:firstLineChars="200"/>
        <w:rPr>
          <w:color w:val="auto"/>
          <w:szCs w:val="21"/>
          <w:highlight w:val="none"/>
        </w:rPr>
      </w:pPr>
      <w:r>
        <w:rPr>
          <w:rFonts w:hint="eastAsia"/>
          <w:color w:val="auto"/>
          <w:szCs w:val="21"/>
          <w:highlight w:val="none"/>
        </w:rPr>
        <w:t>（</w:t>
      </w:r>
      <w:r>
        <w:rPr>
          <w:color w:val="auto"/>
          <w:szCs w:val="21"/>
          <w:highlight w:val="none"/>
        </w:rPr>
        <w:t>4</w:t>
      </w:r>
      <w:r>
        <w:rPr>
          <w:rFonts w:hint="eastAsia"/>
          <w:color w:val="auto"/>
          <w:szCs w:val="21"/>
          <w:highlight w:val="none"/>
        </w:rPr>
        <w:t>）</w:t>
      </w:r>
      <w:r>
        <w:rPr>
          <w:color w:val="auto"/>
          <w:szCs w:val="21"/>
          <w:highlight w:val="none"/>
        </w:rPr>
        <w:t xml:space="preserve"> </w:t>
      </w:r>
      <w:r>
        <w:rPr>
          <w:rFonts w:hint="eastAsia" w:ascii="宋体" w:hAnsi="宋体"/>
          <w:color w:val="auto"/>
          <w:szCs w:val="21"/>
          <w:highlight w:val="none"/>
        </w:rPr>
        <w:t>页眉和页脚（包括页码）设置要求：不允许出现页眉，且页脚只准出现页码，页码格式采用阿拉伯数字格式，字体为五号宋体，设在页脚居中位置，页码应当连续</w:t>
      </w:r>
      <w:r>
        <w:rPr>
          <w:rFonts w:hint="eastAsia"/>
          <w:color w:val="auto"/>
          <w:szCs w:val="21"/>
          <w:highlight w:val="none"/>
        </w:rPr>
        <w:t>；</w:t>
      </w:r>
    </w:p>
    <w:p w14:paraId="4797A471">
      <w:pPr>
        <w:spacing w:line="420" w:lineRule="exact"/>
        <w:ind w:firstLine="420" w:firstLineChars="200"/>
        <w:rPr>
          <w:color w:val="auto"/>
          <w:szCs w:val="21"/>
          <w:highlight w:val="none"/>
        </w:rPr>
      </w:pPr>
      <w:r>
        <w:rPr>
          <w:rFonts w:hint="eastAsia"/>
          <w:color w:val="auto"/>
          <w:szCs w:val="21"/>
          <w:highlight w:val="none"/>
        </w:rPr>
        <w:t>（</w:t>
      </w:r>
      <w:r>
        <w:rPr>
          <w:color w:val="auto"/>
          <w:szCs w:val="21"/>
          <w:highlight w:val="none"/>
        </w:rPr>
        <w:t>5</w:t>
      </w:r>
      <w:r>
        <w:rPr>
          <w:rFonts w:hint="eastAsia"/>
          <w:color w:val="auto"/>
          <w:szCs w:val="21"/>
          <w:highlight w:val="none"/>
        </w:rPr>
        <w:t>）</w:t>
      </w:r>
      <w:r>
        <w:rPr>
          <w:color w:val="auto"/>
          <w:szCs w:val="21"/>
          <w:highlight w:val="none"/>
        </w:rPr>
        <w:t xml:space="preserve"> </w:t>
      </w:r>
      <w:r>
        <w:rPr>
          <w:rFonts w:hint="eastAsia"/>
          <w:color w:val="auto"/>
          <w:szCs w:val="21"/>
          <w:highlight w:val="none"/>
        </w:rPr>
        <w:t>任何情况下，施工组织设计中不得出现投标人的名称和其它可识别投标人身份的字符、徽标、人员名称等。</w:t>
      </w:r>
    </w:p>
    <w:p w14:paraId="520D4F25">
      <w:pPr>
        <w:pStyle w:val="31"/>
        <w:rPr>
          <w:color w:val="auto"/>
          <w:highlight w:val="none"/>
        </w:rPr>
      </w:pPr>
      <w:bookmarkStart w:id="267" w:name="_Toc18903"/>
      <w:bookmarkStart w:id="268" w:name="_Toc179632573"/>
      <w:bookmarkStart w:id="269" w:name="_Toc152042331"/>
      <w:bookmarkStart w:id="270" w:name="_Toc28531708"/>
      <w:bookmarkStart w:id="271" w:name="_Toc152045555"/>
      <w:bookmarkStart w:id="272" w:name="_Toc144974523"/>
      <w:r>
        <w:rPr>
          <w:color w:val="auto"/>
          <w:highlight w:val="none"/>
        </w:rPr>
        <w:t xml:space="preserve">4. </w:t>
      </w:r>
      <w:r>
        <w:rPr>
          <w:rFonts w:hint="eastAsia"/>
          <w:color w:val="auto"/>
          <w:highlight w:val="none"/>
        </w:rPr>
        <w:t>投标</w:t>
      </w:r>
      <w:bookmarkEnd w:id="267"/>
      <w:bookmarkEnd w:id="268"/>
      <w:bookmarkEnd w:id="269"/>
      <w:bookmarkEnd w:id="270"/>
      <w:bookmarkEnd w:id="271"/>
      <w:bookmarkEnd w:id="272"/>
    </w:p>
    <w:p w14:paraId="03D785BC">
      <w:pPr>
        <w:pStyle w:val="33"/>
        <w:rPr>
          <w:color w:val="auto"/>
          <w:highlight w:val="none"/>
        </w:rPr>
      </w:pPr>
      <w:bookmarkStart w:id="273" w:name="_Toc144974524"/>
      <w:bookmarkStart w:id="274" w:name="_Toc152045556"/>
      <w:bookmarkStart w:id="275" w:name="_Toc179632574"/>
      <w:bookmarkStart w:id="276" w:name="_Toc152042332"/>
      <w:bookmarkStart w:id="277" w:name="_Toc32487"/>
      <w:bookmarkStart w:id="278" w:name="_Toc28531709"/>
      <w:r>
        <w:rPr>
          <w:color w:val="auto"/>
          <w:highlight w:val="none"/>
        </w:rPr>
        <w:t xml:space="preserve">4.1 </w:t>
      </w:r>
      <w:r>
        <w:rPr>
          <w:rFonts w:hint="eastAsia"/>
          <w:color w:val="auto"/>
          <w:highlight w:val="none"/>
        </w:rPr>
        <w:t>投标文件的</w:t>
      </w:r>
      <w:bookmarkEnd w:id="273"/>
      <w:bookmarkEnd w:id="274"/>
      <w:bookmarkEnd w:id="275"/>
      <w:bookmarkEnd w:id="276"/>
      <w:r>
        <w:rPr>
          <w:rFonts w:hint="eastAsia"/>
          <w:color w:val="auto"/>
          <w:highlight w:val="none"/>
        </w:rPr>
        <w:t>加密</w:t>
      </w:r>
      <w:bookmarkEnd w:id="277"/>
      <w:bookmarkEnd w:id="278"/>
    </w:p>
    <w:p w14:paraId="3A289520">
      <w:pPr>
        <w:spacing w:line="400" w:lineRule="exact"/>
        <w:ind w:firstLine="420" w:firstLineChars="200"/>
        <w:rPr>
          <w:color w:val="auto"/>
          <w:highlight w:val="none"/>
        </w:rPr>
      </w:pPr>
      <w:r>
        <w:rPr>
          <w:rFonts w:hint="eastAsia"/>
          <w:color w:val="auto"/>
          <w:highlight w:val="none"/>
        </w:rPr>
        <w:t>投标人应当按照本章第</w:t>
      </w:r>
      <w:r>
        <w:rPr>
          <w:color w:val="auto"/>
          <w:highlight w:val="none"/>
        </w:rPr>
        <w:t>3.7.3</w:t>
      </w:r>
      <w:r>
        <w:rPr>
          <w:rFonts w:hint="eastAsia"/>
          <w:color w:val="auto"/>
          <w:highlight w:val="none"/>
        </w:rPr>
        <w:t>项要求制作电子投标文件，并在投标时上传</w:t>
      </w:r>
      <w:r>
        <w:rPr>
          <w:rFonts w:hint="eastAsia"/>
          <w:b/>
          <w:color w:val="auto"/>
          <w:highlight w:val="none"/>
        </w:rPr>
        <w:t>加密的电子投标文件</w:t>
      </w:r>
      <w:r>
        <w:rPr>
          <w:rFonts w:hint="eastAsia"/>
          <w:color w:val="auto"/>
          <w:highlight w:val="none"/>
        </w:rPr>
        <w:t>，未加密的电子投标文件，招标人（“电子交易平台”）将拒收并提示。</w:t>
      </w:r>
    </w:p>
    <w:p w14:paraId="6E78F761">
      <w:pPr>
        <w:pStyle w:val="33"/>
        <w:rPr>
          <w:color w:val="auto"/>
          <w:highlight w:val="none"/>
        </w:rPr>
      </w:pPr>
      <w:bookmarkStart w:id="279" w:name="_Toc179632575"/>
      <w:bookmarkStart w:id="280" w:name="_Toc144974525"/>
      <w:bookmarkStart w:id="281" w:name="_Toc152045557"/>
      <w:bookmarkStart w:id="282" w:name="_Toc28531710"/>
      <w:bookmarkStart w:id="283" w:name="_Toc152042333"/>
      <w:bookmarkStart w:id="284" w:name="_Toc17549"/>
      <w:r>
        <w:rPr>
          <w:color w:val="auto"/>
          <w:highlight w:val="none"/>
        </w:rPr>
        <w:t xml:space="preserve">4.2 </w:t>
      </w:r>
      <w:r>
        <w:rPr>
          <w:rFonts w:hint="eastAsia"/>
          <w:color w:val="auto"/>
          <w:highlight w:val="none"/>
        </w:rPr>
        <w:t>投标文件的递交</w:t>
      </w:r>
      <w:bookmarkEnd w:id="279"/>
      <w:bookmarkEnd w:id="280"/>
      <w:bookmarkEnd w:id="281"/>
      <w:bookmarkEnd w:id="282"/>
      <w:bookmarkEnd w:id="283"/>
      <w:bookmarkEnd w:id="284"/>
    </w:p>
    <w:p w14:paraId="1DAD0C4D">
      <w:pPr>
        <w:spacing w:line="400" w:lineRule="exact"/>
        <w:ind w:firstLine="420" w:firstLineChars="200"/>
        <w:rPr>
          <w:color w:val="auto"/>
          <w:highlight w:val="none"/>
        </w:rPr>
      </w:pPr>
      <w:r>
        <w:rPr>
          <w:color w:val="auto"/>
          <w:highlight w:val="none"/>
        </w:rPr>
        <w:t xml:space="preserve">4.2.1 </w:t>
      </w:r>
      <w:r>
        <w:rPr>
          <w:rFonts w:hint="eastAsia"/>
          <w:color w:val="auto"/>
          <w:highlight w:val="none"/>
        </w:rPr>
        <w:t>投标人递交投标文件的截止时间（投标截止时间）：见投标人须知前附表。</w:t>
      </w:r>
    </w:p>
    <w:p w14:paraId="6BEAD099">
      <w:pPr>
        <w:spacing w:line="400" w:lineRule="exact"/>
        <w:ind w:firstLine="420" w:firstLineChars="200"/>
        <w:rPr>
          <w:color w:val="auto"/>
          <w:highlight w:val="none"/>
        </w:rPr>
      </w:pPr>
      <w:r>
        <w:rPr>
          <w:color w:val="auto"/>
          <w:highlight w:val="none"/>
        </w:rPr>
        <w:t xml:space="preserve">4.2.2 </w:t>
      </w:r>
      <w:r>
        <w:rPr>
          <w:rFonts w:hint="eastAsia"/>
          <w:color w:val="auto"/>
          <w:highlight w:val="none"/>
        </w:rPr>
        <w:t>投标人应当在投标截止时间前，通过互联网使用</w:t>
      </w:r>
      <w:r>
        <w:rPr>
          <w:color w:val="auto"/>
          <w:highlight w:val="none"/>
        </w:rPr>
        <w:t>CA</w:t>
      </w:r>
      <w:r>
        <w:rPr>
          <w:rFonts w:hint="eastAsia"/>
          <w:color w:val="auto"/>
          <w:highlight w:val="none"/>
        </w:rPr>
        <w:t>数字证书登录“电子交易平台”，选择所投标段将</w:t>
      </w:r>
      <w:r>
        <w:rPr>
          <w:rFonts w:hint="eastAsia"/>
          <w:b/>
          <w:color w:val="auto"/>
          <w:highlight w:val="none"/>
        </w:rPr>
        <w:t>加密的电子投标文件</w:t>
      </w:r>
      <w:r>
        <w:rPr>
          <w:rFonts w:hint="eastAsia"/>
          <w:color w:val="auto"/>
          <w:highlight w:val="none"/>
        </w:rPr>
        <w:t>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p>
    <w:p w14:paraId="1C52F18A">
      <w:pPr>
        <w:spacing w:line="400" w:lineRule="exact"/>
        <w:ind w:firstLine="420" w:firstLineChars="200"/>
        <w:rPr>
          <w:color w:val="auto"/>
          <w:highlight w:val="none"/>
        </w:rPr>
      </w:pPr>
      <w:r>
        <w:rPr>
          <w:color w:val="auto"/>
          <w:highlight w:val="none"/>
        </w:rPr>
        <w:t xml:space="preserve">4.2.3 </w:t>
      </w:r>
      <w:r>
        <w:rPr>
          <w:rFonts w:hint="eastAsia"/>
          <w:color w:val="auto"/>
          <w:highlight w:val="none"/>
        </w:rPr>
        <w:t>除投标人须知前附表另有规定外，投标人所递交的投标文件不予退还。</w:t>
      </w:r>
    </w:p>
    <w:p w14:paraId="0CAC8906">
      <w:pPr>
        <w:pStyle w:val="33"/>
        <w:rPr>
          <w:color w:val="auto"/>
          <w:highlight w:val="none"/>
        </w:rPr>
      </w:pPr>
      <w:bookmarkStart w:id="285" w:name="_Toc152042334"/>
      <w:bookmarkStart w:id="286" w:name="_Toc28531711"/>
      <w:bookmarkStart w:id="287" w:name="_Toc144974526"/>
      <w:bookmarkStart w:id="288" w:name="_Toc179632576"/>
      <w:bookmarkStart w:id="289" w:name="_Toc152045558"/>
      <w:bookmarkStart w:id="290" w:name="_Toc20811"/>
      <w:r>
        <w:rPr>
          <w:color w:val="auto"/>
          <w:highlight w:val="none"/>
        </w:rPr>
        <w:t xml:space="preserve">4.3 </w:t>
      </w:r>
      <w:r>
        <w:rPr>
          <w:rFonts w:hint="eastAsia"/>
          <w:color w:val="auto"/>
          <w:highlight w:val="none"/>
        </w:rPr>
        <w:t>投标文件的修改与撤回</w:t>
      </w:r>
      <w:bookmarkEnd w:id="285"/>
      <w:bookmarkEnd w:id="286"/>
      <w:bookmarkEnd w:id="287"/>
      <w:bookmarkEnd w:id="288"/>
      <w:bookmarkEnd w:id="289"/>
      <w:bookmarkEnd w:id="290"/>
    </w:p>
    <w:p w14:paraId="2530ACEA">
      <w:pPr>
        <w:spacing w:line="400" w:lineRule="exact"/>
        <w:ind w:firstLine="420" w:firstLineChars="200"/>
        <w:rPr>
          <w:color w:val="auto"/>
          <w:highlight w:val="none"/>
        </w:rPr>
      </w:pPr>
      <w:r>
        <w:rPr>
          <w:color w:val="auto"/>
          <w:highlight w:val="none"/>
        </w:rPr>
        <w:t xml:space="preserve">4.3.1 </w:t>
      </w:r>
      <w:r>
        <w:rPr>
          <w:rFonts w:hint="eastAsia"/>
          <w:color w:val="auto"/>
          <w:highlight w:val="none"/>
        </w:rPr>
        <w:t>在本章第</w:t>
      </w:r>
      <w:r>
        <w:rPr>
          <w:color w:val="auto"/>
          <w:highlight w:val="none"/>
        </w:rPr>
        <w:t>4.2.1</w:t>
      </w:r>
      <w:r>
        <w:rPr>
          <w:rFonts w:hint="eastAsia"/>
          <w:color w:val="auto"/>
          <w:highlight w:val="none"/>
        </w:rPr>
        <w:t>项规定的投标截止时间前，投标人可以修改或撤回已递交的投标文件。</w:t>
      </w:r>
    </w:p>
    <w:p w14:paraId="0FC2E49E">
      <w:pPr>
        <w:spacing w:line="400" w:lineRule="exact"/>
        <w:ind w:firstLine="420" w:firstLineChars="200"/>
        <w:rPr>
          <w:color w:val="auto"/>
          <w:highlight w:val="none"/>
        </w:rPr>
      </w:pPr>
      <w:r>
        <w:rPr>
          <w:color w:val="auto"/>
          <w:highlight w:val="none"/>
        </w:rPr>
        <w:t xml:space="preserve">4.3.2 </w:t>
      </w:r>
      <w:r>
        <w:rPr>
          <w:rFonts w:hint="eastAsia"/>
          <w:color w:val="auto"/>
          <w:highlight w:val="none"/>
        </w:rPr>
        <w:t>投标人撤回投标文件的，在“电子交易平台”直接进行撤回操作。</w:t>
      </w:r>
    </w:p>
    <w:p w14:paraId="1927966E">
      <w:pPr>
        <w:spacing w:line="400" w:lineRule="exact"/>
        <w:ind w:firstLine="420" w:firstLineChars="200"/>
        <w:rPr>
          <w:color w:val="auto"/>
          <w:highlight w:val="none"/>
        </w:rPr>
      </w:pPr>
      <w:r>
        <w:rPr>
          <w:color w:val="auto"/>
          <w:highlight w:val="none"/>
        </w:rPr>
        <w:t xml:space="preserve">4.3.3 </w:t>
      </w:r>
      <w:r>
        <w:rPr>
          <w:rFonts w:hint="eastAsia"/>
          <w:color w:val="auto"/>
          <w:highlight w:val="none"/>
        </w:rPr>
        <w:t>投标人修改投标文件的，应当先按本章第</w:t>
      </w:r>
      <w:r>
        <w:rPr>
          <w:color w:val="auto"/>
          <w:highlight w:val="none"/>
        </w:rPr>
        <w:t>4.3.2</w:t>
      </w:r>
      <w:r>
        <w:rPr>
          <w:rFonts w:hint="eastAsia"/>
          <w:color w:val="auto"/>
          <w:highlight w:val="none"/>
        </w:rPr>
        <w:t>项的规定撤回投标文件，再使用“电子投标文件制作软件</w:t>
      </w:r>
      <w:r>
        <w:rPr>
          <w:color w:val="auto"/>
          <w:highlight w:val="none"/>
        </w:rPr>
        <w:t>”</w:t>
      </w:r>
      <w:r>
        <w:rPr>
          <w:rFonts w:hint="eastAsia"/>
          <w:color w:val="auto"/>
          <w:highlight w:val="none"/>
        </w:rPr>
        <w:t>制作成完整的投标文件，并按照本章第</w:t>
      </w:r>
      <w:r>
        <w:rPr>
          <w:color w:val="auto"/>
          <w:highlight w:val="none"/>
        </w:rPr>
        <w:t>3</w:t>
      </w:r>
      <w:r>
        <w:rPr>
          <w:rFonts w:hint="eastAsia"/>
          <w:color w:val="auto"/>
          <w:highlight w:val="none"/>
        </w:rPr>
        <w:t>条、第</w:t>
      </w:r>
      <w:r>
        <w:rPr>
          <w:color w:val="auto"/>
          <w:highlight w:val="none"/>
        </w:rPr>
        <w:t>4</w:t>
      </w:r>
      <w:r>
        <w:rPr>
          <w:rFonts w:hint="eastAsia"/>
          <w:color w:val="auto"/>
          <w:highlight w:val="none"/>
        </w:rPr>
        <w:t>条规定进行编制和递交。</w:t>
      </w:r>
    </w:p>
    <w:p w14:paraId="0ED870EA">
      <w:pPr>
        <w:pStyle w:val="31"/>
        <w:rPr>
          <w:color w:val="auto"/>
          <w:highlight w:val="none"/>
        </w:rPr>
      </w:pPr>
      <w:bookmarkStart w:id="291" w:name="_Toc28531712"/>
      <w:bookmarkStart w:id="292" w:name="_Toc152045559"/>
      <w:bookmarkStart w:id="293" w:name="_Toc144974527"/>
      <w:bookmarkStart w:id="294" w:name="_Toc179632577"/>
      <w:bookmarkStart w:id="295" w:name="_Toc152042335"/>
      <w:bookmarkStart w:id="296" w:name="_Toc11633"/>
      <w:r>
        <w:rPr>
          <w:color w:val="auto"/>
          <w:highlight w:val="none"/>
        </w:rPr>
        <w:t xml:space="preserve">5. </w:t>
      </w:r>
      <w:r>
        <w:rPr>
          <w:rFonts w:hint="eastAsia"/>
          <w:color w:val="auto"/>
          <w:highlight w:val="none"/>
        </w:rPr>
        <w:t>开标</w:t>
      </w:r>
      <w:bookmarkEnd w:id="291"/>
      <w:bookmarkEnd w:id="292"/>
      <w:bookmarkEnd w:id="293"/>
      <w:bookmarkEnd w:id="294"/>
      <w:bookmarkEnd w:id="295"/>
      <w:bookmarkEnd w:id="296"/>
    </w:p>
    <w:p w14:paraId="792E5248">
      <w:pPr>
        <w:pStyle w:val="33"/>
        <w:rPr>
          <w:color w:val="auto"/>
          <w:highlight w:val="none"/>
        </w:rPr>
      </w:pPr>
      <w:bookmarkStart w:id="297" w:name="_Toc152042336"/>
      <w:bookmarkStart w:id="298" w:name="_Toc144974528"/>
      <w:bookmarkStart w:id="299" w:name="_Toc179632578"/>
      <w:bookmarkStart w:id="300" w:name="_Toc152045560"/>
      <w:bookmarkStart w:id="301" w:name="_Toc28531713"/>
      <w:bookmarkStart w:id="302" w:name="_Toc32656"/>
      <w:r>
        <w:rPr>
          <w:color w:val="auto"/>
          <w:highlight w:val="none"/>
        </w:rPr>
        <w:t xml:space="preserve">5.1 </w:t>
      </w:r>
      <w:r>
        <w:rPr>
          <w:rFonts w:hint="eastAsia"/>
          <w:color w:val="auto"/>
          <w:highlight w:val="none"/>
        </w:rPr>
        <w:t>开标时间和地点</w:t>
      </w:r>
      <w:bookmarkEnd w:id="297"/>
      <w:bookmarkEnd w:id="298"/>
      <w:bookmarkEnd w:id="299"/>
      <w:bookmarkEnd w:id="300"/>
      <w:bookmarkEnd w:id="301"/>
      <w:bookmarkEnd w:id="302"/>
    </w:p>
    <w:p w14:paraId="7A926E1C">
      <w:pPr>
        <w:spacing w:line="400" w:lineRule="exact"/>
        <w:ind w:firstLine="420" w:firstLineChars="200"/>
        <w:rPr>
          <w:color w:val="auto"/>
          <w:highlight w:val="none"/>
        </w:rPr>
      </w:pPr>
      <w:r>
        <w:rPr>
          <w:color w:val="auto"/>
          <w:highlight w:val="none"/>
        </w:rPr>
        <w:t xml:space="preserve">5.1.1 </w:t>
      </w:r>
      <w:r>
        <w:rPr>
          <w:rFonts w:hint="eastAsia"/>
          <w:color w:val="auto"/>
          <w:highlight w:val="none"/>
        </w:rPr>
        <w:t>招标人在本章第</w:t>
      </w:r>
      <w:r>
        <w:rPr>
          <w:color w:val="auto"/>
          <w:highlight w:val="none"/>
        </w:rPr>
        <w:t>4.2.1</w:t>
      </w:r>
      <w:r>
        <w:rPr>
          <w:rFonts w:hint="eastAsia"/>
          <w:color w:val="auto"/>
          <w:highlight w:val="none"/>
        </w:rPr>
        <w:t>项规定的投标截止时间（开标时间）</w:t>
      </w:r>
      <w:r>
        <w:rPr>
          <w:rFonts w:hint="eastAsia"/>
          <w:bCs/>
          <w:iCs/>
          <w:color w:val="auto"/>
          <w:highlight w:val="none"/>
        </w:rPr>
        <w:t>在</w:t>
      </w:r>
      <w:r>
        <w:rPr>
          <w:rFonts w:hint="eastAsia"/>
          <w:color w:val="auto"/>
          <w:highlight w:val="none"/>
        </w:rPr>
        <w:t>“电子交易平台”</w:t>
      </w:r>
      <w:r>
        <w:rPr>
          <w:rFonts w:hint="eastAsia"/>
          <w:bCs/>
          <w:iCs/>
          <w:color w:val="auto"/>
          <w:highlight w:val="none"/>
        </w:rPr>
        <w:t>上</w:t>
      </w:r>
      <w:r>
        <w:rPr>
          <w:rFonts w:hint="eastAsia"/>
          <w:color w:val="auto"/>
          <w:highlight w:val="none"/>
        </w:rPr>
        <w:t>公开进行开标，</w:t>
      </w:r>
      <w:r>
        <w:rPr>
          <w:rFonts w:hint="eastAsia"/>
          <w:bCs/>
          <w:iCs/>
          <w:color w:val="auto"/>
          <w:highlight w:val="none"/>
        </w:rPr>
        <w:t>所有投标人均</w:t>
      </w:r>
      <w:r>
        <w:rPr>
          <w:rFonts w:hint="eastAsia"/>
          <w:b/>
          <w:bCs/>
          <w:iCs/>
          <w:color w:val="auto"/>
          <w:highlight w:val="none"/>
        </w:rPr>
        <w:t>应当准时在线参加开标</w:t>
      </w:r>
      <w:r>
        <w:rPr>
          <w:rFonts w:hint="eastAsia"/>
          <w:color w:val="auto"/>
          <w:highlight w:val="none"/>
        </w:rPr>
        <w:t>。</w:t>
      </w:r>
    </w:p>
    <w:p w14:paraId="074A3194">
      <w:pPr>
        <w:spacing w:line="400" w:lineRule="exact"/>
        <w:ind w:firstLine="420" w:firstLineChars="200"/>
        <w:rPr>
          <w:color w:val="auto"/>
          <w:highlight w:val="none"/>
        </w:rPr>
      </w:pPr>
      <w:r>
        <w:rPr>
          <w:color w:val="auto"/>
          <w:highlight w:val="none"/>
        </w:rPr>
        <w:t>5.1.2</w:t>
      </w:r>
      <w:r>
        <w:rPr>
          <w:rFonts w:hint="eastAsia"/>
          <w:color w:val="auto"/>
          <w:highlight w:val="none"/>
        </w:rPr>
        <w:t>招标人通过互联网在投标人须知前附表规定的地点组织开标，并在投标截止时间</w:t>
      </w:r>
      <w:r>
        <w:rPr>
          <w:color w:val="auto"/>
          <w:highlight w:val="none"/>
        </w:rPr>
        <w:t>30</w:t>
      </w:r>
      <w:r>
        <w:rPr>
          <w:rFonts w:hint="eastAsia"/>
          <w:color w:val="auto"/>
          <w:highlight w:val="none"/>
        </w:rPr>
        <w:t>分钟前，使用</w:t>
      </w:r>
      <w:r>
        <w:rPr>
          <w:color w:val="auto"/>
          <w:highlight w:val="none"/>
        </w:rPr>
        <w:t>CA</w:t>
      </w:r>
      <w:r>
        <w:rPr>
          <w:rFonts w:hint="eastAsia"/>
          <w:color w:val="auto"/>
          <w:highlight w:val="none"/>
        </w:rPr>
        <w:t>数字证书登录“电子交易平台”，进入“开标大厅”选择相应标段作在线开标的准备工作。</w:t>
      </w:r>
    </w:p>
    <w:p w14:paraId="69E9F49D">
      <w:pPr>
        <w:spacing w:line="400" w:lineRule="exact"/>
        <w:ind w:firstLine="420" w:firstLineChars="200"/>
        <w:rPr>
          <w:color w:val="auto"/>
          <w:highlight w:val="none"/>
        </w:rPr>
      </w:pPr>
      <w:r>
        <w:rPr>
          <w:color w:val="auto"/>
          <w:highlight w:val="none"/>
        </w:rPr>
        <w:t xml:space="preserve">5.1.3 </w:t>
      </w:r>
      <w:r>
        <w:rPr>
          <w:rFonts w:hint="eastAsia"/>
          <w:color w:val="auto"/>
          <w:highlight w:val="none"/>
        </w:rPr>
        <w:t>投标人应当在能够保证设施设备可靠、互联网畅通的</w:t>
      </w:r>
      <w:r>
        <w:rPr>
          <w:rFonts w:hint="eastAsia"/>
          <w:b/>
          <w:color w:val="auto"/>
          <w:highlight w:val="none"/>
        </w:rPr>
        <w:t>任意地点</w:t>
      </w:r>
      <w:r>
        <w:rPr>
          <w:rFonts w:hint="eastAsia"/>
          <w:color w:val="auto"/>
          <w:highlight w:val="none"/>
        </w:rPr>
        <w:t>，通过互联网在线参加开标</w:t>
      </w:r>
      <w:r>
        <w:rPr>
          <w:rFonts w:hint="eastAsia"/>
          <w:color w:val="auto"/>
          <w:szCs w:val="21"/>
          <w:highlight w:val="none"/>
        </w:rPr>
        <w:t>。在</w:t>
      </w:r>
      <w:r>
        <w:rPr>
          <w:rFonts w:hint="eastAsia"/>
          <w:color w:val="auto"/>
          <w:highlight w:val="none"/>
        </w:rPr>
        <w:t>投标截止时间前，</w:t>
      </w:r>
      <w:r>
        <w:rPr>
          <w:rFonts w:hint="eastAsia"/>
          <w:b/>
          <w:color w:val="auto"/>
          <w:highlight w:val="none"/>
        </w:rPr>
        <w:t>使用加密其投标文件的</w:t>
      </w:r>
      <w:r>
        <w:rPr>
          <w:b/>
          <w:color w:val="auto"/>
          <w:highlight w:val="none"/>
        </w:rPr>
        <w:t>CA</w:t>
      </w:r>
      <w:r>
        <w:rPr>
          <w:rFonts w:hint="eastAsia"/>
          <w:b/>
          <w:color w:val="auto"/>
          <w:highlight w:val="none"/>
        </w:rPr>
        <w:t>数字证书</w:t>
      </w:r>
      <w:r>
        <w:rPr>
          <w:rFonts w:hint="eastAsia"/>
          <w:color w:val="auto"/>
          <w:highlight w:val="none"/>
        </w:rPr>
        <w:t>登录“电子交易平台”，进入“开标大厅”选择所投标段进行签到，并实时在线关注招标人的操作情况。</w:t>
      </w:r>
    </w:p>
    <w:p w14:paraId="6E80BF34">
      <w:pPr>
        <w:pStyle w:val="33"/>
        <w:rPr>
          <w:color w:val="auto"/>
          <w:highlight w:val="none"/>
        </w:rPr>
      </w:pPr>
      <w:bookmarkStart w:id="303" w:name="_Toc179632579"/>
      <w:bookmarkStart w:id="304" w:name="_Toc152042337"/>
      <w:bookmarkStart w:id="305" w:name="_Toc28531714"/>
      <w:bookmarkStart w:id="306" w:name="_Toc152045561"/>
      <w:bookmarkStart w:id="307" w:name="_Toc144974529"/>
      <w:bookmarkStart w:id="308" w:name="_Toc19569"/>
      <w:r>
        <w:rPr>
          <w:color w:val="auto"/>
          <w:highlight w:val="none"/>
        </w:rPr>
        <w:t xml:space="preserve">5.2 </w:t>
      </w:r>
      <w:r>
        <w:rPr>
          <w:rFonts w:hint="eastAsia"/>
          <w:color w:val="auto"/>
          <w:highlight w:val="none"/>
        </w:rPr>
        <w:t>开标程序</w:t>
      </w:r>
      <w:bookmarkEnd w:id="303"/>
      <w:bookmarkEnd w:id="304"/>
      <w:bookmarkEnd w:id="305"/>
      <w:bookmarkEnd w:id="306"/>
      <w:bookmarkEnd w:id="307"/>
      <w:bookmarkEnd w:id="308"/>
    </w:p>
    <w:p w14:paraId="3732E6FB">
      <w:pPr>
        <w:spacing w:line="400" w:lineRule="exact"/>
        <w:ind w:firstLine="420" w:firstLineChars="200"/>
        <w:rPr>
          <w:color w:val="auto"/>
          <w:highlight w:val="none"/>
        </w:rPr>
      </w:pPr>
      <w:r>
        <w:rPr>
          <w:color w:val="auto"/>
          <w:highlight w:val="none"/>
        </w:rPr>
        <w:t xml:space="preserve">5.2.1 </w:t>
      </w:r>
      <w:r>
        <w:rPr>
          <w:rFonts w:hint="eastAsia"/>
          <w:color w:val="auto"/>
          <w:highlight w:val="none"/>
        </w:rPr>
        <w:t>主持人按下列程序在“电子交易平台”的“开标大厅”进行在线开标：</w:t>
      </w:r>
    </w:p>
    <w:p w14:paraId="4E2E4C27">
      <w:pPr>
        <w:spacing w:line="400" w:lineRule="exact"/>
        <w:ind w:firstLine="420" w:firstLineChars="200"/>
        <w:rPr>
          <w:color w:val="auto"/>
          <w:highlight w:val="none"/>
        </w:rPr>
      </w:pPr>
      <w:r>
        <w:rPr>
          <w:rFonts w:hint="eastAsia"/>
          <w:color w:val="auto"/>
          <w:highlight w:val="none"/>
        </w:rPr>
        <w:t>（</w:t>
      </w:r>
      <w:r>
        <w:rPr>
          <w:color w:val="auto"/>
          <w:highlight w:val="none"/>
        </w:rPr>
        <w:t>1</w:t>
      </w:r>
      <w:r>
        <w:rPr>
          <w:rFonts w:hint="eastAsia"/>
          <w:color w:val="auto"/>
          <w:highlight w:val="none"/>
        </w:rPr>
        <w:t>）宣布开标纪律；</w:t>
      </w:r>
    </w:p>
    <w:p w14:paraId="0CA4DE68">
      <w:pPr>
        <w:spacing w:line="400" w:lineRule="exact"/>
        <w:ind w:firstLine="420" w:firstLineChars="200"/>
        <w:rPr>
          <w:color w:val="auto"/>
          <w:highlight w:val="none"/>
        </w:rPr>
      </w:pPr>
      <w:r>
        <w:rPr>
          <w:rFonts w:hint="eastAsia"/>
          <w:color w:val="auto"/>
          <w:highlight w:val="none"/>
        </w:rPr>
        <w:t>（</w:t>
      </w:r>
      <w:r>
        <w:rPr>
          <w:color w:val="auto"/>
          <w:highlight w:val="none"/>
        </w:rPr>
        <w:t>2</w:t>
      </w:r>
      <w:r>
        <w:rPr>
          <w:rFonts w:hint="eastAsia"/>
          <w:color w:val="auto"/>
          <w:highlight w:val="none"/>
        </w:rPr>
        <w:t>）公布主持人、招标人代表、监标人等有关人员姓名；</w:t>
      </w:r>
      <w:r>
        <w:rPr>
          <w:color w:val="auto"/>
          <w:highlight w:val="none"/>
        </w:rPr>
        <w:t xml:space="preserve"> </w:t>
      </w:r>
    </w:p>
    <w:p w14:paraId="15EF452D">
      <w:pPr>
        <w:spacing w:line="400" w:lineRule="exact"/>
        <w:ind w:firstLine="420" w:firstLineChars="200"/>
        <w:rPr>
          <w:color w:val="auto"/>
          <w:highlight w:val="none"/>
        </w:rPr>
      </w:pPr>
      <w:r>
        <w:rPr>
          <w:rFonts w:hint="eastAsia"/>
          <w:color w:val="auto"/>
          <w:highlight w:val="none"/>
        </w:rPr>
        <w:t>（</w:t>
      </w:r>
      <w:r>
        <w:rPr>
          <w:color w:val="auto"/>
          <w:highlight w:val="none"/>
        </w:rPr>
        <w:t>3</w:t>
      </w:r>
      <w:r>
        <w:rPr>
          <w:rFonts w:hint="eastAsia"/>
          <w:color w:val="auto"/>
          <w:highlight w:val="none"/>
        </w:rPr>
        <w:t>）公布在投标截止时间前投标文件的递交情况；</w:t>
      </w:r>
    </w:p>
    <w:p w14:paraId="06C00C91">
      <w:pPr>
        <w:spacing w:line="400" w:lineRule="exact"/>
        <w:ind w:firstLine="420" w:firstLineChars="200"/>
        <w:rPr>
          <w:color w:val="auto"/>
          <w:highlight w:val="none"/>
        </w:rPr>
      </w:pPr>
      <w:r>
        <w:rPr>
          <w:rFonts w:hint="eastAsia"/>
          <w:color w:val="auto"/>
          <w:highlight w:val="none"/>
        </w:rPr>
        <w:t>（</w:t>
      </w:r>
      <w:r>
        <w:rPr>
          <w:color w:val="auto"/>
          <w:highlight w:val="none"/>
        </w:rPr>
        <w:t>4</w:t>
      </w:r>
      <w:r>
        <w:rPr>
          <w:rFonts w:hint="eastAsia"/>
          <w:color w:val="auto"/>
          <w:highlight w:val="none"/>
        </w:rPr>
        <w:t>）</w:t>
      </w:r>
      <w:r>
        <w:rPr>
          <w:rFonts w:hint="eastAsia"/>
          <w:color w:val="auto"/>
          <w:szCs w:val="21"/>
          <w:highlight w:val="none"/>
        </w:rPr>
        <w:t>公布投标保证金递交情况；</w:t>
      </w:r>
    </w:p>
    <w:p w14:paraId="367A1305">
      <w:pPr>
        <w:spacing w:line="400" w:lineRule="exact"/>
        <w:ind w:firstLine="420" w:firstLineChars="200"/>
        <w:rPr>
          <w:color w:val="auto"/>
          <w:highlight w:val="none"/>
        </w:rPr>
      </w:pPr>
      <w:r>
        <w:rPr>
          <w:rFonts w:hint="eastAsia"/>
          <w:color w:val="auto"/>
          <w:highlight w:val="none"/>
        </w:rPr>
        <w:t>（</w:t>
      </w:r>
      <w:r>
        <w:rPr>
          <w:color w:val="auto"/>
          <w:highlight w:val="none"/>
        </w:rPr>
        <w:t>5</w:t>
      </w:r>
      <w:r>
        <w:rPr>
          <w:rFonts w:hint="eastAsia"/>
          <w:color w:val="auto"/>
          <w:highlight w:val="none"/>
        </w:rPr>
        <w:t>）</w:t>
      </w:r>
      <w:r>
        <w:rPr>
          <w:rFonts w:hint="eastAsia"/>
          <w:color w:val="auto"/>
          <w:szCs w:val="21"/>
          <w:highlight w:val="none"/>
        </w:rPr>
        <w:t>投标人根据提示在投标人须知前附表规定的时间内解密投标文件；</w:t>
      </w:r>
    </w:p>
    <w:p w14:paraId="2EA6F564">
      <w:pPr>
        <w:spacing w:line="400" w:lineRule="exact"/>
        <w:ind w:firstLine="420" w:firstLineChars="200"/>
        <w:rPr>
          <w:color w:val="auto"/>
          <w:highlight w:val="none"/>
        </w:rPr>
      </w:pPr>
      <w:r>
        <w:rPr>
          <w:rFonts w:hint="eastAsia"/>
          <w:color w:val="auto"/>
          <w:highlight w:val="none"/>
        </w:rPr>
        <w:t>（</w:t>
      </w:r>
      <w:r>
        <w:rPr>
          <w:color w:val="auto"/>
          <w:highlight w:val="none"/>
        </w:rPr>
        <w:t>6</w:t>
      </w:r>
      <w:r>
        <w:rPr>
          <w:rFonts w:hint="eastAsia"/>
          <w:color w:val="auto"/>
          <w:highlight w:val="none"/>
        </w:rPr>
        <w:t>）读取已解密</w:t>
      </w:r>
      <w:r>
        <w:rPr>
          <w:rFonts w:hint="eastAsia"/>
          <w:color w:val="auto"/>
          <w:szCs w:val="21"/>
          <w:highlight w:val="none"/>
        </w:rPr>
        <w:t>的投标文件的内容</w:t>
      </w:r>
      <w:r>
        <w:rPr>
          <w:rFonts w:hint="eastAsia"/>
          <w:color w:val="auto"/>
          <w:highlight w:val="none"/>
        </w:rPr>
        <w:t>；</w:t>
      </w:r>
    </w:p>
    <w:p w14:paraId="5F21A48D">
      <w:pPr>
        <w:spacing w:line="400" w:lineRule="exact"/>
        <w:ind w:firstLine="420" w:firstLineChars="200"/>
        <w:rPr>
          <w:color w:val="auto"/>
          <w:highlight w:val="none"/>
        </w:rPr>
      </w:pPr>
      <w:r>
        <w:rPr>
          <w:rFonts w:hint="eastAsia"/>
          <w:color w:val="auto"/>
          <w:highlight w:val="none"/>
        </w:rPr>
        <w:t>（</w:t>
      </w:r>
      <w:r>
        <w:rPr>
          <w:color w:val="auto"/>
          <w:highlight w:val="none"/>
        </w:rPr>
        <w:t>7</w:t>
      </w:r>
      <w:r>
        <w:rPr>
          <w:rFonts w:hint="eastAsia"/>
          <w:color w:val="auto"/>
          <w:highlight w:val="none"/>
        </w:rPr>
        <w:t>）公布投标人名称、标段名称、投标保证金的递交情况、投标报价、项目经理姓名及其他内容，并</w:t>
      </w:r>
      <w:r>
        <w:rPr>
          <w:rFonts w:hint="eastAsia"/>
          <w:bCs/>
          <w:iCs/>
          <w:color w:val="auto"/>
          <w:highlight w:val="none"/>
        </w:rPr>
        <w:t>生成开标记录</w:t>
      </w:r>
      <w:r>
        <w:rPr>
          <w:rFonts w:hint="eastAsia"/>
          <w:color w:val="auto"/>
          <w:highlight w:val="none"/>
        </w:rPr>
        <w:t>；</w:t>
      </w:r>
    </w:p>
    <w:p w14:paraId="0E7C20C9">
      <w:pPr>
        <w:spacing w:line="400" w:lineRule="exact"/>
        <w:ind w:firstLine="420" w:firstLineChars="200"/>
        <w:rPr>
          <w:color w:val="auto"/>
          <w:highlight w:val="none"/>
        </w:rPr>
      </w:pPr>
      <w:r>
        <w:rPr>
          <w:rFonts w:hint="eastAsia"/>
          <w:color w:val="auto"/>
          <w:highlight w:val="none"/>
        </w:rPr>
        <w:t>（</w:t>
      </w:r>
      <w:r>
        <w:rPr>
          <w:color w:val="auto"/>
          <w:highlight w:val="none"/>
        </w:rPr>
        <w:t>8</w:t>
      </w:r>
      <w:r>
        <w:rPr>
          <w:rFonts w:hint="eastAsia"/>
          <w:color w:val="auto"/>
          <w:highlight w:val="none"/>
        </w:rPr>
        <w:t>）开标结束。</w:t>
      </w:r>
    </w:p>
    <w:p w14:paraId="0B5D47F0">
      <w:pPr>
        <w:spacing w:line="400" w:lineRule="exact"/>
        <w:ind w:firstLine="420" w:firstLineChars="200"/>
        <w:rPr>
          <w:color w:val="auto"/>
          <w:highlight w:val="none"/>
        </w:rPr>
      </w:pPr>
      <w:r>
        <w:rPr>
          <w:color w:val="auto"/>
          <w:highlight w:val="none"/>
        </w:rPr>
        <w:t xml:space="preserve">5.2.2 </w:t>
      </w:r>
      <w:r>
        <w:rPr>
          <w:rFonts w:hint="eastAsia"/>
          <w:bCs/>
          <w:iCs/>
          <w:color w:val="auto"/>
          <w:highlight w:val="none"/>
        </w:rPr>
        <w:t>在本章第</w:t>
      </w:r>
      <w:r>
        <w:rPr>
          <w:color w:val="auto"/>
          <w:highlight w:val="none"/>
        </w:rPr>
        <w:t>5.2.1</w:t>
      </w:r>
      <w:r>
        <w:rPr>
          <w:rFonts w:hint="eastAsia"/>
          <w:color w:val="auto"/>
          <w:highlight w:val="none"/>
        </w:rPr>
        <w:t>（</w:t>
      </w:r>
      <w:r>
        <w:rPr>
          <w:color w:val="auto"/>
          <w:highlight w:val="none"/>
        </w:rPr>
        <w:t>5</w:t>
      </w:r>
      <w:r>
        <w:rPr>
          <w:rFonts w:hint="eastAsia"/>
          <w:color w:val="auto"/>
          <w:highlight w:val="none"/>
        </w:rPr>
        <w:t>）目规定的</w:t>
      </w:r>
      <w:r>
        <w:rPr>
          <w:rFonts w:hint="eastAsia"/>
          <w:color w:val="auto"/>
          <w:szCs w:val="21"/>
          <w:highlight w:val="none"/>
        </w:rPr>
        <w:t>时间内</w:t>
      </w:r>
      <w:r>
        <w:rPr>
          <w:rFonts w:hint="eastAsia"/>
          <w:bCs/>
          <w:iCs/>
          <w:color w:val="auto"/>
          <w:highlight w:val="none"/>
        </w:rPr>
        <w:t>，非因“电子交易平台”原因造成投标文件未解密的，视为投标人撤回投标文件。已解密的投标文件少于三个的，招标失败；已解密的投标文件不少于三个，开标继续进行。</w:t>
      </w:r>
    </w:p>
    <w:p w14:paraId="2835413C">
      <w:pPr>
        <w:pStyle w:val="33"/>
        <w:rPr>
          <w:color w:val="auto"/>
          <w:highlight w:val="none"/>
        </w:rPr>
      </w:pPr>
      <w:bookmarkStart w:id="309" w:name="_Toc300834983"/>
      <w:bookmarkStart w:id="310" w:name="_Toc28531715"/>
      <w:bookmarkStart w:id="311" w:name="_Toc30535"/>
      <w:r>
        <w:rPr>
          <w:color w:val="auto"/>
          <w:highlight w:val="none"/>
        </w:rPr>
        <w:t xml:space="preserve">5.3 </w:t>
      </w:r>
      <w:r>
        <w:rPr>
          <w:rFonts w:hint="eastAsia"/>
          <w:color w:val="auto"/>
          <w:highlight w:val="none"/>
        </w:rPr>
        <w:t>开标异议</w:t>
      </w:r>
      <w:bookmarkEnd w:id="309"/>
      <w:bookmarkEnd w:id="310"/>
      <w:bookmarkEnd w:id="311"/>
    </w:p>
    <w:p w14:paraId="6D28B423">
      <w:pPr>
        <w:spacing w:line="400" w:lineRule="exact"/>
        <w:ind w:firstLine="420" w:firstLineChars="200"/>
        <w:rPr>
          <w:color w:val="auto"/>
          <w:highlight w:val="none"/>
        </w:rPr>
      </w:pPr>
      <w:r>
        <w:rPr>
          <w:color w:val="auto"/>
          <w:highlight w:val="none"/>
        </w:rPr>
        <w:t>5.3.1</w:t>
      </w:r>
      <w:r>
        <w:rPr>
          <w:rFonts w:hint="eastAsia"/>
          <w:color w:val="auto"/>
          <w:highlight w:val="none"/>
        </w:rPr>
        <w:t>投标人对开标有异议的，应当在开标过程中提出；招标人当场对异议作出答复，并记入开标记录。异议与答复应通过</w:t>
      </w:r>
      <w:r>
        <w:rPr>
          <w:color w:val="auto"/>
          <w:highlight w:val="none"/>
        </w:rPr>
        <w:t xml:space="preserve"> </w:t>
      </w:r>
      <w:r>
        <w:rPr>
          <w:rFonts w:hint="eastAsia"/>
          <w:color w:val="auto"/>
          <w:highlight w:val="none"/>
        </w:rPr>
        <w:t>“开标大厅”在“异议与答复”菜单以书面形式进行。</w:t>
      </w:r>
    </w:p>
    <w:p w14:paraId="3E625DF6">
      <w:pPr>
        <w:spacing w:line="400" w:lineRule="exact"/>
        <w:ind w:firstLine="420" w:firstLineChars="200"/>
        <w:rPr>
          <w:color w:val="auto"/>
          <w:highlight w:val="none"/>
        </w:rPr>
      </w:pPr>
      <w:r>
        <w:rPr>
          <w:rFonts w:hint="eastAsia"/>
          <w:color w:val="auto"/>
          <w:highlight w:val="none"/>
        </w:rPr>
        <w:t>本处所称异议是指投标人在开标过程中对投标文件提交、投标截止时间、开标程序、开标记录以及投标人和招标人或者投标人相互之间存在利益冲突的情形等提出的质疑。</w:t>
      </w:r>
    </w:p>
    <w:p w14:paraId="6601C19F">
      <w:pPr>
        <w:spacing w:line="400" w:lineRule="exact"/>
        <w:ind w:firstLine="420" w:firstLineChars="200"/>
        <w:rPr>
          <w:color w:val="auto"/>
          <w:highlight w:val="none"/>
        </w:rPr>
      </w:pPr>
      <w:r>
        <w:rPr>
          <w:color w:val="auto"/>
          <w:highlight w:val="none"/>
        </w:rPr>
        <w:t xml:space="preserve">5.3.2 </w:t>
      </w:r>
      <w:r>
        <w:rPr>
          <w:rFonts w:hint="eastAsia"/>
          <w:color w:val="auto"/>
          <w:highlight w:val="none"/>
        </w:rPr>
        <w:t>投标人异议成立的，招标人将及时采取纠正措施，或者提交评标委员会评审确认；投标人异议不成立的，招标人将当场给予解释说明。</w:t>
      </w:r>
    </w:p>
    <w:p w14:paraId="4CFEF63C">
      <w:pPr>
        <w:pStyle w:val="33"/>
        <w:rPr>
          <w:color w:val="auto"/>
          <w:highlight w:val="none"/>
        </w:rPr>
      </w:pPr>
      <w:bookmarkStart w:id="312" w:name="_Toc28531716"/>
      <w:bookmarkStart w:id="313" w:name="_Toc28874"/>
      <w:bookmarkStart w:id="314" w:name="_Toc400530224"/>
      <w:bookmarkStart w:id="315" w:name="_Toc402465011"/>
      <w:r>
        <w:rPr>
          <w:color w:val="auto"/>
          <w:highlight w:val="none"/>
        </w:rPr>
        <w:t xml:space="preserve">5.4 </w:t>
      </w:r>
      <w:r>
        <w:rPr>
          <w:rFonts w:hint="eastAsia"/>
          <w:color w:val="auto"/>
          <w:highlight w:val="none"/>
        </w:rPr>
        <w:t>特殊情况的处置</w:t>
      </w:r>
      <w:bookmarkEnd w:id="312"/>
      <w:bookmarkEnd w:id="313"/>
    </w:p>
    <w:p w14:paraId="6E2EA2FB">
      <w:pPr>
        <w:spacing w:line="400" w:lineRule="exact"/>
        <w:ind w:firstLine="420" w:firstLineChars="200"/>
        <w:rPr>
          <w:color w:val="auto"/>
          <w:highlight w:val="none"/>
        </w:rPr>
      </w:pPr>
      <w:r>
        <w:rPr>
          <w:color w:val="auto"/>
          <w:highlight w:val="none"/>
        </w:rPr>
        <w:t>5.4.1</w:t>
      </w:r>
      <w:r>
        <w:rPr>
          <w:rFonts w:hint="eastAsia"/>
          <w:color w:val="auto"/>
          <w:highlight w:val="none"/>
        </w:rPr>
        <w:t>因“电子交易平台”系统故障导致无法投标的，交易中心及时通知招标人，招标人视情况决定是否顺延投标截止时间。因投标人自身原因导致无法完成投标的，由投标人自行承担后果。</w:t>
      </w:r>
    </w:p>
    <w:p w14:paraId="3D9F256D">
      <w:pPr>
        <w:spacing w:line="400" w:lineRule="exact"/>
        <w:ind w:firstLine="420" w:firstLineChars="200"/>
        <w:rPr>
          <w:color w:val="auto"/>
          <w:highlight w:val="none"/>
        </w:rPr>
      </w:pPr>
      <w:r>
        <w:rPr>
          <w:color w:val="auto"/>
          <w:highlight w:val="none"/>
        </w:rPr>
        <w:t xml:space="preserve">5.4.2 </w:t>
      </w:r>
      <w:r>
        <w:rPr>
          <w:rFonts w:hint="eastAsia"/>
          <w:color w:val="auto"/>
          <w:highlight w:val="none"/>
        </w:rPr>
        <w:t>因“电子交易平台”系统故障导致无法正常开标的，招标人将暂停开标，待系统恢复正常后继续开标。</w:t>
      </w:r>
    </w:p>
    <w:p w14:paraId="3D8DD6DD">
      <w:pPr>
        <w:spacing w:line="400" w:lineRule="exact"/>
        <w:ind w:firstLine="420" w:firstLineChars="200"/>
        <w:rPr>
          <w:color w:val="auto"/>
          <w:highlight w:val="none"/>
        </w:rPr>
      </w:pPr>
      <w:r>
        <w:rPr>
          <w:color w:val="auto"/>
          <w:highlight w:val="none"/>
        </w:rPr>
        <w:t xml:space="preserve">5.4.3 </w:t>
      </w:r>
      <w:r>
        <w:rPr>
          <w:rFonts w:hint="eastAsia"/>
          <w:color w:val="auto"/>
          <w:highlight w:val="none"/>
        </w:rPr>
        <w:t>“电子交易平台”系统故障是指下列情形：</w:t>
      </w:r>
    </w:p>
    <w:p w14:paraId="6AB275EF">
      <w:pPr>
        <w:spacing w:line="400" w:lineRule="exact"/>
        <w:ind w:firstLine="420" w:firstLineChars="200"/>
        <w:rPr>
          <w:color w:val="auto"/>
          <w:highlight w:val="none"/>
        </w:rPr>
      </w:pPr>
      <w:r>
        <w:rPr>
          <w:rFonts w:hint="eastAsia"/>
          <w:color w:val="auto"/>
          <w:highlight w:val="none"/>
        </w:rPr>
        <w:t>（</w:t>
      </w:r>
      <w:r>
        <w:rPr>
          <w:color w:val="auto"/>
          <w:highlight w:val="none"/>
        </w:rPr>
        <w:t>1</w:t>
      </w:r>
      <w:r>
        <w:rPr>
          <w:rFonts w:hint="eastAsia"/>
          <w:color w:val="auto"/>
          <w:highlight w:val="none"/>
        </w:rPr>
        <w:t>）系统服务器发生故障，无法访问或无法使用系统；</w:t>
      </w:r>
    </w:p>
    <w:p w14:paraId="46B1B435">
      <w:pPr>
        <w:spacing w:line="400" w:lineRule="exact"/>
        <w:ind w:firstLine="420" w:firstLineChars="200"/>
        <w:rPr>
          <w:color w:val="auto"/>
          <w:highlight w:val="none"/>
        </w:rPr>
      </w:pPr>
      <w:r>
        <w:rPr>
          <w:rFonts w:hint="eastAsia"/>
          <w:color w:val="auto"/>
          <w:highlight w:val="none"/>
        </w:rPr>
        <w:t>（</w:t>
      </w:r>
      <w:r>
        <w:rPr>
          <w:color w:val="auto"/>
          <w:highlight w:val="none"/>
        </w:rPr>
        <w:t>2</w:t>
      </w:r>
      <w:r>
        <w:rPr>
          <w:rFonts w:hint="eastAsia"/>
          <w:color w:val="auto"/>
          <w:highlight w:val="none"/>
        </w:rPr>
        <w:t>）系统的软件或数据库出现错误，不能进行正常操作；</w:t>
      </w:r>
    </w:p>
    <w:p w14:paraId="68DBCF0F">
      <w:pPr>
        <w:spacing w:line="400" w:lineRule="exact"/>
        <w:ind w:firstLine="420" w:firstLineChars="200"/>
        <w:rPr>
          <w:color w:val="auto"/>
          <w:highlight w:val="none"/>
        </w:rPr>
      </w:pPr>
      <w:r>
        <w:rPr>
          <w:rFonts w:hint="eastAsia"/>
          <w:color w:val="auto"/>
          <w:highlight w:val="none"/>
        </w:rPr>
        <w:t>（</w:t>
      </w:r>
      <w:r>
        <w:rPr>
          <w:color w:val="auto"/>
          <w:highlight w:val="none"/>
        </w:rPr>
        <w:t>3</w:t>
      </w:r>
      <w:r>
        <w:rPr>
          <w:rFonts w:hint="eastAsia"/>
          <w:color w:val="auto"/>
          <w:highlight w:val="none"/>
        </w:rPr>
        <w:t>）系统发现有安全漏洞，有潜在的泄密危险；</w:t>
      </w:r>
    </w:p>
    <w:p w14:paraId="3425EEB4">
      <w:pPr>
        <w:spacing w:line="400" w:lineRule="exact"/>
        <w:ind w:firstLine="420" w:firstLineChars="200"/>
        <w:rPr>
          <w:color w:val="auto"/>
          <w:highlight w:val="none"/>
        </w:rPr>
      </w:pPr>
      <w:r>
        <w:rPr>
          <w:rFonts w:hint="eastAsia"/>
          <w:color w:val="auto"/>
          <w:highlight w:val="none"/>
        </w:rPr>
        <w:t>（</w:t>
      </w:r>
      <w:r>
        <w:rPr>
          <w:color w:val="auto"/>
          <w:highlight w:val="none"/>
        </w:rPr>
        <w:t>4</w:t>
      </w:r>
      <w:r>
        <w:rPr>
          <w:rFonts w:hint="eastAsia"/>
          <w:color w:val="auto"/>
          <w:highlight w:val="none"/>
        </w:rPr>
        <w:t>）出现断电、断网事故；</w:t>
      </w:r>
    </w:p>
    <w:p w14:paraId="7FADEDF5">
      <w:pPr>
        <w:spacing w:line="400" w:lineRule="exact"/>
        <w:ind w:firstLine="420" w:firstLineChars="200"/>
        <w:rPr>
          <w:color w:val="auto"/>
          <w:highlight w:val="none"/>
        </w:rPr>
      </w:pPr>
      <w:r>
        <w:rPr>
          <w:rFonts w:hint="eastAsia"/>
          <w:color w:val="auto"/>
          <w:highlight w:val="none"/>
        </w:rPr>
        <w:t>（</w:t>
      </w:r>
      <w:r>
        <w:rPr>
          <w:color w:val="auto"/>
          <w:highlight w:val="none"/>
        </w:rPr>
        <w:t>5</w:t>
      </w:r>
      <w:r>
        <w:rPr>
          <w:rFonts w:hint="eastAsia"/>
          <w:color w:val="auto"/>
          <w:highlight w:val="none"/>
        </w:rPr>
        <w:t>）其他无法保证招投标过程正常进行的情形。</w:t>
      </w:r>
      <w:bookmarkEnd w:id="314"/>
      <w:bookmarkEnd w:id="315"/>
    </w:p>
    <w:p w14:paraId="1ABEABB2">
      <w:pPr>
        <w:pStyle w:val="31"/>
        <w:rPr>
          <w:color w:val="auto"/>
          <w:highlight w:val="none"/>
        </w:rPr>
      </w:pPr>
      <w:bookmarkStart w:id="316" w:name="_Toc28531717"/>
      <w:bookmarkStart w:id="317" w:name="_Toc144974530"/>
      <w:bookmarkStart w:id="318" w:name="_Toc19168"/>
      <w:bookmarkStart w:id="319" w:name="_Toc179632580"/>
      <w:bookmarkStart w:id="320" w:name="_Toc152045562"/>
      <w:bookmarkStart w:id="321" w:name="_Toc152042338"/>
      <w:r>
        <w:rPr>
          <w:color w:val="auto"/>
          <w:highlight w:val="none"/>
        </w:rPr>
        <w:t xml:space="preserve">6. </w:t>
      </w:r>
      <w:r>
        <w:rPr>
          <w:rFonts w:hint="eastAsia"/>
          <w:color w:val="auto"/>
          <w:highlight w:val="none"/>
        </w:rPr>
        <w:t>评标</w:t>
      </w:r>
      <w:bookmarkEnd w:id="316"/>
      <w:bookmarkEnd w:id="317"/>
      <w:bookmarkEnd w:id="318"/>
      <w:bookmarkEnd w:id="319"/>
      <w:bookmarkEnd w:id="320"/>
      <w:bookmarkEnd w:id="321"/>
    </w:p>
    <w:p w14:paraId="2F8D8602">
      <w:pPr>
        <w:pStyle w:val="33"/>
        <w:rPr>
          <w:color w:val="auto"/>
          <w:highlight w:val="none"/>
        </w:rPr>
      </w:pPr>
      <w:bookmarkStart w:id="322" w:name="_Toc2735"/>
      <w:bookmarkStart w:id="323" w:name="_Toc152045563"/>
      <w:bookmarkStart w:id="324" w:name="_Toc179632581"/>
      <w:bookmarkStart w:id="325" w:name="_Toc152042339"/>
      <w:bookmarkStart w:id="326" w:name="_Toc144974531"/>
      <w:bookmarkStart w:id="327" w:name="_Toc28531718"/>
      <w:r>
        <w:rPr>
          <w:color w:val="auto"/>
          <w:highlight w:val="none"/>
        </w:rPr>
        <w:t xml:space="preserve">6.1 </w:t>
      </w:r>
      <w:r>
        <w:rPr>
          <w:rFonts w:hint="eastAsia"/>
          <w:color w:val="auto"/>
          <w:highlight w:val="none"/>
        </w:rPr>
        <w:t>评标委员会</w:t>
      </w:r>
      <w:bookmarkEnd w:id="322"/>
      <w:bookmarkEnd w:id="323"/>
      <w:bookmarkEnd w:id="324"/>
      <w:bookmarkEnd w:id="325"/>
      <w:bookmarkEnd w:id="326"/>
      <w:bookmarkEnd w:id="327"/>
    </w:p>
    <w:p w14:paraId="1463798F">
      <w:pPr>
        <w:spacing w:line="400" w:lineRule="exact"/>
        <w:ind w:firstLine="420" w:firstLineChars="200"/>
        <w:rPr>
          <w:color w:val="auto"/>
          <w:highlight w:val="none"/>
        </w:rPr>
      </w:pPr>
      <w:r>
        <w:rPr>
          <w:color w:val="auto"/>
          <w:highlight w:val="none"/>
        </w:rPr>
        <w:t xml:space="preserve">6.1.1 </w:t>
      </w:r>
      <w:r>
        <w:rPr>
          <w:rFonts w:hint="eastAsia"/>
          <w:color w:val="auto"/>
          <w:highlight w:val="none"/>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3E47B7C6">
      <w:pPr>
        <w:spacing w:line="400" w:lineRule="exact"/>
        <w:ind w:firstLine="420" w:firstLineChars="200"/>
        <w:rPr>
          <w:color w:val="auto"/>
          <w:highlight w:val="none"/>
        </w:rPr>
      </w:pPr>
      <w:r>
        <w:rPr>
          <w:color w:val="auto"/>
          <w:highlight w:val="none"/>
        </w:rPr>
        <w:t xml:space="preserve">6.1.2 </w:t>
      </w:r>
      <w:r>
        <w:rPr>
          <w:rFonts w:hint="eastAsia"/>
          <w:color w:val="auto"/>
          <w:highlight w:val="none"/>
        </w:rPr>
        <w:t>评标委员会成员有下列情形之一的，应当回避：</w:t>
      </w:r>
    </w:p>
    <w:p w14:paraId="2FF01F76">
      <w:pPr>
        <w:spacing w:line="400" w:lineRule="exact"/>
        <w:ind w:firstLine="420" w:firstLineChars="200"/>
        <w:rPr>
          <w:color w:val="auto"/>
          <w:highlight w:val="none"/>
        </w:rPr>
      </w:pPr>
      <w:r>
        <w:rPr>
          <w:rFonts w:hint="eastAsia"/>
          <w:color w:val="auto"/>
          <w:highlight w:val="none"/>
        </w:rPr>
        <w:t>（</w:t>
      </w:r>
      <w:r>
        <w:rPr>
          <w:color w:val="auto"/>
          <w:highlight w:val="none"/>
        </w:rPr>
        <w:t>1</w:t>
      </w:r>
      <w:r>
        <w:rPr>
          <w:rFonts w:hint="eastAsia"/>
          <w:color w:val="auto"/>
          <w:highlight w:val="none"/>
        </w:rPr>
        <w:t>）投标人或投标人的主要负责人的近亲属；</w:t>
      </w:r>
    </w:p>
    <w:p w14:paraId="21F94678">
      <w:pPr>
        <w:spacing w:line="400" w:lineRule="exact"/>
        <w:ind w:firstLine="420" w:firstLineChars="200"/>
        <w:rPr>
          <w:color w:val="auto"/>
          <w:highlight w:val="none"/>
        </w:rPr>
      </w:pPr>
      <w:r>
        <w:rPr>
          <w:rFonts w:hint="eastAsia"/>
          <w:color w:val="auto"/>
          <w:highlight w:val="none"/>
        </w:rPr>
        <w:t>（</w:t>
      </w:r>
      <w:r>
        <w:rPr>
          <w:color w:val="auto"/>
          <w:highlight w:val="none"/>
        </w:rPr>
        <w:t>2</w:t>
      </w:r>
      <w:r>
        <w:rPr>
          <w:rFonts w:hint="eastAsia"/>
          <w:color w:val="auto"/>
          <w:highlight w:val="none"/>
        </w:rPr>
        <w:t>）项目主管部门或者行政监督部门的人员；</w:t>
      </w:r>
    </w:p>
    <w:p w14:paraId="6345A608">
      <w:pPr>
        <w:spacing w:line="400" w:lineRule="exact"/>
        <w:ind w:firstLine="420" w:firstLineChars="200"/>
        <w:rPr>
          <w:color w:val="auto"/>
          <w:highlight w:val="none"/>
        </w:rPr>
      </w:pPr>
      <w:r>
        <w:rPr>
          <w:rFonts w:hint="eastAsia"/>
          <w:color w:val="auto"/>
          <w:highlight w:val="none"/>
        </w:rPr>
        <w:t>（</w:t>
      </w:r>
      <w:r>
        <w:rPr>
          <w:color w:val="auto"/>
          <w:highlight w:val="none"/>
        </w:rPr>
        <w:t>3</w:t>
      </w:r>
      <w:r>
        <w:rPr>
          <w:rFonts w:hint="eastAsia"/>
          <w:color w:val="auto"/>
          <w:highlight w:val="none"/>
        </w:rPr>
        <w:t>）与投标人有经济利益关系或其他利害关系，可能影响对投标公正评审的；</w:t>
      </w:r>
    </w:p>
    <w:p w14:paraId="4F52CEF1">
      <w:pPr>
        <w:spacing w:line="400" w:lineRule="exact"/>
        <w:ind w:firstLine="420" w:firstLineChars="200"/>
        <w:rPr>
          <w:color w:val="auto"/>
          <w:highlight w:val="none"/>
        </w:rPr>
      </w:pPr>
      <w:r>
        <w:rPr>
          <w:rFonts w:hint="eastAsia"/>
          <w:color w:val="auto"/>
          <w:highlight w:val="none"/>
        </w:rPr>
        <w:t>（</w:t>
      </w:r>
      <w:r>
        <w:rPr>
          <w:color w:val="auto"/>
          <w:highlight w:val="none"/>
        </w:rPr>
        <w:t>4</w:t>
      </w:r>
      <w:r>
        <w:rPr>
          <w:rFonts w:hint="eastAsia"/>
          <w:color w:val="auto"/>
          <w:highlight w:val="none"/>
        </w:rPr>
        <w:t>）曾因在招标、评标以及其他与招标投标有关活动中从事违法行为而受过行政处罚或刑事处罚的。</w:t>
      </w:r>
    </w:p>
    <w:p w14:paraId="60A41BB7">
      <w:pPr>
        <w:pStyle w:val="33"/>
        <w:tabs>
          <w:tab w:val="left" w:pos="2620"/>
        </w:tabs>
        <w:rPr>
          <w:color w:val="auto"/>
          <w:highlight w:val="none"/>
        </w:rPr>
      </w:pPr>
      <w:bookmarkStart w:id="328" w:name="_Toc179632582"/>
      <w:bookmarkStart w:id="329" w:name="_Toc152042340"/>
      <w:bookmarkStart w:id="330" w:name="_Toc144974532"/>
      <w:bookmarkStart w:id="331" w:name="_Toc15167"/>
      <w:bookmarkStart w:id="332" w:name="_Toc152045564"/>
      <w:bookmarkStart w:id="333" w:name="_Toc28531719"/>
      <w:r>
        <w:rPr>
          <w:color w:val="auto"/>
          <w:highlight w:val="none"/>
        </w:rPr>
        <w:t xml:space="preserve">6.2 </w:t>
      </w:r>
      <w:r>
        <w:rPr>
          <w:rFonts w:hint="eastAsia"/>
          <w:color w:val="auto"/>
          <w:highlight w:val="none"/>
        </w:rPr>
        <w:t>评标原则</w:t>
      </w:r>
      <w:bookmarkEnd w:id="328"/>
      <w:bookmarkEnd w:id="329"/>
      <w:bookmarkEnd w:id="330"/>
      <w:bookmarkEnd w:id="331"/>
      <w:bookmarkEnd w:id="332"/>
      <w:bookmarkEnd w:id="333"/>
      <w:r>
        <w:rPr>
          <w:color w:val="auto"/>
          <w:highlight w:val="none"/>
        </w:rPr>
        <w:tab/>
      </w:r>
    </w:p>
    <w:p w14:paraId="4D46D27F">
      <w:pPr>
        <w:spacing w:line="400" w:lineRule="exact"/>
        <w:ind w:firstLine="420" w:firstLineChars="200"/>
        <w:rPr>
          <w:color w:val="auto"/>
          <w:highlight w:val="none"/>
        </w:rPr>
      </w:pPr>
      <w:r>
        <w:rPr>
          <w:rFonts w:hint="eastAsia"/>
          <w:color w:val="auto"/>
          <w:highlight w:val="none"/>
        </w:rPr>
        <w:t>评标活动遵循公平、公正、科学和择优的原则。</w:t>
      </w:r>
    </w:p>
    <w:p w14:paraId="6C8D00FF">
      <w:pPr>
        <w:pStyle w:val="33"/>
        <w:rPr>
          <w:color w:val="auto"/>
          <w:highlight w:val="none"/>
        </w:rPr>
      </w:pPr>
      <w:bookmarkStart w:id="334" w:name="_Toc144974533"/>
      <w:bookmarkStart w:id="335" w:name="_Toc28531720"/>
      <w:bookmarkStart w:id="336" w:name="_Toc152045565"/>
      <w:bookmarkStart w:id="337" w:name="_Toc179632583"/>
      <w:bookmarkStart w:id="338" w:name="_Toc152042341"/>
      <w:bookmarkStart w:id="339" w:name="_Toc2823"/>
      <w:r>
        <w:rPr>
          <w:color w:val="auto"/>
          <w:highlight w:val="none"/>
        </w:rPr>
        <w:t xml:space="preserve">6.3 </w:t>
      </w:r>
      <w:r>
        <w:rPr>
          <w:rFonts w:hint="eastAsia"/>
          <w:color w:val="auto"/>
          <w:highlight w:val="none"/>
        </w:rPr>
        <w:t>评标</w:t>
      </w:r>
      <w:bookmarkEnd w:id="334"/>
      <w:bookmarkEnd w:id="335"/>
      <w:bookmarkEnd w:id="336"/>
      <w:bookmarkEnd w:id="337"/>
      <w:bookmarkEnd w:id="338"/>
      <w:bookmarkEnd w:id="339"/>
    </w:p>
    <w:p w14:paraId="1DEF81EE">
      <w:pPr>
        <w:spacing w:line="400" w:lineRule="exact"/>
        <w:ind w:firstLine="420" w:firstLineChars="200"/>
        <w:rPr>
          <w:color w:val="auto"/>
          <w:highlight w:val="none"/>
        </w:rPr>
      </w:pPr>
      <w:r>
        <w:rPr>
          <w:rFonts w:hint="eastAsia"/>
          <w:color w:val="auto"/>
          <w:highlight w:val="none"/>
        </w:rPr>
        <w:t>评标委员会按照第三章“评标办法”规定的方法、评审因素、标准和程序对投标文件进行评审。第三章“评标办法”没有规定的方法、评审因素和标准，不作为评标依据。</w:t>
      </w:r>
    </w:p>
    <w:p w14:paraId="76BF4C67">
      <w:pPr>
        <w:pStyle w:val="33"/>
        <w:rPr>
          <w:color w:val="auto"/>
          <w:highlight w:val="none"/>
        </w:rPr>
      </w:pPr>
      <w:bookmarkStart w:id="340" w:name="_Toc426495249"/>
      <w:bookmarkStart w:id="341" w:name="_Toc28531721"/>
      <w:bookmarkStart w:id="342" w:name="_Toc8953"/>
      <w:r>
        <w:rPr>
          <w:color w:val="auto"/>
          <w:highlight w:val="none"/>
        </w:rPr>
        <w:t xml:space="preserve">6.4 </w:t>
      </w:r>
      <w:r>
        <w:rPr>
          <w:rFonts w:hint="eastAsia"/>
          <w:color w:val="auto"/>
          <w:highlight w:val="none"/>
        </w:rPr>
        <w:t>评标结果公示</w:t>
      </w:r>
      <w:bookmarkEnd w:id="340"/>
      <w:bookmarkEnd w:id="341"/>
      <w:bookmarkEnd w:id="342"/>
    </w:p>
    <w:p w14:paraId="40E354A3">
      <w:pPr>
        <w:spacing w:line="400" w:lineRule="exact"/>
        <w:ind w:firstLine="420" w:firstLineChars="200"/>
        <w:rPr>
          <w:color w:val="auto"/>
          <w:highlight w:val="none"/>
        </w:rPr>
      </w:pPr>
      <w:r>
        <w:rPr>
          <w:rFonts w:hint="eastAsia"/>
          <w:color w:val="auto"/>
          <w:highlight w:val="none"/>
        </w:rPr>
        <w:t>招标人将自收到评标报告之日起</w:t>
      </w:r>
      <w:r>
        <w:rPr>
          <w:color w:val="auto"/>
          <w:highlight w:val="none"/>
        </w:rPr>
        <w:t>3</w:t>
      </w:r>
      <w:r>
        <w:rPr>
          <w:rFonts w:hint="eastAsia"/>
          <w:color w:val="auto"/>
          <w:highlight w:val="none"/>
        </w:rPr>
        <w:t>日内，在投标人须知前附表规定的媒介公示中标候选人。公示期不少于</w:t>
      </w:r>
      <w:r>
        <w:rPr>
          <w:color w:val="auto"/>
          <w:highlight w:val="none"/>
        </w:rPr>
        <w:t>3</w:t>
      </w:r>
      <w:r>
        <w:rPr>
          <w:rFonts w:hint="eastAsia"/>
          <w:color w:val="auto"/>
          <w:highlight w:val="none"/>
        </w:rPr>
        <w:t>日。</w:t>
      </w:r>
    </w:p>
    <w:p w14:paraId="5BC5A846">
      <w:pPr>
        <w:spacing w:line="400" w:lineRule="exact"/>
        <w:ind w:firstLine="420" w:firstLineChars="200"/>
        <w:rPr>
          <w:color w:val="auto"/>
          <w:highlight w:val="none"/>
        </w:rPr>
      </w:pPr>
      <w:r>
        <w:rPr>
          <w:rFonts w:hint="eastAsia"/>
          <w:color w:val="auto"/>
          <w:highlight w:val="none"/>
        </w:rPr>
        <w:t>投标人或者其他利害关系人对评标结果有异议的，应当在评标结果公示期间提出。招标人自收到异议之日起</w:t>
      </w:r>
      <w:r>
        <w:rPr>
          <w:color w:val="auto"/>
          <w:highlight w:val="none"/>
        </w:rPr>
        <w:t>3</w:t>
      </w:r>
      <w:r>
        <w:rPr>
          <w:rFonts w:hint="eastAsia"/>
          <w:color w:val="auto"/>
          <w:highlight w:val="none"/>
        </w:rPr>
        <w:t>日内作出答复；作出答复前，暂停招标投标活动。异议与答复应当通过“电子交易平台”在“异议与答复”菜单以书面形式进行。</w:t>
      </w:r>
    </w:p>
    <w:p w14:paraId="56592B17">
      <w:pPr>
        <w:pStyle w:val="33"/>
        <w:rPr>
          <w:color w:val="auto"/>
          <w:highlight w:val="none"/>
        </w:rPr>
      </w:pPr>
      <w:bookmarkStart w:id="343" w:name="_Toc28531722"/>
      <w:bookmarkStart w:id="344" w:name="_Toc562"/>
      <w:bookmarkStart w:id="345" w:name="_Toc426495250"/>
      <w:r>
        <w:rPr>
          <w:color w:val="auto"/>
          <w:highlight w:val="none"/>
        </w:rPr>
        <w:t xml:space="preserve">6.5 </w:t>
      </w:r>
      <w:r>
        <w:rPr>
          <w:rFonts w:hint="eastAsia"/>
          <w:color w:val="auto"/>
          <w:highlight w:val="none"/>
        </w:rPr>
        <w:t>履约能力的审查（如有）</w:t>
      </w:r>
      <w:bookmarkEnd w:id="343"/>
      <w:bookmarkEnd w:id="344"/>
      <w:bookmarkEnd w:id="345"/>
    </w:p>
    <w:p w14:paraId="0A99BD13">
      <w:pPr>
        <w:spacing w:line="400" w:lineRule="exact"/>
        <w:ind w:firstLine="420" w:firstLineChars="200"/>
        <w:rPr>
          <w:color w:val="auto"/>
          <w:highlight w:val="none"/>
        </w:rPr>
      </w:pPr>
      <w:r>
        <w:rPr>
          <w:rFonts w:hint="eastAsia"/>
          <w:color w:val="auto"/>
          <w:highlight w:val="none"/>
        </w:rPr>
        <w:t>如果中标候选人的经营、财务状况发生较大变化或者存在违法行为，招标人认为可能影响其履约能力的，将在发出中标通知书前报请行政监督部门后，召集原评标委员会按照招标文件规定的标准和方法审查确认。</w:t>
      </w:r>
    </w:p>
    <w:p w14:paraId="79D82382">
      <w:pPr>
        <w:pStyle w:val="31"/>
        <w:rPr>
          <w:color w:val="auto"/>
          <w:highlight w:val="none"/>
        </w:rPr>
      </w:pPr>
      <w:bookmarkStart w:id="346" w:name="_Toc144974534"/>
      <w:bookmarkStart w:id="347" w:name="_Toc28531723"/>
      <w:bookmarkStart w:id="348" w:name="_Toc30854"/>
      <w:bookmarkStart w:id="349" w:name="_Toc152042342"/>
      <w:bookmarkStart w:id="350" w:name="_Toc152045566"/>
      <w:bookmarkStart w:id="351" w:name="_Toc179632584"/>
      <w:r>
        <w:rPr>
          <w:color w:val="auto"/>
          <w:highlight w:val="none"/>
        </w:rPr>
        <w:t xml:space="preserve">7. </w:t>
      </w:r>
      <w:r>
        <w:rPr>
          <w:rFonts w:hint="eastAsia"/>
          <w:color w:val="auto"/>
          <w:highlight w:val="none"/>
        </w:rPr>
        <w:t>合同授予</w:t>
      </w:r>
      <w:bookmarkEnd w:id="346"/>
      <w:bookmarkEnd w:id="347"/>
      <w:bookmarkEnd w:id="348"/>
      <w:bookmarkEnd w:id="349"/>
      <w:bookmarkEnd w:id="350"/>
      <w:bookmarkEnd w:id="351"/>
    </w:p>
    <w:p w14:paraId="10C57A95">
      <w:pPr>
        <w:pStyle w:val="33"/>
        <w:rPr>
          <w:color w:val="auto"/>
          <w:highlight w:val="none"/>
        </w:rPr>
      </w:pPr>
      <w:bookmarkStart w:id="352" w:name="_Toc144974535"/>
      <w:bookmarkStart w:id="353" w:name="_Toc32255"/>
      <w:bookmarkStart w:id="354" w:name="_Toc152042343"/>
      <w:bookmarkStart w:id="355" w:name="_Toc152045567"/>
      <w:bookmarkStart w:id="356" w:name="_Toc28531724"/>
      <w:bookmarkStart w:id="357" w:name="_Toc179632585"/>
      <w:r>
        <w:rPr>
          <w:color w:val="auto"/>
          <w:highlight w:val="none"/>
        </w:rPr>
        <w:t xml:space="preserve">7.1 </w:t>
      </w:r>
      <w:r>
        <w:rPr>
          <w:rFonts w:hint="eastAsia"/>
          <w:color w:val="auto"/>
          <w:highlight w:val="none"/>
        </w:rPr>
        <w:t>定标方式</w:t>
      </w:r>
      <w:bookmarkEnd w:id="352"/>
      <w:bookmarkEnd w:id="353"/>
      <w:bookmarkEnd w:id="354"/>
      <w:bookmarkEnd w:id="355"/>
      <w:bookmarkEnd w:id="356"/>
      <w:bookmarkEnd w:id="357"/>
    </w:p>
    <w:p w14:paraId="4538C331">
      <w:pPr>
        <w:spacing w:line="400" w:lineRule="exact"/>
        <w:ind w:firstLine="420" w:firstLineChars="200"/>
        <w:rPr>
          <w:color w:val="auto"/>
          <w:highlight w:val="none"/>
        </w:rPr>
      </w:pPr>
      <w:r>
        <w:rPr>
          <w:rFonts w:hint="eastAsia"/>
          <w:color w:val="auto"/>
          <w:highlight w:val="none"/>
        </w:rPr>
        <w:t>除投标人须知前附表规定评标委员会直接确定中标人外，招标人依据评标委员会推荐的中标候选人确定中标人，评标委员会推荐中标候选人的人数见投标人须知前附表。</w:t>
      </w:r>
    </w:p>
    <w:p w14:paraId="3F41AF48">
      <w:pPr>
        <w:pStyle w:val="33"/>
        <w:rPr>
          <w:color w:val="auto"/>
          <w:highlight w:val="none"/>
        </w:rPr>
      </w:pPr>
      <w:bookmarkStart w:id="358" w:name="_Toc1765"/>
      <w:bookmarkStart w:id="359" w:name="_Toc152045568"/>
      <w:bookmarkStart w:id="360" w:name="_Toc152042344"/>
      <w:bookmarkStart w:id="361" w:name="_Toc144974536"/>
      <w:bookmarkStart w:id="362" w:name="_Toc179632586"/>
      <w:bookmarkStart w:id="363" w:name="_Toc28531725"/>
      <w:r>
        <w:rPr>
          <w:color w:val="auto"/>
          <w:highlight w:val="none"/>
        </w:rPr>
        <w:t xml:space="preserve">7.2 </w:t>
      </w:r>
      <w:r>
        <w:rPr>
          <w:rFonts w:hint="eastAsia"/>
          <w:color w:val="auto"/>
          <w:highlight w:val="none"/>
        </w:rPr>
        <w:t>中标通知</w:t>
      </w:r>
      <w:bookmarkEnd w:id="358"/>
      <w:bookmarkEnd w:id="359"/>
      <w:bookmarkEnd w:id="360"/>
      <w:bookmarkEnd w:id="361"/>
      <w:bookmarkEnd w:id="362"/>
      <w:bookmarkEnd w:id="363"/>
    </w:p>
    <w:p w14:paraId="3E1EA8F4">
      <w:pPr>
        <w:spacing w:line="400" w:lineRule="exact"/>
        <w:ind w:firstLine="420" w:firstLineChars="200"/>
        <w:rPr>
          <w:color w:val="auto"/>
          <w:highlight w:val="none"/>
        </w:rPr>
      </w:pPr>
      <w:r>
        <w:rPr>
          <w:rFonts w:hint="eastAsia"/>
          <w:color w:val="auto"/>
          <w:highlight w:val="none"/>
        </w:rPr>
        <w:t>评标结果公示期满后，在本章第</w:t>
      </w:r>
      <w:r>
        <w:rPr>
          <w:color w:val="auto"/>
          <w:highlight w:val="none"/>
        </w:rPr>
        <w:t>3.3</w:t>
      </w:r>
      <w:r>
        <w:rPr>
          <w:rFonts w:hint="eastAsia"/>
          <w:color w:val="auto"/>
          <w:highlight w:val="none"/>
        </w:rPr>
        <w:t>款规定的投标有效期内，招标人通过“电子交易平台”以书面形式向中标人发出中标通知书，同时将中标结果通知未中标的投标人。</w:t>
      </w:r>
    </w:p>
    <w:p w14:paraId="0B5DD162">
      <w:pPr>
        <w:spacing w:line="400" w:lineRule="exact"/>
        <w:ind w:firstLine="420" w:firstLineChars="200"/>
        <w:rPr>
          <w:color w:val="auto"/>
          <w:highlight w:val="none"/>
        </w:rPr>
      </w:pPr>
      <w:r>
        <w:rPr>
          <w:rFonts w:hint="eastAsia"/>
          <w:color w:val="auto"/>
          <w:highlight w:val="none"/>
        </w:rPr>
        <w:t>中标通知书发出的同时，招标人将在投标人须知前附表第</w:t>
      </w:r>
      <w:r>
        <w:rPr>
          <w:color w:val="auto"/>
          <w:highlight w:val="none"/>
        </w:rPr>
        <w:t>6.4</w:t>
      </w:r>
      <w:r>
        <w:rPr>
          <w:rFonts w:hint="eastAsia"/>
          <w:color w:val="auto"/>
          <w:highlight w:val="none"/>
        </w:rPr>
        <w:t>款规定的媒介发布中标结果公示。</w:t>
      </w:r>
    </w:p>
    <w:p w14:paraId="47EDA779">
      <w:pPr>
        <w:pStyle w:val="33"/>
        <w:rPr>
          <w:color w:val="auto"/>
          <w:highlight w:val="none"/>
        </w:rPr>
      </w:pPr>
      <w:bookmarkStart w:id="364" w:name="_Toc152045569"/>
      <w:bookmarkStart w:id="365" w:name="_Toc179632587"/>
      <w:bookmarkStart w:id="366" w:name="_Toc152042345"/>
      <w:bookmarkStart w:id="367" w:name="_Toc144974537"/>
      <w:bookmarkStart w:id="368" w:name="_Toc26673"/>
      <w:bookmarkStart w:id="369" w:name="_Toc28531726"/>
      <w:r>
        <w:rPr>
          <w:color w:val="auto"/>
          <w:highlight w:val="none"/>
        </w:rPr>
        <w:t xml:space="preserve">7.3 </w:t>
      </w:r>
      <w:r>
        <w:rPr>
          <w:rFonts w:hint="eastAsia"/>
          <w:color w:val="auto"/>
          <w:highlight w:val="none"/>
        </w:rPr>
        <w:t>履约</w:t>
      </w:r>
      <w:bookmarkEnd w:id="364"/>
      <w:bookmarkEnd w:id="365"/>
      <w:bookmarkEnd w:id="366"/>
      <w:bookmarkEnd w:id="367"/>
      <w:r>
        <w:rPr>
          <w:rFonts w:hint="eastAsia"/>
          <w:color w:val="auto"/>
          <w:highlight w:val="none"/>
        </w:rPr>
        <w:t>保证金</w:t>
      </w:r>
      <w:bookmarkEnd w:id="368"/>
      <w:bookmarkEnd w:id="369"/>
    </w:p>
    <w:p w14:paraId="054AD743">
      <w:pPr>
        <w:spacing w:line="400" w:lineRule="exact"/>
        <w:ind w:firstLine="420" w:firstLineChars="200"/>
        <w:rPr>
          <w:color w:val="auto"/>
          <w:highlight w:val="none"/>
        </w:rPr>
      </w:pPr>
      <w:r>
        <w:rPr>
          <w:color w:val="auto"/>
          <w:highlight w:val="none"/>
        </w:rPr>
        <w:t>7.3.1</w:t>
      </w:r>
      <w:r>
        <w:rPr>
          <w:rFonts w:hint="eastAsia"/>
          <w:color w:val="auto"/>
          <w:highlight w:val="none"/>
        </w:rPr>
        <w:t>在签订合同前，中标人应按投标人须知前附表规定的金额、担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5421C5B7">
      <w:pPr>
        <w:spacing w:line="400" w:lineRule="exact"/>
        <w:ind w:firstLine="420" w:firstLineChars="200"/>
        <w:rPr>
          <w:color w:val="auto"/>
          <w:highlight w:val="none"/>
        </w:rPr>
      </w:pPr>
      <w:r>
        <w:rPr>
          <w:color w:val="auto"/>
          <w:highlight w:val="none"/>
        </w:rPr>
        <w:t xml:space="preserve">7.3.2 </w:t>
      </w:r>
      <w:r>
        <w:rPr>
          <w:rFonts w:hint="eastAsia"/>
          <w:color w:val="auto"/>
          <w:highlight w:val="none"/>
        </w:rPr>
        <w:t>中标人不能按本章第</w:t>
      </w:r>
      <w:r>
        <w:rPr>
          <w:color w:val="auto"/>
          <w:highlight w:val="none"/>
        </w:rPr>
        <w:t>7.3.1</w:t>
      </w:r>
      <w:r>
        <w:rPr>
          <w:rFonts w:hint="eastAsia"/>
          <w:color w:val="auto"/>
          <w:highlight w:val="none"/>
        </w:rPr>
        <w:t>项要求提交履约保证金的，视为放弃中标，其投标保证金不予退还，给招标人造成的损失超过投标保证金数额的，中标人还应当对超过部分予以赔偿。</w:t>
      </w:r>
    </w:p>
    <w:p w14:paraId="22FA965A">
      <w:pPr>
        <w:pStyle w:val="33"/>
        <w:rPr>
          <w:color w:val="auto"/>
          <w:highlight w:val="none"/>
        </w:rPr>
      </w:pPr>
      <w:bookmarkStart w:id="370" w:name="_Toc28531727"/>
      <w:bookmarkStart w:id="371" w:name="_Toc144974538"/>
      <w:bookmarkStart w:id="372" w:name="_Toc14471"/>
      <w:bookmarkStart w:id="373" w:name="_Toc179632588"/>
      <w:bookmarkStart w:id="374" w:name="_Toc152042346"/>
      <w:bookmarkStart w:id="375" w:name="_Toc152045570"/>
      <w:r>
        <w:rPr>
          <w:color w:val="auto"/>
          <w:highlight w:val="none"/>
        </w:rPr>
        <w:t xml:space="preserve">7.4 </w:t>
      </w:r>
      <w:r>
        <w:rPr>
          <w:rFonts w:hint="eastAsia"/>
          <w:color w:val="auto"/>
          <w:highlight w:val="none"/>
        </w:rPr>
        <w:t>签订合同</w:t>
      </w:r>
      <w:bookmarkEnd w:id="370"/>
      <w:bookmarkEnd w:id="371"/>
      <w:bookmarkEnd w:id="372"/>
      <w:bookmarkEnd w:id="373"/>
      <w:bookmarkEnd w:id="374"/>
      <w:bookmarkEnd w:id="375"/>
    </w:p>
    <w:p w14:paraId="3AE3A188">
      <w:pPr>
        <w:spacing w:line="400" w:lineRule="exact"/>
        <w:ind w:firstLine="420" w:firstLineChars="200"/>
        <w:rPr>
          <w:color w:val="auto"/>
          <w:highlight w:val="none"/>
        </w:rPr>
      </w:pPr>
      <w:r>
        <w:rPr>
          <w:color w:val="auto"/>
          <w:highlight w:val="none"/>
        </w:rPr>
        <w:t>7.4.1</w:t>
      </w:r>
      <w:r>
        <w:rPr>
          <w:rFonts w:hint="eastAsia"/>
          <w:color w:val="auto"/>
          <w:highlight w:val="none"/>
        </w:rPr>
        <w:t>招标人和中标人应当在投标有效期内并自中标通知书发出之日起</w:t>
      </w:r>
      <w:r>
        <w:rPr>
          <w:color w:val="auto"/>
          <w:highlight w:val="none"/>
        </w:rPr>
        <w:t>30</w:t>
      </w:r>
      <w:r>
        <w:rPr>
          <w:rFonts w:hint="eastAsia"/>
          <w:color w:val="auto"/>
          <w:highlight w:val="none"/>
        </w:rPr>
        <w:t>日内，根据招标文件和中标人的投标文件</w:t>
      </w:r>
      <w:r>
        <w:rPr>
          <w:rFonts w:hint="eastAsia" w:ascii="宋体" w:hAnsi="宋体"/>
          <w:color w:val="auto"/>
          <w:szCs w:val="21"/>
          <w:highlight w:val="none"/>
        </w:rPr>
        <w:t>（以经评标委员会评审的文件版本为准）</w:t>
      </w:r>
      <w:r>
        <w:rPr>
          <w:rFonts w:hint="eastAsia"/>
          <w:color w:val="auto"/>
          <w:highlight w:val="none"/>
        </w:rPr>
        <w:t>订立书面合同。中标人无正当理由拒签合同或在签订合同时向招标人提出附加条件的，招标人取消其中标资格，其投标保证金不予退还；给招标人造成的损失超过投标保证金数额的，中标人还应当对超过部分予以赔偿。</w:t>
      </w:r>
      <w:r>
        <w:rPr>
          <w:color w:val="auto"/>
          <w:highlight w:val="none"/>
        </w:rPr>
        <w:t xml:space="preserve"> </w:t>
      </w:r>
    </w:p>
    <w:p w14:paraId="69828DDD">
      <w:pPr>
        <w:spacing w:line="400" w:lineRule="exact"/>
        <w:ind w:firstLine="420" w:firstLineChars="200"/>
        <w:rPr>
          <w:color w:val="auto"/>
          <w:highlight w:val="none"/>
        </w:rPr>
      </w:pPr>
      <w:r>
        <w:rPr>
          <w:color w:val="auto"/>
          <w:highlight w:val="none"/>
        </w:rPr>
        <w:t xml:space="preserve">7.4.2 </w:t>
      </w:r>
      <w:r>
        <w:rPr>
          <w:rFonts w:hint="eastAsia"/>
          <w:color w:val="auto"/>
          <w:highlight w:val="none"/>
        </w:rPr>
        <w:t>发出中标通知书后，招标人无正当理由拒签合同的，招标人向中标人退还投标保证金；给中标人造成损失的，还应当赔偿损失。</w:t>
      </w:r>
      <w:r>
        <w:rPr>
          <w:color w:val="auto"/>
          <w:highlight w:val="none"/>
        </w:rPr>
        <w:t xml:space="preserve"> </w:t>
      </w:r>
    </w:p>
    <w:p w14:paraId="5C7DDC53">
      <w:pPr>
        <w:spacing w:line="400" w:lineRule="exact"/>
        <w:ind w:firstLine="420" w:firstLineChars="200"/>
        <w:rPr>
          <w:color w:val="auto"/>
          <w:highlight w:val="none"/>
        </w:rPr>
      </w:pPr>
      <w:r>
        <w:rPr>
          <w:color w:val="auto"/>
          <w:highlight w:val="none"/>
        </w:rPr>
        <w:t xml:space="preserve">7.4.3 </w:t>
      </w:r>
      <w:r>
        <w:rPr>
          <w:rFonts w:hint="eastAsia"/>
          <w:color w:val="auto"/>
          <w:highlight w:val="none"/>
        </w:rPr>
        <w:t>签约合同价的确定原则如下：</w:t>
      </w:r>
    </w:p>
    <w:p w14:paraId="39867364">
      <w:pPr>
        <w:spacing w:line="400" w:lineRule="exact"/>
        <w:ind w:firstLine="420" w:firstLineChars="200"/>
        <w:rPr>
          <w:color w:val="auto"/>
          <w:highlight w:val="none"/>
        </w:rPr>
      </w:pPr>
      <w:r>
        <w:rPr>
          <w:rFonts w:hint="eastAsia"/>
          <w:color w:val="auto"/>
          <w:highlight w:val="none"/>
        </w:rPr>
        <w:t>开标时投标函中大写投标总价应为签约合同价。按照第三章“评标办法”的规定，如投标报价有算术错误的，修正的价格经投标人书面确认后，以修正后的投标总价为签约合同价。</w:t>
      </w:r>
    </w:p>
    <w:p w14:paraId="59032DA7">
      <w:pPr>
        <w:spacing w:line="400" w:lineRule="exact"/>
        <w:ind w:firstLine="420" w:firstLineChars="200"/>
        <w:rPr>
          <w:color w:val="auto"/>
          <w:highlight w:val="none"/>
        </w:rPr>
      </w:pPr>
      <w:r>
        <w:rPr>
          <w:color w:val="auto"/>
          <w:highlight w:val="none"/>
        </w:rPr>
        <w:t xml:space="preserve">7.4.4 </w:t>
      </w:r>
      <w:r>
        <w:rPr>
          <w:rFonts w:hint="eastAsia"/>
          <w:color w:val="auto"/>
          <w:highlight w:val="none"/>
        </w:rPr>
        <w:t>中标人应当在合同签订后</w:t>
      </w:r>
      <w:r>
        <w:rPr>
          <w:color w:val="auto"/>
          <w:highlight w:val="none"/>
        </w:rPr>
        <w:t>15</w:t>
      </w:r>
      <w:r>
        <w:rPr>
          <w:rFonts w:hint="eastAsia"/>
          <w:color w:val="auto"/>
          <w:highlight w:val="none"/>
        </w:rPr>
        <w:t>日内，登录“电子交易平台”</w:t>
      </w:r>
      <w:r>
        <w:rPr>
          <w:rFonts w:hint="eastAsia"/>
          <w:color w:val="auto"/>
          <w:highlight w:val="none"/>
          <w:shd w:val="clear" w:color="auto" w:fill="FFFFFF"/>
        </w:rPr>
        <w:t>提交电子合同文件归档</w:t>
      </w:r>
      <w:r>
        <w:rPr>
          <w:rFonts w:hint="eastAsia"/>
          <w:color w:val="auto"/>
          <w:sz w:val="19"/>
          <w:szCs w:val="19"/>
          <w:highlight w:val="none"/>
          <w:shd w:val="clear" w:color="auto" w:fill="FFFFFF"/>
        </w:rPr>
        <w:t>。</w:t>
      </w:r>
    </w:p>
    <w:p w14:paraId="5AC8EF3B">
      <w:pPr>
        <w:pStyle w:val="31"/>
        <w:rPr>
          <w:color w:val="auto"/>
          <w:highlight w:val="none"/>
        </w:rPr>
      </w:pPr>
      <w:bookmarkStart w:id="376" w:name="_Toc152045571"/>
      <w:bookmarkStart w:id="377" w:name="_Toc152042347"/>
      <w:bookmarkStart w:id="378" w:name="_Toc179632589"/>
      <w:bookmarkStart w:id="379" w:name="_Toc144974539"/>
      <w:bookmarkStart w:id="380" w:name="_Toc29251"/>
      <w:bookmarkStart w:id="381" w:name="_Toc28531728"/>
      <w:r>
        <w:rPr>
          <w:color w:val="auto"/>
          <w:highlight w:val="none"/>
        </w:rPr>
        <w:t xml:space="preserve">8. </w:t>
      </w:r>
      <w:r>
        <w:rPr>
          <w:rFonts w:hint="eastAsia"/>
          <w:color w:val="auto"/>
          <w:highlight w:val="none"/>
        </w:rPr>
        <w:t>重新招标、不再招标</w:t>
      </w:r>
      <w:bookmarkEnd w:id="376"/>
      <w:bookmarkEnd w:id="377"/>
      <w:bookmarkEnd w:id="378"/>
      <w:bookmarkEnd w:id="379"/>
      <w:r>
        <w:rPr>
          <w:rFonts w:hint="eastAsia"/>
          <w:color w:val="auto"/>
          <w:highlight w:val="none"/>
        </w:rPr>
        <w:t>和终止招标</w:t>
      </w:r>
      <w:bookmarkEnd w:id="380"/>
      <w:bookmarkEnd w:id="381"/>
    </w:p>
    <w:p w14:paraId="2490539C">
      <w:pPr>
        <w:pStyle w:val="33"/>
        <w:rPr>
          <w:color w:val="auto"/>
          <w:highlight w:val="none"/>
        </w:rPr>
      </w:pPr>
      <w:bookmarkStart w:id="382" w:name="_Toc28531729"/>
      <w:bookmarkStart w:id="383" w:name="_Toc144974540"/>
      <w:bookmarkStart w:id="384" w:name="_Toc179632590"/>
      <w:bookmarkStart w:id="385" w:name="_Toc152042348"/>
      <w:bookmarkStart w:id="386" w:name="_Toc28292"/>
      <w:bookmarkStart w:id="387" w:name="_Toc152045572"/>
      <w:r>
        <w:rPr>
          <w:color w:val="auto"/>
          <w:highlight w:val="none"/>
        </w:rPr>
        <w:t xml:space="preserve">8.1 </w:t>
      </w:r>
      <w:r>
        <w:rPr>
          <w:rFonts w:hint="eastAsia"/>
          <w:color w:val="auto"/>
          <w:highlight w:val="none"/>
        </w:rPr>
        <w:t>重新招标</w:t>
      </w:r>
      <w:bookmarkEnd w:id="382"/>
      <w:bookmarkEnd w:id="383"/>
      <w:bookmarkEnd w:id="384"/>
      <w:bookmarkEnd w:id="385"/>
      <w:bookmarkEnd w:id="386"/>
      <w:bookmarkEnd w:id="387"/>
    </w:p>
    <w:p w14:paraId="1ECE3787">
      <w:pPr>
        <w:spacing w:line="400" w:lineRule="exact"/>
        <w:ind w:firstLine="420" w:firstLineChars="200"/>
        <w:rPr>
          <w:color w:val="auto"/>
          <w:highlight w:val="none"/>
        </w:rPr>
      </w:pPr>
      <w:r>
        <w:rPr>
          <w:rFonts w:hint="eastAsia"/>
          <w:color w:val="auto"/>
          <w:highlight w:val="none"/>
        </w:rPr>
        <w:t>有下列情形之一的，招标人将重新招标：</w:t>
      </w:r>
    </w:p>
    <w:p w14:paraId="6A0F8C9A">
      <w:pPr>
        <w:spacing w:line="400" w:lineRule="exact"/>
        <w:ind w:firstLine="359" w:firstLineChars="171"/>
        <w:rPr>
          <w:color w:val="auto"/>
          <w:highlight w:val="none"/>
        </w:rPr>
      </w:pPr>
      <w:r>
        <w:rPr>
          <w:rFonts w:hint="eastAsia"/>
          <w:color w:val="auto"/>
          <w:highlight w:val="none"/>
        </w:rPr>
        <w:t>（</w:t>
      </w:r>
      <w:r>
        <w:rPr>
          <w:color w:val="auto"/>
          <w:highlight w:val="none"/>
        </w:rPr>
        <w:t>1</w:t>
      </w:r>
      <w:r>
        <w:rPr>
          <w:rFonts w:hint="eastAsia"/>
          <w:color w:val="auto"/>
          <w:highlight w:val="none"/>
        </w:rPr>
        <w:t>）投标截止时间止，投标人少于</w:t>
      </w:r>
      <w:r>
        <w:rPr>
          <w:color w:val="auto"/>
          <w:highlight w:val="none"/>
        </w:rPr>
        <w:t>3</w:t>
      </w:r>
      <w:r>
        <w:rPr>
          <w:rFonts w:hint="eastAsia"/>
          <w:color w:val="auto"/>
          <w:highlight w:val="none"/>
        </w:rPr>
        <w:t>个的；</w:t>
      </w:r>
    </w:p>
    <w:p w14:paraId="0D95AD76">
      <w:pPr>
        <w:spacing w:line="400" w:lineRule="exact"/>
        <w:ind w:firstLine="359" w:firstLineChars="171"/>
        <w:rPr>
          <w:color w:val="auto"/>
          <w:highlight w:val="none"/>
        </w:rPr>
      </w:pPr>
      <w:r>
        <w:rPr>
          <w:rFonts w:hint="eastAsia"/>
          <w:color w:val="auto"/>
          <w:highlight w:val="none"/>
        </w:rPr>
        <w:t>（</w:t>
      </w:r>
      <w:r>
        <w:rPr>
          <w:color w:val="auto"/>
          <w:highlight w:val="none"/>
        </w:rPr>
        <w:t>2</w:t>
      </w:r>
      <w:r>
        <w:rPr>
          <w:rFonts w:hint="eastAsia"/>
          <w:color w:val="auto"/>
          <w:highlight w:val="none"/>
        </w:rPr>
        <w:t>）经评标委员会评审后否决所有投标的；</w:t>
      </w:r>
    </w:p>
    <w:p w14:paraId="363422C2">
      <w:pPr>
        <w:spacing w:line="400" w:lineRule="exact"/>
        <w:ind w:firstLine="359" w:firstLineChars="171"/>
        <w:rPr>
          <w:color w:val="auto"/>
          <w:highlight w:val="none"/>
        </w:rPr>
      </w:pPr>
      <w:r>
        <w:rPr>
          <w:rFonts w:hint="eastAsia"/>
          <w:color w:val="auto"/>
          <w:highlight w:val="none"/>
        </w:rPr>
        <w:t>（</w:t>
      </w:r>
      <w:r>
        <w:rPr>
          <w:color w:val="auto"/>
          <w:highlight w:val="none"/>
        </w:rPr>
        <w:t>3</w:t>
      </w:r>
      <w:r>
        <w:rPr>
          <w:rFonts w:hint="eastAsia"/>
          <w:color w:val="auto"/>
          <w:highlight w:val="none"/>
        </w:rPr>
        <w:t>）第一中标候选人或所有中标候选人均未与招标人签订合同的；</w:t>
      </w:r>
    </w:p>
    <w:p w14:paraId="019B8027">
      <w:pPr>
        <w:spacing w:line="400" w:lineRule="exact"/>
        <w:ind w:firstLine="359" w:firstLineChars="171"/>
        <w:rPr>
          <w:color w:val="auto"/>
          <w:highlight w:val="none"/>
        </w:rPr>
      </w:pPr>
      <w:r>
        <w:rPr>
          <w:rFonts w:hint="eastAsia"/>
          <w:color w:val="auto"/>
          <w:highlight w:val="none"/>
        </w:rPr>
        <w:t>（</w:t>
      </w:r>
      <w:r>
        <w:rPr>
          <w:color w:val="auto"/>
          <w:highlight w:val="none"/>
        </w:rPr>
        <w:t>4</w:t>
      </w:r>
      <w:r>
        <w:rPr>
          <w:rFonts w:hint="eastAsia"/>
          <w:color w:val="auto"/>
          <w:highlight w:val="none"/>
        </w:rPr>
        <w:t>）法律、法规规定的其他情形。</w:t>
      </w:r>
    </w:p>
    <w:p w14:paraId="48C9CC08">
      <w:pPr>
        <w:pStyle w:val="33"/>
        <w:rPr>
          <w:color w:val="auto"/>
          <w:highlight w:val="none"/>
        </w:rPr>
      </w:pPr>
      <w:bookmarkStart w:id="388" w:name="_Toc179632591"/>
      <w:bookmarkStart w:id="389" w:name="_Toc28531730"/>
      <w:bookmarkStart w:id="390" w:name="_Toc152042349"/>
      <w:bookmarkStart w:id="391" w:name="_Toc16468"/>
      <w:bookmarkStart w:id="392" w:name="_Toc152045573"/>
      <w:bookmarkStart w:id="393" w:name="_Toc144974541"/>
      <w:r>
        <w:rPr>
          <w:color w:val="auto"/>
          <w:highlight w:val="none"/>
        </w:rPr>
        <w:t xml:space="preserve">8.2 </w:t>
      </w:r>
      <w:r>
        <w:rPr>
          <w:rFonts w:hint="eastAsia"/>
          <w:color w:val="auto"/>
          <w:highlight w:val="none"/>
        </w:rPr>
        <w:t>不再招标</w:t>
      </w:r>
      <w:bookmarkEnd w:id="388"/>
      <w:bookmarkEnd w:id="389"/>
      <w:bookmarkEnd w:id="390"/>
      <w:bookmarkEnd w:id="391"/>
      <w:bookmarkEnd w:id="392"/>
      <w:bookmarkEnd w:id="393"/>
    </w:p>
    <w:p w14:paraId="674A87B6">
      <w:pPr>
        <w:spacing w:line="400" w:lineRule="exact"/>
        <w:ind w:firstLine="420" w:firstLineChars="200"/>
        <w:rPr>
          <w:color w:val="auto"/>
          <w:highlight w:val="none"/>
        </w:rPr>
      </w:pPr>
      <w:r>
        <w:rPr>
          <w:rFonts w:hint="eastAsia"/>
          <w:color w:val="auto"/>
          <w:highlight w:val="none"/>
        </w:rPr>
        <w:t>重新招标后投标人仍少于</w:t>
      </w:r>
      <w:r>
        <w:rPr>
          <w:color w:val="auto"/>
          <w:highlight w:val="none"/>
        </w:rPr>
        <w:t>3</w:t>
      </w:r>
      <w:r>
        <w:rPr>
          <w:rFonts w:hint="eastAsia"/>
          <w:color w:val="auto"/>
          <w:highlight w:val="none"/>
        </w:rPr>
        <w:t>个或者所有投标被否决的，属于必须审批或核准的工程建设项目，经原审批或核准部门批准后不再进行招标。</w:t>
      </w:r>
    </w:p>
    <w:p w14:paraId="7EC8068C">
      <w:pPr>
        <w:pStyle w:val="33"/>
        <w:rPr>
          <w:color w:val="auto"/>
          <w:highlight w:val="none"/>
        </w:rPr>
      </w:pPr>
      <w:bookmarkStart w:id="394" w:name="_Toc28531731"/>
      <w:bookmarkStart w:id="395" w:name="_Toc28250"/>
      <w:r>
        <w:rPr>
          <w:color w:val="auto"/>
          <w:highlight w:val="none"/>
        </w:rPr>
        <w:t xml:space="preserve">8.3 </w:t>
      </w:r>
      <w:r>
        <w:rPr>
          <w:rFonts w:hint="eastAsia"/>
          <w:color w:val="auto"/>
          <w:highlight w:val="none"/>
        </w:rPr>
        <w:t>终止招标</w:t>
      </w:r>
      <w:bookmarkEnd w:id="394"/>
      <w:bookmarkEnd w:id="395"/>
    </w:p>
    <w:p w14:paraId="4F3B34A0">
      <w:pPr>
        <w:spacing w:line="400" w:lineRule="exact"/>
        <w:ind w:firstLine="420" w:firstLineChars="200"/>
        <w:rPr>
          <w:color w:val="auto"/>
          <w:highlight w:val="none"/>
        </w:rPr>
      </w:pPr>
      <w:r>
        <w:rPr>
          <w:rFonts w:hint="eastAsia"/>
          <w:color w:val="auto"/>
          <w:highlight w:val="none"/>
        </w:rPr>
        <w:t>因不可抗力等原因，招标人终止招标的，将通过“电子交易平台”及时发布公告，或者以书面形式通知被邀请的或者已经获取招标文件的潜在投标人。已经发出招标文件或者已经收取投标保证金的，招标人将及时退还所收取的招标文件的费用，以及所收取的投标保证金及银行同期存款利息。</w:t>
      </w:r>
    </w:p>
    <w:p w14:paraId="180FE5C1">
      <w:pPr>
        <w:pStyle w:val="31"/>
        <w:rPr>
          <w:color w:val="auto"/>
          <w:highlight w:val="none"/>
        </w:rPr>
      </w:pPr>
      <w:bookmarkStart w:id="396" w:name="_Toc179632592"/>
      <w:bookmarkStart w:id="397" w:name="_Toc21596"/>
      <w:bookmarkStart w:id="398" w:name="_Toc152045574"/>
      <w:bookmarkStart w:id="399" w:name="_Toc152042350"/>
      <w:bookmarkStart w:id="400" w:name="_Toc144974542"/>
      <w:bookmarkStart w:id="401" w:name="_Toc28531732"/>
      <w:r>
        <w:rPr>
          <w:color w:val="auto"/>
          <w:highlight w:val="none"/>
        </w:rPr>
        <w:t xml:space="preserve">9. </w:t>
      </w:r>
      <w:r>
        <w:rPr>
          <w:rFonts w:hint="eastAsia"/>
          <w:color w:val="auto"/>
          <w:highlight w:val="none"/>
        </w:rPr>
        <w:t>纪律和监督</w:t>
      </w:r>
      <w:bookmarkEnd w:id="396"/>
      <w:bookmarkEnd w:id="397"/>
      <w:bookmarkEnd w:id="398"/>
      <w:bookmarkEnd w:id="399"/>
      <w:bookmarkEnd w:id="400"/>
      <w:bookmarkEnd w:id="401"/>
    </w:p>
    <w:p w14:paraId="5B7A6298">
      <w:pPr>
        <w:pStyle w:val="33"/>
        <w:rPr>
          <w:color w:val="auto"/>
          <w:highlight w:val="none"/>
        </w:rPr>
      </w:pPr>
      <w:bookmarkStart w:id="402" w:name="_Toc179632593"/>
      <w:bookmarkStart w:id="403" w:name="_Toc28531733"/>
      <w:bookmarkStart w:id="404" w:name="_Toc152045575"/>
      <w:bookmarkStart w:id="405" w:name="_Toc144974543"/>
      <w:bookmarkStart w:id="406" w:name="_Toc152042351"/>
      <w:bookmarkStart w:id="407" w:name="_Toc713"/>
      <w:r>
        <w:rPr>
          <w:color w:val="auto"/>
          <w:highlight w:val="none"/>
        </w:rPr>
        <w:t xml:space="preserve">9.1 </w:t>
      </w:r>
      <w:r>
        <w:rPr>
          <w:rFonts w:hint="eastAsia"/>
          <w:color w:val="auto"/>
          <w:highlight w:val="none"/>
        </w:rPr>
        <w:t>对招标人的纪律要求</w:t>
      </w:r>
      <w:bookmarkEnd w:id="402"/>
      <w:bookmarkEnd w:id="403"/>
      <w:bookmarkEnd w:id="404"/>
      <w:bookmarkEnd w:id="405"/>
      <w:bookmarkEnd w:id="406"/>
      <w:bookmarkEnd w:id="407"/>
    </w:p>
    <w:p w14:paraId="60877193">
      <w:pPr>
        <w:spacing w:line="400" w:lineRule="exact"/>
        <w:ind w:firstLine="420" w:firstLineChars="200"/>
        <w:rPr>
          <w:color w:val="auto"/>
          <w:highlight w:val="none"/>
        </w:rPr>
      </w:pPr>
      <w:r>
        <w:rPr>
          <w:rFonts w:hint="eastAsia"/>
          <w:color w:val="auto"/>
          <w:highlight w:val="none"/>
        </w:rPr>
        <w:t>招标人不得泄漏招标投标活动中应当保密的情况和资料，不得与投标人串通损害国家利益、社会公共利益或者他人合法权益。</w:t>
      </w:r>
    </w:p>
    <w:p w14:paraId="26F81110">
      <w:pPr>
        <w:pStyle w:val="33"/>
        <w:rPr>
          <w:color w:val="auto"/>
          <w:highlight w:val="none"/>
        </w:rPr>
      </w:pPr>
      <w:bookmarkStart w:id="408" w:name="_Toc152045576"/>
      <w:bookmarkStart w:id="409" w:name="_Toc179632594"/>
      <w:bookmarkStart w:id="410" w:name="_Toc144974544"/>
      <w:bookmarkStart w:id="411" w:name="_Toc1048"/>
      <w:bookmarkStart w:id="412" w:name="_Toc28531734"/>
      <w:bookmarkStart w:id="413" w:name="_Toc152042352"/>
      <w:r>
        <w:rPr>
          <w:color w:val="auto"/>
          <w:highlight w:val="none"/>
        </w:rPr>
        <w:t xml:space="preserve">9.2 </w:t>
      </w:r>
      <w:r>
        <w:rPr>
          <w:rFonts w:hint="eastAsia"/>
          <w:color w:val="auto"/>
          <w:highlight w:val="none"/>
        </w:rPr>
        <w:t>对投标人的纪律要求</w:t>
      </w:r>
      <w:bookmarkEnd w:id="408"/>
      <w:bookmarkEnd w:id="409"/>
      <w:bookmarkEnd w:id="410"/>
      <w:bookmarkEnd w:id="411"/>
      <w:bookmarkEnd w:id="412"/>
      <w:bookmarkEnd w:id="413"/>
    </w:p>
    <w:p w14:paraId="28DD8D1D">
      <w:pPr>
        <w:spacing w:line="400" w:lineRule="exact"/>
        <w:ind w:firstLine="420" w:firstLineChars="200"/>
        <w:rPr>
          <w:color w:val="auto"/>
          <w:highlight w:val="none"/>
        </w:rPr>
      </w:pPr>
      <w:r>
        <w:rPr>
          <w:rFonts w:hint="eastAsia"/>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0789AFA">
      <w:pPr>
        <w:pStyle w:val="33"/>
        <w:rPr>
          <w:color w:val="auto"/>
          <w:highlight w:val="none"/>
        </w:rPr>
      </w:pPr>
      <w:bookmarkStart w:id="414" w:name="_Toc179632595"/>
      <w:bookmarkStart w:id="415" w:name="_Toc4245"/>
      <w:bookmarkStart w:id="416" w:name="_Toc152042353"/>
      <w:bookmarkStart w:id="417" w:name="_Toc28531735"/>
      <w:bookmarkStart w:id="418" w:name="_Toc144974545"/>
      <w:bookmarkStart w:id="419" w:name="_Toc152045577"/>
      <w:r>
        <w:rPr>
          <w:color w:val="auto"/>
          <w:highlight w:val="none"/>
        </w:rPr>
        <w:t xml:space="preserve">9.3 </w:t>
      </w:r>
      <w:r>
        <w:rPr>
          <w:rFonts w:hint="eastAsia"/>
          <w:color w:val="auto"/>
          <w:highlight w:val="none"/>
        </w:rPr>
        <w:t>对评标委员会成员的纪律要求</w:t>
      </w:r>
      <w:bookmarkEnd w:id="414"/>
      <w:bookmarkEnd w:id="415"/>
      <w:bookmarkEnd w:id="416"/>
      <w:bookmarkEnd w:id="417"/>
      <w:bookmarkEnd w:id="418"/>
      <w:bookmarkEnd w:id="419"/>
    </w:p>
    <w:p w14:paraId="44612EF7">
      <w:pPr>
        <w:spacing w:line="400" w:lineRule="exact"/>
        <w:ind w:firstLine="420" w:firstLineChars="200"/>
        <w:rPr>
          <w:color w:val="auto"/>
          <w:highlight w:val="none"/>
        </w:rPr>
      </w:pPr>
      <w:r>
        <w:rPr>
          <w:rFonts w:hint="eastAsia"/>
          <w:color w:val="auto"/>
          <w:highlight w:val="none"/>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5816216B">
      <w:pPr>
        <w:pStyle w:val="33"/>
        <w:rPr>
          <w:color w:val="auto"/>
          <w:highlight w:val="none"/>
        </w:rPr>
      </w:pPr>
      <w:bookmarkStart w:id="420" w:name="_Toc28531736"/>
      <w:bookmarkStart w:id="421" w:name="_Toc152045578"/>
      <w:bookmarkStart w:id="422" w:name="_Toc22355"/>
      <w:bookmarkStart w:id="423" w:name="_Toc179632596"/>
      <w:bookmarkStart w:id="424" w:name="_Toc152042354"/>
      <w:bookmarkStart w:id="425" w:name="_Toc144974546"/>
      <w:r>
        <w:rPr>
          <w:color w:val="auto"/>
          <w:highlight w:val="none"/>
        </w:rPr>
        <w:t xml:space="preserve">9.4 </w:t>
      </w:r>
      <w:r>
        <w:rPr>
          <w:rFonts w:hint="eastAsia"/>
          <w:color w:val="auto"/>
          <w:highlight w:val="none"/>
        </w:rPr>
        <w:t>对与评标活动有关的工作人员的纪律要求</w:t>
      </w:r>
      <w:bookmarkEnd w:id="420"/>
      <w:bookmarkEnd w:id="421"/>
      <w:bookmarkEnd w:id="422"/>
      <w:bookmarkEnd w:id="423"/>
      <w:bookmarkEnd w:id="424"/>
    </w:p>
    <w:p w14:paraId="423CA849">
      <w:pPr>
        <w:spacing w:line="400" w:lineRule="exact"/>
        <w:ind w:firstLine="420" w:firstLineChars="200"/>
        <w:rPr>
          <w:color w:val="auto"/>
          <w:highlight w:val="none"/>
        </w:rPr>
      </w:pPr>
      <w:bookmarkStart w:id="426" w:name="_Toc152042355"/>
      <w:r>
        <w:rPr>
          <w:rFonts w:hint="eastAsia"/>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426"/>
    </w:p>
    <w:p w14:paraId="53FBFCF7">
      <w:pPr>
        <w:pStyle w:val="33"/>
        <w:rPr>
          <w:color w:val="auto"/>
          <w:highlight w:val="none"/>
        </w:rPr>
      </w:pPr>
      <w:bookmarkStart w:id="427" w:name="_Toc152042356"/>
      <w:bookmarkStart w:id="428" w:name="_Toc179632597"/>
      <w:bookmarkStart w:id="429" w:name="_Toc28531737"/>
      <w:bookmarkStart w:id="430" w:name="_Toc152045579"/>
      <w:bookmarkStart w:id="431" w:name="_Toc9766"/>
      <w:r>
        <w:rPr>
          <w:color w:val="auto"/>
          <w:highlight w:val="none"/>
        </w:rPr>
        <w:t xml:space="preserve">9.5 </w:t>
      </w:r>
      <w:r>
        <w:rPr>
          <w:rFonts w:hint="eastAsia"/>
          <w:color w:val="auto"/>
          <w:highlight w:val="none"/>
        </w:rPr>
        <w:t>投诉</w:t>
      </w:r>
      <w:bookmarkEnd w:id="425"/>
      <w:bookmarkEnd w:id="427"/>
      <w:bookmarkEnd w:id="428"/>
      <w:bookmarkEnd w:id="429"/>
      <w:bookmarkEnd w:id="430"/>
      <w:bookmarkEnd w:id="431"/>
    </w:p>
    <w:p w14:paraId="79A5D321">
      <w:pPr>
        <w:spacing w:line="400" w:lineRule="exact"/>
        <w:ind w:firstLine="420" w:firstLineChars="200"/>
        <w:rPr>
          <w:rFonts w:hint="eastAsia"/>
          <w:color w:val="auto"/>
          <w:szCs w:val="21"/>
          <w:highlight w:val="none"/>
        </w:rPr>
      </w:pPr>
      <w:r>
        <w:rPr>
          <w:rFonts w:hint="eastAsia"/>
          <w:color w:val="auto"/>
          <w:szCs w:val="21"/>
          <w:highlight w:val="none"/>
        </w:rPr>
        <w:t>本次招标投标活动及其相关当事人应当接受</w:t>
      </w:r>
      <w:r>
        <w:rPr>
          <w:rFonts w:hint="eastAsia" w:ascii="宋体" w:cs="宋体"/>
          <w:color w:val="auto"/>
          <w:spacing w:val="4"/>
          <w:kern w:val="0"/>
          <w:sz w:val="22"/>
          <w:highlight w:val="none"/>
        </w:rPr>
        <w:t>有关</w:t>
      </w:r>
      <w:r>
        <w:rPr>
          <w:rFonts w:hint="eastAsia"/>
          <w:color w:val="auto"/>
          <w:szCs w:val="21"/>
          <w:highlight w:val="none"/>
        </w:rPr>
        <w:t>行政监督部门依法实施的监督。</w:t>
      </w:r>
    </w:p>
    <w:p w14:paraId="231707BE">
      <w:pPr>
        <w:spacing w:line="400" w:lineRule="exact"/>
        <w:ind w:firstLine="420" w:firstLineChars="200"/>
        <w:rPr>
          <w:color w:val="auto"/>
          <w:szCs w:val="21"/>
          <w:highlight w:val="none"/>
        </w:rPr>
      </w:pPr>
      <w:r>
        <w:rPr>
          <w:rFonts w:hint="eastAsia"/>
          <w:color w:val="auto"/>
          <w:szCs w:val="21"/>
          <w:highlight w:val="none"/>
        </w:rPr>
        <w:t>依据《中华人民共和国招标投标法实施条例》第四条第三款的规定，财政部门依法对实行招标投标的政府采购工程建设项目的政府采购政策执行情况实施监督。</w:t>
      </w:r>
    </w:p>
    <w:p w14:paraId="6C9AF346">
      <w:pPr>
        <w:spacing w:line="400" w:lineRule="exact"/>
        <w:ind w:firstLine="420" w:firstLineChars="200"/>
        <w:rPr>
          <w:color w:val="auto"/>
          <w:szCs w:val="24"/>
          <w:highlight w:val="none"/>
          <w:bdr w:val="single" w:color="auto" w:sz="4" w:space="0"/>
        </w:rPr>
      </w:pPr>
      <w:r>
        <w:rPr>
          <w:rFonts w:hint="eastAsia"/>
          <w:color w:val="auto"/>
          <w:highlight w:val="none"/>
        </w:rPr>
        <w:t>投标人和其他利害关系人认为本次招标活动违反法律、法规和规章规定的，有权自知道或者应当知道之日起</w:t>
      </w:r>
      <w:r>
        <w:rPr>
          <w:color w:val="auto"/>
          <w:highlight w:val="none"/>
        </w:rPr>
        <w:t>10</w:t>
      </w:r>
      <w:r>
        <w:rPr>
          <w:rFonts w:hint="eastAsia"/>
          <w:color w:val="auto"/>
          <w:highlight w:val="none"/>
        </w:rPr>
        <w:t>日内向有关行政监督部门投诉，其中对招标文件的内容（包括招标控制价）、开标、评标结果进行投诉的，应当按本章第</w:t>
      </w:r>
      <w:r>
        <w:rPr>
          <w:color w:val="auto"/>
          <w:highlight w:val="none"/>
        </w:rPr>
        <w:t>2.4</w:t>
      </w:r>
      <w:r>
        <w:rPr>
          <w:rFonts w:hint="eastAsia"/>
          <w:color w:val="auto"/>
          <w:highlight w:val="none"/>
        </w:rPr>
        <w:t>款、第</w:t>
      </w:r>
      <w:r>
        <w:rPr>
          <w:color w:val="auto"/>
          <w:highlight w:val="none"/>
        </w:rPr>
        <w:t>3.2.2</w:t>
      </w:r>
      <w:r>
        <w:rPr>
          <w:rFonts w:hint="eastAsia"/>
          <w:color w:val="auto"/>
          <w:highlight w:val="none"/>
        </w:rPr>
        <w:t>项、第</w:t>
      </w:r>
      <w:r>
        <w:rPr>
          <w:color w:val="auto"/>
          <w:highlight w:val="none"/>
        </w:rPr>
        <w:t>5.3</w:t>
      </w:r>
      <w:r>
        <w:rPr>
          <w:rFonts w:hint="eastAsia"/>
          <w:color w:val="auto"/>
          <w:highlight w:val="none"/>
        </w:rPr>
        <w:t>款、第</w:t>
      </w:r>
      <w:r>
        <w:rPr>
          <w:color w:val="auto"/>
          <w:highlight w:val="none"/>
        </w:rPr>
        <w:t>6.4</w:t>
      </w:r>
      <w:r>
        <w:rPr>
          <w:rFonts w:hint="eastAsia"/>
          <w:color w:val="auto"/>
          <w:highlight w:val="none"/>
        </w:rPr>
        <w:t>款的规定先向招标人提出异议后，方可向有关行政监督部门投诉，异议答复期不计算在规定的投诉时效期限内。</w:t>
      </w:r>
    </w:p>
    <w:p w14:paraId="0455DEA4">
      <w:pPr>
        <w:spacing w:line="400" w:lineRule="exact"/>
        <w:ind w:firstLine="420" w:firstLineChars="200"/>
        <w:rPr>
          <w:rFonts w:ascii="宋体" w:cs="宋体"/>
          <w:color w:val="auto"/>
          <w:spacing w:val="4"/>
          <w:kern w:val="0"/>
          <w:sz w:val="22"/>
          <w:highlight w:val="none"/>
        </w:rPr>
      </w:pPr>
      <w:r>
        <w:rPr>
          <w:rFonts w:hint="eastAsia"/>
          <w:color w:val="auto"/>
          <w:highlight w:val="none"/>
        </w:rPr>
        <w:t>投标人和其他利害关系人的</w:t>
      </w:r>
      <w:r>
        <w:rPr>
          <w:rFonts w:hint="eastAsia" w:ascii="宋体" w:cs="宋体"/>
          <w:color w:val="auto"/>
          <w:spacing w:val="4"/>
          <w:kern w:val="0"/>
          <w:sz w:val="22"/>
          <w:highlight w:val="none"/>
        </w:rPr>
        <w:t>投诉应按照《工程建设项目招标投标活动投诉处理办法》或《湖北省公共资源招标投标投诉处理办法》的规定进行。</w:t>
      </w:r>
    </w:p>
    <w:p w14:paraId="410218CF">
      <w:pPr>
        <w:spacing w:line="400" w:lineRule="exact"/>
        <w:ind w:firstLine="420" w:firstLineChars="200"/>
        <w:rPr>
          <w:rFonts w:hint="eastAsia" w:ascii="Times New Roman"/>
          <w:color w:val="auto"/>
          <w:szCs w:val="24"/>
          <w:highlight w:val="none"/>
        </w:rPr>
      </w:pPr>
      <w:r>
        <w:rPr>
          <w:rFonts w:hint="eastAsia"/>
          <w:color w:val="auto"/>
          <w:highlight w:val="none"/>
        </w:rPr>
        <w:t>有关行政监督部门和工程造价管理机构的联系方式见投标人须知前附表。</w:t>
      </w:r>
    </w:p>
    <w:p w14:paraId="4DCA76D6">
      <w:pPr>
        <w:pStyle w:val="31"/>
        <w:rPr>
          <w:color w:val="auto"/>
          <w:highlight w:val="none"/>
        </w:rPr>
      </w:pPr>
      <w:bookmarkStart w:id="432" w:name="_Toc22900"/>
      <w:bookmarkStart w:id="433" w:name="_Toc152042357"/>
      <w:bookmarkStart w:id="434" w:name="_Toc28531738"/>
      <w:bookmarkStart w:id="435" w:name="_Toc152045580"/>
      <w:bookmarkStart w:id="436" w:name="_Toc144974547"/>
      <w:bookmarkStart w:id="437" w:name="_Toc179632598"/>
      <w:r>
        <w:rPr>
          <w:color w:val="auto"/>
          <w:highlight w:val="none"/>
        </w:rPr>
        <w:t xml:space="preserve">10. </w:t>
      </w:r>
      <w:r>
        <w:rPr>
          <w:rFonts w:hint="eastAsia"/>
          <w:color w:val="auto"/>
          <w:highlight w:val="none"/>
        </w:rPr>
        <w:t>需要补充的其他内容</w:t>
      </w:r>
      <w:bookmarkEnd w:id="432"/>
      <w:bookmarkEnd w:id="433"/>
      <w:bookmarkEnd w:id="434"/>
      <w:bookmarkEnd w:id="435"/>
      <w:bookmarkEnd w:id="436"/>
      <w:bookmarkEnd w:id="437"/>
    </w:p>
    <w:p w14:paraId="49B3EB77">
      <w:pPr>
        <w:pStyle w:val="33"/>
        <w:rPr>
          <w:color w:val="auto"/>
          <w:highlight w:val="none"/>
        </w:rPr>
      </w:pPr>
      <w:bookmarkStart w:id="438" w:name="_Toc1381"/>
      <w:bookmarkStart w:id="439" w:name="_Toc426495265"/>
      <w:bookmarkStart w:id="440" w:name="_Toc28531739"/>
      <w:r>
        <w:rPr>
          <w:color w:val="auto"/>
          <w:highlight w:val="none"/>
        </w:rPr>
        <w:t xml:space="preserve">10.1 </w:t>
      </w:r>
      <w:r>
        <w:rPr>
          <w:rFonts w:hint="eastAsia"/>
          <w:color w:val="auto"/>
          <w:highlight w:val="none"/>
        </w:rPr>
        <w:t>多标段投标</w:t>
      </w:r>
      <w:bookmarkEnd w:id="438"/>
      <w:bookmarkEnd w:id="439"/>
      <w:bookmarkEnd w:id="440"/>
    </w:p>
    <w:p w14:paraId="0CF4E94F">
      <w:pPr>
        <w:spacing w:line="400" w:lineRule="exact"/>
        <w:ind w:firstLine="420" w:firstLineChars="200"/>
        <w:rPr>
          <w:color w:val="auto"/>
          <w:highlight w:val="none"/>
        </w:rPr>
      </w:pPr>
      <w:r>
        <w:rPr>
          <w:rFonts w:hint="eastAsia"/>
          <w:color w:val="auto"/>
          <w:highlight w:val="none"/>
        </w:rPr>
        <w:t>多标段投标规定：见投标人须知前附表。</w:t>
      </w:r>
    </w:p>
    <w:p w14:paraId="34D54FD7">
      <w:pPr>
        <w:pStyle w:val="33"/>
        <w:rPr>
          <w:color w:val="auto"/>
          <w:highlight w:val="none"/>
        </w:rPr>
      </w:pPr>
      <w:bookmarkStart w:id="441" w:name="_Toc119"/>
      <w:bookmarkStart w:id="442" w:name="_Toc28531740"/>
      <w:r>
        <w:rPr>
          <w:color w:val="auto"/>
          <w:highlight w:val="none"/>
        </w:rPr>
        <w:t xml:space="preserve">10.2 </w:t>
      </w:r>
      <w:r>
        <w:rPr>
          <w:rFonts w:hint="eastAsia"/>
          <w:color w:val="auto"/>
          <w:highlight w:val="none"/>
        </w:rPr>
        <w:t>评标办法中的有关系数的取值和评分因素设置</w:t>
      </w:r>
      <w:bookmarkEnd w:id="441"/>
      <w:bookmarkEnd w:id="442"/>
    </w:p>
    <w:p w14:paraId="157081C4">
      <w:pPr>
        <w:spacing w:line="400" w:lineRule="exact"/>
        <w:ind w:firstLine="420" w:firstLineChars="200"/>
        <w:rPr>
          <w:color w:val="auto"/>
          <w:highlight w:val="none"/>
        </w:rPr>
      </w:pPr>
      <w:r>
        <w:rPr>
          <w:color w:val="auto"/>
          <w:highlight w:val="none"/>
        </w:rPr>
        <w:t xml:space="preserve">10.2.1 </w:t>
      </w:r>
      <w:r>
        <w:rPr>
          <w:rFonts w:hint="eastAsia"/>
          <w:color w:val="auto"/>
          <w:highlight w:val="none"/>
        </w:rPr>
        <w:t>第三章评标办法前附表中“</w:t>
      </w:r>
      <w:r>
        <w:rPr>
          <w:rFonts w:hint="eastAsia" w:ascii="宋体" w:hAnsi="宋体"/>
          <w:color w:val="auto"/>
          <w:szCs w:val="21"/>
          <w:highlight w:val="none"/>
        </w:rPr>
        <w:t>评标基准价下浮系数”E的取值：</w:t>
      </w:r>
      <w:r>
        <w:rPr>
          <w:rFonts w:hint="eastAsia"/>
          <w:color w:val="auto"/>
          <w:highlight w:val="none"/>
        </w:rPr>
        <w:t>见投标人须知前附表。</w:t>
      </w:r>
    </w:p>
    <w:p w14:paraId="21A39EE2">
      <w:pPr>
        <w:spacing w:line="400" w:lineRule="exact"/>
        <w:ind w:firstLine="420" w:firstLineChars="200"/>
        <w:rPr>
          <w:color w:val="auto"/>
          <w:highlight w:val="none"/>
        </w:rPr>
      </w:pPr>
      <w:r>
        <w:rPr>
          <w:color w:val="auto"/>
          <w:highlight w:val="none"/>
        </w:rPr>
        <w:t xml:space="preserve">10.2.2 </w:t>
      </w:r>
      <w:r>
        <w:rPr>
          <w:rFonts w:hint="eastAsia"/>
          <w:color w:val="auto"/>
          <w:highlight w:val="none"/>
        </w:rPr>
        <w:t>第三章评标办法前附表中“</w:t>
      </w:r>
      <w:r>
        <w:rPr>
          <w:rFonts w:hint="eastAsia" w:ascii="宋体" w:hAnsi="宋体"/>
          <w:color w:val="auto"/>
          <w:szCs w:val="21"/>
          <w:highlight w:val="none"/>
        </w:rPr>
        <w:t>不平衡报价系数”</w:t>
      </w:r>
      <w:r>
        <w:rPr>
          <w:rFonts w:hint="eastAsia"/>
          <w:color w:val="auto"/>
          <w:highlight w:val="none"/>
        </w:rPr>
        <w:t>以及评标办法附件</w:t>
      </w:r>
      <w:r>
        <w:rPr>
          <w:color w:val="auto"/>
          <w:highlight w:val="none"/>
        </w:rPr>
        <w:t>D</w:t>
      </w:r>
      <w:r>
        <w:rPr>
          <w:rFonts w:hint="eastAsia"/>
          <w:color w:val="auto"/>
          <w:highlight w:val="none"/>
        </w:rPr>
        <w:t>“投标人成本评审办法”中“启动成本评审工作的前提条件”</w:t>
      </w:r>
      <w:r>
        <w:rPr>
          <w:rFonts w:hint="eastAsia" w:ascii="宋体" w:hAnsi="宋体"/>
          <w:color w:val="auto"/>
          <w:szCs w:val="21"/>
          <w:highlight w:val="none"/>
        </w:rPr>
        <w:t>H的取值：</w:t>
      </w:r>
      <w:r>
        <w:rPr>
          <w:rFonts w:hint="eastAsia"/>
          <w:color w:val="auto"/>
          <w:highlight w:val="none"/>
        </w:rPr>
        <w:t>见投标人须知前附表。</w:t>
      </w:r>
    </w:p>
    <w:p w14:paraId="741C4047">
      <w:pPr>
        <w:spacing w:line="400" w:lineRule="exact"/>
        <w:ind w:firstLine="420" w:firstLineChars="200"/>
        <w:rPr>
          <w:rFonts w:hint="eastAsia" w:ascii="宋体" w:hAnsi="宋体"/>
          <w:color w:val="auto"/>
          <w:szCs w:val="21"/>
          <w:highlight w:val="none"/>
        </w:rPr>
      </w:pPr>
      <w:r>
        <w:rPr>
          <w:color w:val="auto"/>
          <w:highlight w:val="none"/>
        </w:rPr>
        <w:t>10.2.3</w:t>
      </w:r>
      <w:r>
        <w:rPr>
          <w:rFonts w:hint="eastAsia"/>
          <w:color w:val="auto"/>
          <w:highlight w:val="none"/>
        </w:rPr>
        <w:t>第三章评标办法前附表中“</w:t>
      </w:r>
      <w:r>
        <w:rPr>
          <w:rFonts w:hint="eastAsia" w:ascii="宋体" w:hAnsi="宋体"/>
          <w:color w:val="auto"/>
          <w:szCs w:val="21"/>
          <w:highlight w:val="none"/>
        </w:rPr>
        <w:t>期望合理价系数</w:t>
      </w:r>
      <w:r>
        <w:rPr>
          <w:rFonts w:hint="eastAsia"/>
          <w:color w:val="auto"/>
          <w:highlight w:val="none"/>
        </w:rPr>
        <w:t>”</w:t>
      </w:r>
      <w:r>
        <w:rPr>
          <w:rFonts w:hint="eastAsia" w:ascii="宋体" w:hAnsi="宋体"/>
          <w:color w:val="auto"/>
          <w:szCs w:val="21"/>
          <w:highlight w:val="none"/>
        </w:rPr>
        <w:t>D的取值：见投标人须知前附表。（适用于办法八）</w:t>
      </w:r>
    </w:p>
    <w:p w14:paraId="24751A49">
      <w:pPr>
        <w:spacing w:line="400" w:lineRule="exact"/>
        <w:ind w:firstLine="420" w:firstLineChars="200"/>
        <w:rPr>
          <w:color w:val="auto"/>
          <w:highlight w:val="none"/>
        </w:rPr>
      </w:pPr>
      <w:r>
        <w:rPr>
          <w:color w:val="auto"/>
          <w:highlight w:val="none"/>
        </w:rPr>
        <w:t xml:space="preserve">10.2.4 </w:t>
      </w:r>
      <w:r>
        <w:rPr>
          <w:rFonts w:hint="eastAsia"/>
          <w:color w:val="auto"/>
          <w:highlight w:val="none"/>
        </w:rPr>
        <w:t>第三章评标办法前附表中“</w:t>
      </w:r>
      <w:r>
        <w:rPr>
          <w:rFonts w:hint="eastAsia" w:ascii="宋体" w:hAnsi="宋体"/>
          <w:color w:val="auto"/>
          <w:szCs w:val="21"/>
          <w:highlight w:val="none"/>
        </w:rPr>
        <w:t>小微企业报价优惠（扣除）系数” P的取值：</w:t>
      </w:r>
      <w:r>
        <w:rPr>
          <w:rFonts w:hint="eastAsia"/>
          <w:color w:val="auto"/>
          <w:highlight w:val="none"/>
        </w:rPr>
        <w:t>见投标人须知前附表。</w:t>
      </w:r>
    </w:p>
    <w:p w14:paraId="332DD5BE">
      <w:pPr>
        <w:spacing w:line="400" w:lineRule="exact"/>
        <w:ind w:firstLine="420" w:firstLineChars="200"/>
        <w:rPr>
          <w:color w:val="auto"/>
          <w:highlight w:val="none"/>
        </w:rPr>
      </w:pPr>
      <w:r>
        <w:rPr>
          <w:color w:val="auto"/>
          <w:highlight w:val="none"/>
        </w:rPr>
        <w:t xml:space="preserve">10.2.5 </w:t>
      </w:r>
      <w:r>
        <w:rPr>
          <w:rFonts w:hint="eastAsia"/>
          <w:color w:val="auto"/>
          <w:highlight w:val="none"/>
        </w:rPr>
        <w:t>第三章评标办法前附表中“</w:t>
      </w:r>
      <w:r>
        <w:rPr>
          <w:rFonts w:hint="eastAsia" w:ascii="宋体" w:hAnsi="宋体"/>
          <w:color w:val="auto"/>
          <w:szCs w:val="21"/>
          <w:highlight w:val="none"/>
        </w:rPr>
        <w:t>满足条件的联合体或者分包企业报价优惠（扣除）系数” Q的取值：</w:t>
      </w:r>
      <w:r>
        <w:rPr>
          <w:rFonts w:hint="eastAsia"/>
          <w:color w:val="auto"/>
          <w:highlight w:val="none"/>
        </w:rPr>
        <w:t>见投标人须知前附表。</w:t>
      </w:r>
    </w:p>
    <w:p w14:paraId="6B8E12F2">
      <w:pPr>
        <w:pStyle w:val="33"/>
        <w:rPr>
          <w:color w:val="auto"/>
          <w:highlight w:val="none"/>
        </w:rPr>
      </w:pPr>
      <w:bookmarkStart w:id="443" w:name="_Toc24901"/>
      <w:bookmarkStart w:id="444" w:name="_Toc456173253"/>
      <w:bookmarkStart w:id="445" w:name="_Toc387753565"/>
      <w:bookmarkStart w:id="446" w:name="_Toc28531741"/>
      <w:r>
        <w:rPr>
          <w:color w:val="auto"/>
          <w:highlight w:val="none"/>
        </w:rPr>
        <w:t xml:space="preserve">10.3 </w:t>
      </w:r>
      <w:r>
        <w:rPr>
          <w:rFonts w:hint="eastAsia"/>
          <w:color w:val="auto"/>
          <w:highlight w:val="none"/>
        </w:rPr>
        <w:t>中标人的投标文件</w:t>
      </w:r>
      <w:bookmarkEnd w:id="443"/>
      <w:bookmarkEnd w:id="444"/>
      <w:bookmarkEnd w:id="445"/>
      <w:bookmarkEnd w:id="446"/>
    </w:p>
    <w:p w14:paraId="4A16172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中标人在签订合同前须向招标人另行提交的纸质投标文件份数：见投标人须知前附表。</w:t>
      </w:r>
    </w:p>
    <w:p w14:paraId="7DF31F2E">
      <w:pPr>
        <w:pStyle w:val="33"/>
        <w:rPr>
          <w:rFonts w:hint="eastAsia" w:ascii="Times New Roman" w:hAnsi="Times New Roman"/>
          <w:color w:val="auto"/>
          <w:highlight w:val="none"/>
        </w:rPr>
      </w:pPr>
      <w:bookmarkStart w:id="447" w:name="_Toc28531742"/>
      <w:bookmarkStart w:id="448" w:name="_Toc7357"/>
      <w:bookmarkStart w:id="449" w:name="_Toc426495266"/>
      <w:r>
        <w:rPr>
          <w:color w:val="auto"/>
          <w:highlight w:val="none"/>
        </w:rPr>
        <w:t xml:space="preserve">10.4 </w:t>
      </w:r>
      <w:r>
        <w:rPr>
          <w:rFonts w:hint="eastAsia"/>
          <w:color w:val="auto"/>
          <w:highlight w:val="none"/>
        </w:rPr>
        <w:t>知识产权</w:t>
      </w:r>
      <w:bookmarkEnd w:id="447"/>
      <w:bookmarkEnd w:id="448"/>
      <w:bookmarkEnd w:id="449"/>
    </w:p>
    <w:p w14:paraId="1231D7B6">
      <w:pPr>
        <w:spacing w:line="400" w:lineRule="exact"/>
        <w:ind w:firstLine="420" w:firstLineChars="200"/>
        <w:rPr>
          <w:color w:val="auto"/>
          <w:highlight w:val="none"/>
        </w:rPr>
      </w:pPr>
      <w:r>
        <w:rPr>
          <w:rFonts w:hint="eastAsia"/>
          <w:color w:val="auto"/>
          <w:highlight w:val="none"/>
        </w:rPr>
        <w:t>有关知识产权的规定：见投标人须知前附表。</w:t>
      </w:r>
    </w:p>
    <w:p w14:paraId="3C375556">
      <w:pPr>
        <w:pStyle w:val="33"/>
        <w:rPr>
          <w:color w:val="auto"/>
          <w:highlight w:val="none"/>
        </w:rPr>
      </w:pPr>
      <w:bookmarkStart w:id="450" w:name="_Toc5341"/>
      <w:bookmarkStart w:id="451" w:name="_Toc426495267"/>
      <w:bookmarkStart w:id="452" w:name="_Toc28531743"/>
      <w:r>
        <w:rPr>
          <w:color w:val="auto"/>
          <w:highlight w:val="none"/>
        </w:rPr>
        <w:t xml:space="preserve">10.5 </w:t>
      </w:r>
      <w:r>
        <w:rPr>
          <w:rFonts w:hint="eastAsia"/>
          <w:color w:val="auto"/>
          <w:highlight w:val="none"/>
        </w:rPr>
        <w:t>同义词语</w:t>
      </w:r>
      <w:bookmarkEnd w:id="450"/>
      <w:bookmarkEnd w:id="451"/>
      <w:bookmarkEnd w:id="452"/>
    </w:p>
    <w:p w14:paraId="71140921">
      <w:pPr>
        <w:spacing w:line="400" w:lineRule="exact"/>
        <w:ind w:firstLine="420" w:firstLineChars="200"/>
        <w:rPr>
          <w:color w:val="auto"/>
          <w:highlight w:val="none"/>
        </w:rPr>
      </w:pPr>
      <w:r>
        <w:rPr>
          <w:rFonts w:hint="eastAsia"/>
          <w:color w:val="auto"/>
          <w:highlight w:val="none"/>
        </w:rPr>
        <w:t>本招标文件的同义词语：见投标人须知前附表。</w:t>
      </w:r>
    </w:p>
    <w:p w14:paraId="31954B36">
      <w:pPr>
        <w:pStyle w:val="33"/>
        <w:rPr>
          <w:color w:val="auto"/>
          <w:highlight w:val="none"/>
        </w:rPr>
      </w:pPr>
      <w:bookmarkStart w:id="453" w:name="_Toc8282"/>
      <w:bookmarkStart w:id="454" w:name="_Toc426495268"/>
      <w:bookmarkStart w:id="455" w:name="_Toc28531744"/>
      <w:r>
        <w:rPr>
          <w:color w:val="auto"/>
          <w:highlight w:val="none"/>
        </w:rPr>
        <w:t xml:space="preserve">10.6 </w:t>
      </w:r>
      <w:r>
        <w:rPr>
          <w:rFonts w:hint="eastAsia"/>
          <w:color w:val="auto"/>
          <w:highlight w:val="none"/>
        </w:rPr>
        <w:t>解释权</w:t>
      </w:r>
      <w:bookmarkEnd w:id="453"/>
      <w:bookmarkEnd w:id="454"/>
      <w:bookmarkEnd w:id="455"/>
    </w:p>
    <w:p w14:paraId="37C6C562">
      <w:pPr>
        <w:spacing w:line="400" w:lineRule="exact"/>
        <w:ind w:firstLine="420" w:firstLineChars="200"/>
        <w:rPr>
          <w:color w:val="auto"/>
          <w:highlight w:val="none"/>
        </w:rPr>
      </w:pPr>
      <w:r>
        <w:rPr>
          <w:rFonts w:hint="eastAsia"/>
          <w:color w:val="auto"/>
          <w:highlight w:val="none"/>
        </w:rPr>
        <w:t>有关招标文件的解释权：见投标人须知前附表。</w:t>
      </w:r>
    </w:p>
    <w:p w14:paraId="39B0267E">
      <w:pPr>
        <w:pStyle w:val="33"/>
        <w:rPr>
          <w:rFonts w:hint="eastAsia" w:ascii="Times New Roman" w:hAnsi="Times New Roman"/>
          <w:color w:val="auto"/>
          <w:highlight w:val="none"/>
        </w:rPr>
      </w:pPr>
      <w:bookmarkStart w:id="456" w:name="_Toc28531746"/>
      <w:bookmarkStart w:id="457" w:name="_Toc517172359"/>
      <w:bookmarkStart w:id="458" w:name="_Toc2041"/>
      <w:r>
        <w:rPr>
          <w:color w:val="auto"/>
          <w:highlight w:val="none"/>
        </w:rPr>
        <w:t>10.</w:t>
      </w:r>
      <w:r>
        <w:rPr>
          <w:rFonts w:hint="eastAsia"/>
          <w:color w:val="auto"/>
          <w:highlight w:val="none"/>
        </w:rPr>
        <w:t>7招标代理服务费</w:t>
      </w:r>
      <w:bookmarkEnd w:id="456"/>
      <w:bookmarkEnd w:id="457"/>
      <w:bookmarkEnd w:id="458"/>
    </w:p>
    <w:p w14:paraId="68C53E0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招标代理服务费收取约定：见投标人须知前附表。</w:t>
      </w:r>
    </w:p>
    <w:p w14:paraId="4071508E">
      <w:pPr>
        <w:pStyle w:val="33"/>
        <w:rPr>
          <w:color w:val="auto"/>
          <w:highlight w:val="none"/>
        </w:rPr>
      </w:pPr>
      <w:bookmarkStart w:id="459" w:name="_Toc108514359"/>
      <w:bookmarkStart w:id="460" w:name="_Toc16839"/>
      <w:r>
        <w:rPr>
          <w:color w:val="auto"/>
          <w:highlight w:val="none"/>
        </w:rPr>
        <w:t>10.</w:t>
      </w:r>
      <w:r>
        <w:rPr>
          <w:rFonts w:hint="eastAsia"/>
          <w:color w:val="auto"/>
          <w:highlight w:val="none"/>
        </w:rPr>
        <w:t>8</w:t>
      </w:r>
      <w:bookmarkEnd w:id="459"/>
      <w:r>
        <w:rPr>
          <w:rFonts w:hint="eastAsia"/>
          <w:color w:val="auto"/>
          <w:highlight w:val="none"/>
        </w:rPr>
        <w:t>其他</w:t>
      </w:r>
      <w:bookmarkEnd w:id="460"/>
    </w:p>
    <w:p w14:paraId="10B149B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其他内容：见投标人须知前附表。</w:t>
      </w:r>
    </w:p>
    <w:p w14:paraId="51A2C237">
      <w:pPr>
        <w:pStyle w:val="33"/>
        <w:rPr>
          <w:rFonts w:hint="eastAsia" w:ascii="Times New Roman" w:hAnsi="Times New Roman"/>
          <w:color w:val="auto"/>
          <w:highlight w:val="none"/>
        </w:rPr>
      </w:pPr>
      <w:bookmarkStart w:id="461" w:name="_Toc426495269"/>
      <w:bookmarkStart w:id="462" w:name="_Toc108514360"/>
      <w:bookmarkStart w:id="463" w:name="_Toc21901"/>
      <w:r>
        <w:rPr>
          <w:color w:val="auto"/>
          <w:highlight w:val="none"/>
        </w:rPr>
        <w:t>10.</w:t>
      </w:r>
      <w:r>
        <w:rPr>
          <w:rFonts w:hint="eastAsia"/>
          <w:color w:val="auto"/>
          <w:highlight w:val="none"/>
        </w:rPr>
        <w:t>9</w:t>
      </w:r>
      <w:r>
        <w:rPr>
          <w:color w:val="auto"/>
          <w:highlight w:val="none"/>
        </w:rPr>
        <w:t xml:space="preserve"> </w:t>
      </w:r>
      <w:r>
        <w:rPr>
          <w:rFonts w:hint="eastAsia"/>
          <w:color w:val="auto"/>
          <w:highlight w:val="none"/>
        </w:rPr>
        <w:t>招标人补充的其他内容</w:t>
      </w:r>
      <w:bookmarkEnd w:id="461"/>
      <w:bookmarkEnd w:id="462"/>
      <w:bookmarkEnd w:id="463"/>
    </w:p>
    <w:p w14:paraId="5A0BACED">
      <w:pPr>
        <w:spacing w:line="400" w:lineRule="exact"/>
        <w:ind w:firstLine="420" w:firstLineChars="200"/>
        <w:rPr>
          <w:color w:val="auto"/>
          <w:highlight w:val="none"/>
        </w:rPr>
      </w:pPr>
      <w:r>
        <w:rPr>
          <w:rFonts w:hint="eastAsia"/>
          <w:color w:val="auto"/>
          <w:highlight w:val="none"/>
        </w:rPr>
        <w:t>招标人补充的其他内容：见投标人须知前附表。</w:t>
      </w:r>
    </w:p>
    <w:p w14:paraId="46F4A004">
      <w:pPr>
        <w:spacing w:line="400" w:lineRule="exact"/>
        <w:ind w:firstLine="400" w:firstLineChars="200"/>
        <w:rPr>
          <w:color w:val="auto"/>
          <w:highlight w:val="none"/>
        </w:rPr>
      </w:pPr>
      <w:bookmarkStart w:id="464" w:name="EBe6640faa7cc84cdb98581e0dc2f050ce"/>
      <w:r>
        <w:rPr>
          <w:rFonts w:hint="eastAsia"/>
          <w:color w:val="auto"/>
          <w:sz w:val="20"/>
          <w:highlight w:val="none"/>
        </w:rPr>
        <w:t xml:space="preserve"> </w:t>
      </w:r>
      <w:bookmarkEnd w:id="464"/>
      <w:bookmarkStart w:id="465" w:name="EB1cef09c292484afd90917d0f5e204037"/>
      <w:r>
        <w:rPr>
          <w:rFonts w:hint="eastAsia"/>
          <w:color w:val="auto"/>
          <w:sz w:val="20"/>
          <w:highlight w:val="none"/>
        </w:rPr>
        <w:t xml:space="preserve"> </w:t>
      </w:r>
      <w:bookmarkEnd w:id="465"/>
      <w:bookmarkStart w:id="466" w:name="EBa3d7412058634a279d0ee023fdf5cba9"/>
      <w:r>
        <w:rPr>
          <w:rFonts w:hint="eastAsia"/>
          <w:color w:val="auto"/>
          <w:sz w:val="20"/>
          <w:highlight w:val="none"/>
        </w:rPr>
        <w:t xml:space="preserve"> </w:t>
      </w:r>
      <w:bookmarkEnd w:id="466"/>
    </w:p>
    <w:p w14:paraId="1D9E14B5">
      <w:pPr>
        <w:pStyle w:val="31"/>
        <w:rPr>
          <w:rFonts w:hint="eastAsia"/>
          <w:color w:val="auto"/>
          <w:highlight w:val="none"/>
        </w:rPr>
      </w:pPr>
      <w:r>
        <w:rPr>
          <w:color w:val="auto"/>
          <w:sz w:val="20"/>
          <w:highlight w:val="none"/>
        </w:rPr>
        <w:br w:type="page"/>
      </w:r>
      <w:bookmarkStart w:id="467" w:name="_Toc23837"/>
      <w:bookmarkStart w:id="468" w:name="_Toc521075390"/>
      <w:bookmarkStart w:id="469" w:name="_Toc521074965"/>
      <w:r>
        <w:rPr>
          <w:rFonts w:hint="eastAsia"/>
          <w:color w:val="auto"/>
          <w:highlight w:val="none"/>
        </w:rPr>
        <w:t>附录一：投标</w:t>
      </w:r>
      <w:r>
        <w:rPr>
          <w:color w:val="auto"/>
          <w:highlight w:val="none"/>
        </w:rPr>
        <w:t>人资质条件、能力和信誉</w:t>
      </w:r>
      <w:bookmarkEnd w:id="467"/>
      <w:bookmarkEnd w:id="468"/>
      <w:bookmarkEnd w:id="469"/>
    </w:p>
    <w:p w14:paraId="5F74F4B6">
      <w:pPr>
        <w:spacing w:line="400" w:lineRule="exact"/>
        <w:rPr>
          <w:rFonts w:hint="eastAsia"/>
          <w:color w:val="auto"/>
          <w:szCs w:val="21"/>
          <w:highlight w:val="none"/>
          <w:u w:val="single"/>
        </w:rPr>
      </w:pPr>
    </w:p>
    <w:p w14:paraId="2024829B">
      <w:pPr>
        <w:spacing w:line="400" w:lineRule="exact"/>
        <w:rPr>
          <w:rFonts w:hint="eastAsia"/>
          <w:color w:val="auto"/>
          <w:highlight w:val="none"/>
        </w:rPr>
      </w:pPr>
      <w:r>
        <w:rPr>
          <w:rFonts w:hint="eastAsia"/>
          <w:color w:val="auto"/>
          <w:szCs w:val="21"/>
          <w:highlight w:val="none"/>
          <w:lang w:eastAsia="zh-CN"/>
        </w:rPr>
        <w:t>大冶市第二中学改扩建工程（二期二标段）</w:t>
      </w:r>
      <w:r>
        <w:rPr>
          <w:color w:val="auto"/>
          <w:szCs w:val="21"/>
          <w:highlight w:val="none"/>
        </w:rPr>
        <w:t>（项目名称）</w:t>
      </w:r>
      <w:r>
        <w:rPr>
          <w:rFonts w:hint="eastAsia"/>
          <w:color w:val="auto"/>
          <w:szCs w:val="21"/>
          <w:highlight w:val="none"/>
          <w:lang w:eastAsia="zh-CN"/>
        </w:rPr>
        <w:t>大冶市第二中学改扩建工程（二期二标段）</w:t>
      </w:r>
      <w:r>
        <w:rPr>
          <w:rFonts w:hint="eastAsia"/>
          <w:color w:val="auto"/>
          <w:szCs w:val="21"/>
          <w:highlight w:val="none"/>
        </w:rPr>
        <w:t>（标段名称）</w:t>
      </w:r>
    </w:p>
    <w:tbl>
      <w:tblPr>
        <w:tblStyle w:val="15"/>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700"/>
        <w:gridCol w:w="1052"/>
        <w:gridCol w:w="4557"/>
        <w:gridCol w:w="660"/>
        <w:gridCol w:w="1139"/>
      </w:tblGrid>
      <w:tr w14:paraId="164A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1A42D24C">
            <w:pPr>
              <w:spacing w:line="440" w:lineRule="exact"/>
              <w:jc w:val="center"/>
              <w:rPr>
                <w:rFonts w:ascii="Times New Roman" w:hAnsi="Times New Roman"/>
                <w:color w:val="auto"/>
                <w:szCs w:val="21"/>
                <w:highlight w:val="none"/>
              </w:rPr>
            </w:pPr>
            <w:r>
              <w:rPr>
                <w:rFonts w:hint="eastAsia"/>
                <w:color w:val="auto"/>
                <w:szCs w:val="21"/>
                <w:highlight w:val="none"/>
              </w:rPr>
              <w:t>项目</w:t>
            </w:r>
          </w:p>
        </w:tc>
        <w:tc>
          <w:tcPr>
            <w:tcW w:w="6969" w:type="dxa"/>
            <w:gridSpan w:val="4"/>
            <w:tcBorders>
              <w:top w:val="single" w:color="auto" w:sz="4" w:space="0"/>
              <w:left w:val="single" w:color="auto" w:sz="4" w:space="0"/>
              <w:bottom w:val="single" w:color="auto" w:sz="4" w:space="0"/>
              <w:right w:val="single" w:color="auto" w:sz="4" w:space="0"/>
            </w:tcBorders>
            <w:noWrap w:val="0"/>
            <w:vAlign w:val="center"/>
          </w:tcPr>
          <w:p w14:paraId="7423054E">
            <w:pPr>
              <w:spacing w:line="440" w:lineRule="exact"/>
              <w:jc w:val="center"/>
              <w:rPr>
                <w:rFonts w:ascii="Times New Roman" w:hAnsi="Times New Roman"/>
                <w:color w:val="auto"/>
                <w:szCs w:val="21"/>
                <w:highlight w:val="none"/>
              </w:rPr>
            </w:pPr>
            <w:r>
              <w:rPr>
                <w:rFonts w:hint="eastAsia"/>
                <w:color w:val="auto"/>
                <w:szCs w:val="21"/>
                <w:highlight w:val="none"/>
              </w:rPr>
              <w:t>要求</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2A9C9008">
            <w:pPr>
              <w:spacing w:line="440" w:lineRule="exact"/>
              <w:jc w:val="center"/>
              <w:rPr>
                <w:rFonts w:ascii="Times New Roman" w:hAnsi="Times New Roman"/>
                <w:color w:val="auto"/>
                <w:szCs w:val="21"/>
                <w:highlight w:val="none"/>
              </w:rPr>
            </w:pPr>
            <w:r>
              <w:rPr>
                <w:rFonts w:hint="eastAsia"/>
                <w:color w:val="auto"/>
                <w:szCs w:val="21"/>
                <w:highlight w:val="none"/>
              </w:rPr>
              <w:t>备注</w:t>
            </w:r>
          </w:p>
        </w:tc>
      </w:tr>
      <w:tr w14:paraId="7954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3B258FCA">
            <w:pPr>
              <w:spacing w:line="440" w:lineRule="exact"/>
              <w:jc w:val="center"/>
              <w:rPr>
                <w:rFonts w:ascii="Times New Roman" w:hAnsi="Times New Roman"/>
                <w:color w:val="auto"/>
                <w:szCs w:val="21"/>
                <w:highlight w:val="none"/>
              </w:rPr>
            </w:pPr>
            <w:r>
              <w:rPr>
                <w:rFonts w:hint="eastAsia"/>
                <w:color w:val="auto"/>
                <w:szCs w:val="21"/>
                <w:highlight w:val="none"/>
              </w:rPr>
              <w:t>资质条件</w:t>
            </w:r>
          </w:p>
        </w:tc>
        <w:tc>
          <w:tcPr>
            <w:tcW w:w="6969" w:type="dxa"/>
            <w:gridSpan w:val="4"/>
            <w:tcBorders>
              <w:top w:val="single" w:color="auto" w:sz="4" w:space="0"/>
              <w:left w:val="single" w:color="auto" w:sz="4" w:space="0"/>
              <w:bottom w:val="single" w:color="auto" w:sz="4" w:space="0"/>
              <w:right w:val="single" w:color="auto" w:sz="4" w:space="0"/>
            </w:tcBorders>
            <w:noWrap w:val="0"/>
            <w:vAlign w:val="center"/>
          </w:tcPr>
          <w:p w14:paraId="5B94EB18">
            <w:pPr>
              <w:spacing w:line="400" w:lineRule="exact"/>
              <w:rPr>
                <w:rFonts w:hint="eastAsia"/>
                <w:color w:val="auto"/>
                <w:szCs w:val="21"/>
                <w:highlight w:val="none"/>
                <w:lang w:eastAsia="zh-CN"/>
              </w:rPr>
            </w:pPr>
            <w:r>
              <w:rPr>
                <w:rFonts w:hint="eastAsia"/>
                <w:color w:val="auto"/>
                <w:szCs w:val="21"/>
                <w:highlight w:val="none"/>
                <w:lang w:eastAsia="zh-CN"/>
              </w:rPr>
              <w:t>①在中华人民共和国境内注册的法人或其他组织；②建设行政主管部门颁发的有效的建筑工程施工总承包</w:t>
            </w:r>
            <w:r>
              <w:rPr>
                <w:rFonts w:hint="eastAsia"/>
                <w:color w:val="auto"/>
                <w:szCs w:val="21"/>
                <w:highlight w:val="none"/>
                <w:lang w:val="en-US" w:eastAsia="zh-CN"/>
              </w:rPr>
              <w:t>叁</w:t>
            </w:r>
            <w:r>
              <w:rPr>
                <w:rFonts w:hint="eastAsia"/>
                <w:color w:val="auto"/>
                <w:szCs w:val="21"/>
                <w:highlight w:val="none"/>
                <w:lang w:eastAsia="zh-CN"/>
              </w:rPr>
              <w:t>级及以上资质；具备有效的安全生产许可证。</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51328691">
            <w:pPr>
              <w:autoSpaceDE w:val="0"/>
              <w:autoSpaceDN w:val="0"/>
              <w:spacing w:line="319" w:lineRule="exact"/>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rPr>
              <w:t>提供相关证明材料</w:t>
            </w:r>
          </w:p>
        </w:tc>
      </w:tr>
      <w:tr w14:paraId="3E8E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7EF50ABF">
            <w:pPr>
              <w:spacing w:line="440" w:lineRule="exact"/>
              <w:jc w:val="center"/>
              <w:rPr>
                <w:rFonts w:ascii="Times New Roman" w:hAnsi="Times New Roman"/>
                <w:color w:val="auto"/>
                <w:szCs w:val="21"/>
                <w:highlight w:val="none"/>
              </w:rPr>
            </w:pPr>
            <w:r>
              <w:rPr>
                <w:rFonts w:hint="eastAsia"/>
                <w:color w:val="auto"/>
                <w:szCs w:val="21"/>
                <w:highlight w:val="none"/>
              </w:rPr>
              <w:t>财务要求</w:t>
            </w:r>
          </w:p>
        </w:tc>
        <w:tc>
          <w:tcPr>
            <w:tcW w:w="6969" w:type="dxa"/>
            <w:gridSpan w:val="4"/>
            <w:tcBorders>
              <w:top w:val="single" w:color="auto" w:sz="4" w:space="0"/>
              <w:left w:val="single" w:color="auto" w:sz="4" w:space="0"/>
              <w:bottom w:val="single" w:color="auto" w:sz="4" w:space="0"/>
              <w:right w:val="single" w:color="auto" w:sz="4" w:space="0"/>
            </w:tcBorders>
            <w:noWrap w:val="0"/>
            <w:vAlign w:val="center"/>
          </w:tcPr>
          <w:p w14:paraId="2E6A964A">
            <w:pPr>
              <w:spacing w:line="440" w:lineRule="exact"/>
              <w:rPr>
                <w:rFonts w:hint="eastAsia" w:ascii="Times New Roman" w:hAnsi="Times New Roman" w:eastAsia="宋体" w:cs="Times New Roman"/>
                <w:color w:val="auto"/>
                <w:szCs w:val="21"/>
                <w:highlight w:val="none"/>
                <w:lang w:val="en-US" w:eastAsia="zh-CN"/>
              </w:rPr>
            </w:pPr>
            <w:bookmarkStart w:id="470" w:name="EB47938988a0c54b7b862651f117dfab3b"/>
            <w:bookmarkStart w:id="471" w:name="EB879e254fe1b64461abd01b6a400a641e"/>
            <w:r>
              <w:rPr>
                <w:rFonts w:hint="eastAsia" w:ascii="Times New Roman" w:hAnsi="Times New Roman" w:cs="Times New Roman"/>
                <w:color w:val="auto"/>
                <w:szCs w:val="21"/>
                <w:highlight w:val="none"/>
                <w:lang w:val="en-US" w:eastAsia="zh-CN"/>
              </w:rPr>
              <w:t>投标人</w:t>
            </w:r>
            <w:r>
              <w:rPr>
                <w:rFonts w:hint="eastAsia" w:ascii="Times New Roman" w:hAnsi="Times New Roman" w:eastAsia="宋体" w:cs="Times New Roman"/>
                <w:color w:val="auto"/>
                <w:szCs w:val="21"/>
                <w:highlight w:val="none"/>
                <w:lang w:val="en-US" w:eastAsia="zh-CN"/>
              </w:rPr>
              <w:t>人提供近三年（202</w:t>
            </w:r>
            <w:r>
              <w:rPr>
                <w:rFonts w:hint="eastAsia" w:ascii="Times New Roman" w:hAnsi="Times New Roman" w:cs="Times New Roman"/>
                <w:color w:val="auto"/>
                <w:szCs w:val="21"/>
                <w:highlight w:val="none"/>
                <w:lang w:val="en-US" w:eastAsia="zh-CN"/>
              </w:rPr>
              <w:t>3</w:t>
            </w:r>
            <w:r>
              <w:rPr>
                <w:rFonts w:hint="eastAsia" w:ascii="Times New Roman" w:hAnsi="Times New Roman" w:eastAsia="宋体" w:cs="Times New Roman"/>
                <w:color w:val="auto"/>
                <w:szCs w:val="21"/>
                <w:highlight w:val="none"/>
                <w:lang w:val="en-US" w:eastAsia="zh-CN"/>
              </w:rPr>
              <w:t>～202</w:t>
            </w:r>
            <w:r>
              <w:rPr>
                <w:rFonts w:hint="eastAsia" w:ascii="Times New Roman" w:hAnsi="Times New Roman" w:cs="Times New Roman"/>
                <w:color w:val="auto"/>
                <w:szCs w:val="21"/>
                <w:highlight w:val="none"/>
                <w:lang w:val="en-US" w:eastAsia="zh-CN"/>
              </w:rPr>
              <w:t>5</w:t>
            </w:r>
            <w:r>
              <w:rPr>
                <w:rFonts w:hint="eastAsia" w:ascii="Times New Roman" w:hAnsi="Times New Roman" w:eastAsia="宋体" w:cs="Times New Roman"/>
                <w:color w:val="auto"/>
                <w:szCs w:val="21"/>
                <w:highlight w:val="none"/>
                <w:lang w:val="en-US" w:eastAsia="zh-CN"/>
              </w:rPr>
              <w:t>年度）</w:t>
            </w:r>
            <w:bookmarkEnd w:id="470"/>
            <w:bookmarkEnd w:id="471"/>
            <w:r>
              <w:rPr>
                <w:rFonts w:hint="eastAsia" w:ascii="Times New Roman" w:hAnsi="Times New Roman" w:cs="Times New Roman"/>
                <w:color w:val="auto"/>
                <w:szCs w:val="21"/>
                <w:highlight w:val="none"/>
                <w:lang w:val="en-US" w:eastAsia="zh-CN"/>
              </w:rPr>
              <w:t>的财务审计报告及财务制度，报告应清晰可见，近三年未出现亏损。（财务审计报告应包含</w:t>
            </w:r>
            <w:r>
              <w:rPr>
                <w:rFonts w:hint="eastAsia" w:ascii="宋体" w:cs="宋体"/>
                <w:color w:val="auto"/>
                <w:kern w:val="0"/>
                <w:szCs w:val="21"/>
                <w:highlight w:val="none"/>
              </w:rPr>
              <w:t>资产负债表、现金流量表、利润表</w:t>
            </w:r>
            <w:r>
              <w:rPr>
                <w:rFonts w:hint="eastAsia" w:ascii="宋体" w:cs="宋体"/>
                <w:color w:val="auto"/>
                <w:kern w:val="0"/>
                <w:szCs w:val="21"/>
                <w:highlight w:val="none"/>
                <w:lang w:eastAsia="zh-CN"/>
              </w:rPr>
              <w:t>）</w:t>
            </w:r>
          </w:p>
          <w:p w14:paraId="2329041A">
            <w:pPr>
              <w:spacing w:line="440" w:lineRule="exact"/>
              <w:rPr>
                <w:rFonts w:hint="eastAsia" w:ascii="等线" w:hAnsi="等线" w:eastAsia="等线"/>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注：投标人的成立时间少于上述规定年份的，应提供成立以来的财务状况表。</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00101BFF">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6279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294B0940">
            <w:pPr>
              <w:spacing w:line="440" w:lineRule="exact"/>
              <w:jc w:val="center"/>
              <w:rPr>
                <w:rFonts w:ascii="Times New Roman" w:hAnsi="Times New Roman"/>
                <w:color w:val="auto"/>
                <w:szCs w:val="21"/>
                <w:highlight w:val="none"/>
              </w:rPr>
            </w:pPr>
            <w:r>
              <w:rPr>
                <w:rFonts w:hint="eastAsia"/>
                <w:color w:val="auto"/>
                <w:szCs w:val="21"/>
                <w:highlight w:val="none"/>
              </w:rPr>
              <w:t>业绩要求</w:t>
            </w:r>
          </w:p>
        </w:tc>
        <w:tc>
          <w:tcPr>
            <w:tcW w:w="6969" w:type="dxa"/>
            <w:gridSpan w:val="4"/>
            <w:tcBorders>
              <w:top w:val="single" w:color="auto" w:sz="4" w:space="0"/>
              <w:left w:val="single" w:color="auto" w:sz="4" w:space="0"/>
              <w:bottom w:val="single" w:color="auto" w:sz="4" w:space="0"/>
              <w:right w:val="single" w:color="auto" w:sz="4" w:space="0"/>
            </w:tcBorders>
            <w:noWrap w:val="0"/>
            <w:vAlign w:val="center"/>
          </w:tcPr>
          <w:p w14:paraId="6B3DF6E1">
            <w:pPr>
              <w:spacing w:line="440" w:lineRule="exact"/>
              <w:rPr>
                <w:rFonts w:hint="eastAsia" w:ascii="Times New Roman" w:hAnsi="Times New Roman" w:eastAsia="宋体"/>
                <w:color w:val="auto"/>
                <w:szCs w:val="21"/>
                <w:highlight w:val="none"/>
                <w:lang w:eastAsia="zh-CN"/>
              </w:rPr>
            </w:pPr>
            <w:r>
              <w:rPr>
                <w:rFonts w:hint="eastAsia" w:ascii="Times New Roman" w:hAnsi="Times New Roman" w:cs="Times New Roman"/>
                <w:color w:val="auto"/>
                <w:szCs w:val="21"/>
                <w:highlight w:val="none"/>
                <w:lang w:val="en-US" w:eastAsia="zh-CN"/>
              </w:rPr>
              <w:t>近五年（投标截止时间往前推算5年）至少承接过一项单项金额2000万元及以上或建筑面积5000平方米及以上的房屋建筑工程施工业绩。提供中标通知书复印件或施工合同扫描件，（如提供的中标通知书复印件或施工合同扫描件无法表明上述要求的业绩金额或建设规模，还应由该业绩的甲方（或项目建设单位业主）出具证明材料，否则该项业绩评标时不予认定）。</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72C6D377">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171E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32224C34">
            <w:pPr>
              <w:spacing w:line="440" w:lineRule="exact"/>
              <w:jc w:val="center"/>
              <w:rPr>
                <w:rFonts w:ascii="Times New Roman" w:hAnsi="Times New Roman"/>
                <w:color w:val="auto"/>
                <w:szCs w:val="21"/>
                <w:highlight w:val="none"/>
              </w:rPr>
            </w:pPr>
            <w:r>
              <w:rPr>
                <w:rFonts w:hint="eastAsia"/>
                <w:color w:val="auto"/>
                <w:szCs w:val="21"/>
                <w:highlight w:val="none"/>
              </w:rPr>
              <w:t>信誉要求</w:t>
            </w:r>
          </w:p>
        </w:tc>
        <w:tc>
          <w:tcPr>
            <w:tcW w:w="6969" w:type="dxa"/>
            <w:gridSpan w:val="4"/>
            <w:tcBorders>
              <w:top w:val="single" w:color="auto" w:sz="4" w:space="0"/>
              <w:left w:val="single" w:color="auto" w:sz="4" w:space="0"/>
              <w:bottom w:val="single" w:color="auto" w:sz="4" w:space="0"/>
              <w:right w:val="single" w:color="auto" w:sz="4" w:space="0"/>
            </w:tcBorders>
            <w:noWrap w:val="0"/>
            <w:vAlign w:val="center"/>
          </w:tcPr>
          <w:p w14:paraId="32E84BA6">
            <w:pPr>
              <w:widowControl/>
              <w:numPr>
                <w:ilvl w:val="0"/>
                <w:numId w:val="2"/>
              </w:numPr>
              <w:spacing w:line="240" w:lineRule="auto"/>
              <w:jc w:val="lef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没有被依法暂停或取消投标资格；</w:t>
            </w:r>
          </w:p>
          <w:p w14:paraId="20C605AC">
            <w:pPr>
              <w:widowControl/>
              <w:numPr>
                <w:ilvl w:val="0"/>
                <w:numId w:val="2"/>
              </w:numPr>
              <w:spacing w:line="240" w:lineRule="auto"/>
              <w:ind w:left="0" w:leftChars="0" w:firstLine="0" w:firstLineChars="0"/>
              <w:jc w:val="lef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没有被责令停产停业、暂扣或者吊销许可证、暂扣或者吊销执照；</w:t>
            </w:r>
          </w:p>
          <w:p w14:paraId="18D6BDA0">
            <w:pPr>
              <w:widowControl/>
              <w:numPr>
                <w:ilvl w:val="0"/>
                <w:numId w:val="2"/>
              </w:numPr>
              <w:spacing w:line="240" w:lineRule="auto"/>
              <w:ind w:left="0" w:leftChars="0" w:firstLine="0" w:firstLineChars="0"/>
              <w:jc w:val="lef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没有进入清算程序，或被宣告破产，或其他丧失履约能力的情形；</w:t>
            </w:r>
          </w:p>
          <w:p w14:paraId="467F2264">
            <w:pPr>
              <w:widowControl/>
              <w:numPr>
                <w:ilvl w:val="0"/>
                <w:numId w:val="2"/>
              </w:numPr>
              <w:spacing w:line="240" w:lineRule="auto"/>
              <w:ind w:left="0" w:leftChars="0" w:firstLine="0" w:firstLineChars="0"/>
              <w:jc w:val="lef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在最近三年内没有发生重大工程质量问题；</w:t>
            </w:r>
          </w:p>
          <w:p w14:paraId="46208565">
            <w:pPr>
              <w:widowControl/>
              <w:numPr>
                <w:ilvl w:val="0"/>
                <w:numId w:val="2"/>
              </w:numPr>
              <w:spacing w:line="240" w:lineRule="auto"/>
              <w:ind w:left="0" w:leftChars="0" w:firstLine="0" w:firstLineChars="0"/>
              <w:jc w:val="lef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在“国家企业信用信息公示系统”（ </w:t>
            </w:r>
            <w:r>
              <w:rPr>
                <w:rFonts w:hint="eastAsia" w:ascii="Times New Roman" w:hAnsi="Times New Roman" w:cs="Times New Roman"/>
                <w:color w:val="auto"/>
                <w:szCs w:val="21"/>
                <w:highlight w:val="none"/>
                <w:lang w:val="en-US" w:eastAsia="zh-CN"/>
              </w:rPr>
              <w:fldChar w:fldCharType="begin"/>
            </w:r>
            <w:r>
              <w:rPr>
                <w:rFonts w:hint="eastAsia" w:ascii="Times New Roman" w:hAnsi="Times New Roman" w:cs="Times New Roman"/>
                <w:color w:val="auto"/>
                <w:szCs w:val="21"/>
                <w:highlight w:val="none"/>
                <w:lang w:val="en-US" w:eastAsia="zh-CN"/>
              </w:rPr>
              <w:instrText xml:space="preserve"> HYPERLINK "http://www.gsxt.gov.cn）没有被列入严重违法失信企业名单，6）在\“信用中国\”网站（www.creditchina.gov.cn）或\“中国执行信息公开网\”（http:/zxgk.court.gov.cn/shixin/）没有被列入失信被执行人名单，7）在近三年内投标人或其法定代表人、拟委任的项目经理没有行贿犯罪行为，8）不存在法律法规或投标人须知前附表第1.4.3（19）目规定的不得存在的其他情形；" </w:instrText>
            </w:r>
            <w:r>
              <w:rPr>
                <w:rFonts w:hint="eastAsia" w:ascii="Times New Roman" w:hAnsi="Times New Roman" w:cs="Times New Roman"/>
                <w:color w:val="auto"/>
                <w:szCs w:val="21"/>
                <w:highlight w:val="none"/>
                <w:lang w:val="en-US" w:eastAsia="zh-CN"/>
              </w:rPr>
              <w:fldChar w:fldCharType="separate"/>
            </w:r>
            <w:r>
              <w:rPr>
                <w:rFonts w:hint="eastAsia" w:ascii="Times New Roman" w:hAnsi="Times New Roman" w:cs="Times New Roman"/>
                <w:color w:val="auto"/>
                <w:szCs w:val="21"/>
                <w:highlight w:val="none"/>
                <w:lang w:val="en-US" w:eastAsia="zh-CN"/>
              </w:rPr>
              <w:t>www.gsxt.gov.cn）没有被列入严重违法失信企业名单；</w:t>
            </w:r>
          </w:p>
          <w:p w14:paraId="2A38B56B">
            <w:pPr>
              <w:widowControl/>
              <w:numPr>
                <w:ilvl w:val="0"/>
                <w:numId w:val="0"/>
              </w:numPr>
              <w:spacing w:line="240" w:lineRule="auto"/>
              <w:ind w:leftChars="0"/>
              <w:jc w:val="lef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6）在“信用中国”网站（www.creditchina.gov.cn）或“中国执行信息公开网”（http://zxgk.court.gov.cn/shixin/）没有被列入失信被执行人名单；</w:t>
            </w:r>
          </w:p>
          <w:p w14:paraId="6019C372">
            <w:pPr>
              <w:widowControl/>
              <w:numPr>
                <w:ilvl w:val="0"/>
                <w:numId w:val="0"/>
              </w:numPr>
              <w:spacing w:line="240" w:lineRule="auto"/>
              <w:ind w:leftChars="0"/>
              <w:jc w:val="lef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7）在近三年内投标人或其法定代表人、拟委任的项目经理没有行贿犯罪行为；</w:t>
            </w:r>
          </w:p>
          <w:p w14:paraId="79333DAB">
            <w:pPr>
              <w:widowControl/>
              <w:numPr>
                <w:ilvl w:val="0"/>
                <w:numId w:val="0"/>
              </w:numPr>
              <w:spacing w:line="240" w:lineRule="auto"/>
              <w:ind w:leftChars="0"/>
              <w:jc w:val="left"/>
              <w:rPr>
                <w:rFonts w:hint="default" w:ascii="Times New Roman" w:hAnsi="Times New Roman" w:eastAsia="宋体"/>
                <w:color w:val="auto"/>
                <w:szCs w:val="21"/>
                <w:highlight w:val="none"/>
                <w:lang w:val="en-US" w:eastAsia="zh-CN"/>
              </w:rPr>
            </w:pPr>
            <w:r>
              <w:rPr>
                <w:rFonts w:hint="eastAsia" w:ascii="Times New Roman" w:hAnsi="Times New Roman" w:cs="Times New Roman"/>
                <w:color w:val="auto"/>
                <w:szCs w:val="21"/>
                <w:highlight w:val="none"/>
                <w:lang w:val="en-US" w:eastAsia="zh-CN"/>
              </w:rPr>
              <w:t>8）不存在法律法规或投标人须知第1.4.3（19）目规定的不得存在的其他情形</w:t>
            </w:r>
            <w:r>
              <w:rPr>
                <w:rFonts w:hint="eastAsia" w:ascii="Times New Roman" w:hAnsi="Times New Roman" w:cs="Times New Roman"/>
                <w:color w:val="auto"/>
                <w:szCs w:val="21"/>
                <w:highlight w:val="none"/>
                <w:lang w:val="en-US" w:eastAsia="zh-CN"/>
              </w:rPr>
              <w:fldChar w:fldCharType="end"/>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4AFA9300">
            <w:pPr>
              <w:autoSpaceDE w:val="0"/>
              <w:autoSpaceDN w:val="0"/>
              <w:spacing w:line="319" w:lineRule="exact"/>
              <w:rPr>
                <w:rFonts w:hint="eastAsia" w:ascii="Times New Roman" w:hAnsi="Times New Roman"/>
                <w:color w:val="auto"/>
                <w:szCs w:val="24"/>
                <w:highlight w:val="none"/>
                <w:lang w:eastAsia="zh-CN"/>
              </w:rPr>
            </w:pPr>
            <w:bookmarkStart w:id="472" w:name="EB7f39ddc80cb94122a64b410e0da5e7f3"/>
            <w:r>
              <w:rPr>
                <w:rFonts w:hint="eastAsia" w:ascii="Times New Roman" w:hAnsi="Times New Roman"/>
                <w:color w:val="auto"/>
                <w:szCs w:val="24"/>
                <w:highlight w:val="none"/>
                <w:lang w:val="en-US" w:eastAsia="zh-CN"/>
              </w:rPr>
              <w:t>①提供</w:t>
            </w:r>
            <w:r>
              <w:rPr>
                <w:rFonts w:hint="eastAsia" w:ascii="Times New Roman" w:hAnsi="Times New Roman"/>
                <w:color w:val="auto"/>
                <w:szCs w:val="24"/>
                <w:highlight w:val="none"/>
              </w:rPr>
              <w:t xml:space="preserve"> </w:t>
            </w:r>
            <w:bookmarkEnd w:id="472"/>
            <w:r>
              <w:rPr>
                <w:rFonts w:hint="eastAsia" w:ascii="Times New Roman" w:hAnsi="Times New Roman"/>
                <w:color w:val="auto"/>
                <w:szCs w:val="24"/>
                <w:highlight w:val="none"/>
              </w:rPr>
              <w:t>企业信誉声明</w:t>
            </w:r>
            <w:r>
              <w:rPr>
                <w:rFonts w:hint="eastAsia" w:ascii="Times New Roman" w:hAnsi="Times New Roman"/>
                <w:color w:val="auto"/>
                <w:szCs w:val="24"/>
                <w:highlight w:val="none"/>
                <w:lang w:eastAsia="zh-CN"/>
              </w:rPr>
              <w:t>；</w:t>
            </w:r>
          </w:p>
          <w:p w14:paraId="7A8CF681">
            <w:pPr>
              <w:autoSpaceDE w:val="0"/>
              <w:autoSpaceDN w:val="0"/>
              <w:spacing w:line="319" w:lineRule="exact"/>
              <w:rPr>
                <w:rFonts w:hint="default"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②第5、6、7款提供相关网站截图</w:t>
            </w:r>
          </w:p>
        </w:tc>
      </w:tr>
      <w:tr w14:paraId="6F983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2D0AB9DF">
            <w:pPr>
              <w:spacing w:line="440" w:lineRule="exact"/>
              <w:jc w:val="center"/>
              <w:rPr>
                <w:rFonts w:ascii="Times New Roman" w:hAnsi="Times New Roman"/>
                <w:color w:val="auto"/>
                <w:szCs w:val="21"/>
                <w:highlight w:val="none"/>
              </w:rPr>
            </w:pPr>
          </w:p>
        </w:tc>
        <w:tc>
          <w:tcPr>
            <w:tcW w:w="1752" w:type="dxa"/>
            <w:gridSpan w:val="2"/>
            <w:tcBorders>
              <w:top w:val="single" w:color="auto" w:sz="4" w:space="0"/>
              <w:left w:val="single" w:color="auto" w:sz="4" w:space="0"/>
              <w:bottom w:val="single" w:color="auto" w:sz="4" w:space="0"/>
              <w:right w:val="single" w:color="auto" w:sz="4" w:space="0"/>
            </w:tcBorders>
            <w:noWrap w:val="0"/>
            <w:vAlign w:val="center"/>
          </w:tcPr>
          <w:p w14:paraId="15153DC9">
            <w:pPr>
              <w:spacing w:line="440" w:lineRule="exact"/>
              <w:jc w:val="center"/>
              <w:rPr>
                <w:rFonts w:ascii="Times New Roman" w:hAnsi="Times New Roman"/>
                <w:color w:val="auto"/>
                <w:szCs w:val="21"/>
                <w:highlight w:val="none"/>
              </w:rPr>
            </w:pPr>
            <w:r>
              <w:rPr>
                <w:rFonts w:hint="eastAsia"/>
                <w:color w:val="auto"/>
                <w:szCs w:val="21"/>
                <w:highlight w:val="none"/>
              </w:rPr>
              <w:t>岗位</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72EC1098">
            <w:pPr>
              <w:spacing w:line="440" w:lineRule="exact"/>
              <w:jc w:val="center"/>
              <w:rPr>
                <w:rFonts w:ascii="Times New Roman" w:hAnsi="Times New Roman"/>
                <w:color w:val="auto"/>
                <w:szCs w:val="21"/>
                <w:highlight w:val="none"/>
              </w:rPr>
            </w:pPr>
            <w:r>
              <w:rPr>
                <w:rFonts w:hint="eastAsia"/>
                <w:color w:val="auto"/>
                <w:szCs w:val="21"/>
                <w:highlight w:val="none"/>
              </w:rPr>
              <w:t>资格要求</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603A0F03">
            <w:pPr>
              <w:spacing w:line="440" w:lineRule="exact"/>
              <w:jc w:val="center"/>
              <w:rPr>
                <w:rFonts w:ascii="Times New Roman" w:hAnsi="Times New Roman"/>
                <w:color w:val="auto"/>
                <w:szCs w:val="21"/>
                <w:highlight w:val="none"/>
              </w:rPr>
            </w:pPr>
            <w:r>
              <w:rPr>
                <w:rFonts w:hint="eastAsia"/>
                <w:color w:val="auto"/>
                <w:szCs w:val="21"/>
                <w:highlight w:val="none"/>
              </w:rPr>
              <w:t>数量</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572DC1DA">
            <w:pPr>
              <w:autoSpaceDE w:val="0"/>
              <w:autoSpaceDN w:val="0"/>
              <w:spacing w:line="319" w:lineRule="exact"/>
              <w:rPr>
                <w:rFonts w:hint="eastAsia" w:ascii="Times New Roman" w:hAnsi="Times New Roman"/>
                <w:color w:val="auto"/>
                <w:szCs w:val="24"/>
                <w:highlight w:val="none"/>
              </w:rPr>
            </w:pPr>
          </w:p>
        </w:tc>
      </w:tr>
      <w:tr w14:paraId="2BA40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0D0DC347">
            <w:pPr>
              <w:spacing w:line="440" w:lineRule="exact"/>
              <w:jc w:val="center"/>
              <w:rPr>
                <w:rFonts w:ascii="Times New Roman" w:hAnsi="Times New Roman"/>
                <w:color w:val="auto"/>
                <w:szCs w:val="21"/>
                <w:highlight w:val="none"/>
              </w:rPr>
            </w:pPr>
            <w:r>
              <w:rPr>
                <w:rFonts w:hint="eastAsia"/>
                <w:color w:val="auto"/>
                <w:szCs w:val="21"/>
                <w:highlight w:val="none"/>
              </w:rPr>
              <w:t>项目</w:t>
            </w:r>
          </w:p>
          <w:p w14:paraId="08EC197C">
            <w:pPr>
              <w:spacing w:line="440" w:lineRule="exact"/>
              <w:jc w:val="center"/>
              <w:rPr>
                <w:color w:val="auto"/>
                <w:szCs w:val="21"/>
                <w:highlight w:val="none"/>
              </w:rPr>
            </w:pPr>
            <w:r>
              <w:rPr>
                <w:rFonts w:hint="eastAsia"/>
                <w:color w:val="auto"/>
                <w:szCs w:val="21"/>
                <w:highlight w:val="none"/>
              </w:rPr>
              <w:t>经理</w:t>
            </w:r>
          </w:p>
          <w:p w14:paraId="22F8D3AB">
            <w:pPr>
              <w:spacing w:line="440" w:lineRule="exact"/>
              <w:jc w:val="center"/>
              <w:rPr>
                <w:rFonts w:ascii="Times New Roman" w:hAnsi="Times New Roman"/>
                <w:color w:val="auto"/>
                <w:szCs w:val="21"/>
                <w:highlight w:val="none"/>
              </w:rPr>
            </w:pPr>
            <w:r>
              <w:rPr>
                <w:rFonts w:hint="eastAsia"/>
                <w:color w:val="auto"/>
                <w:szCs w:val="21"/>
                <w:highlight w:val="none"/>
              </w:rPr>
              <w:t>资格</w:t>
            </w:r>
          </w:p>
        </w:tc>
        <w:tc>
          <w:tcPr>
            <w:tcW w:w="1752" w:type="dxa"/>
            <w:gridSpan w:val="2"/>
            <w:tcBorders>
              <w:top w:val="single" w:color="auto" w:sz="4" w:space="0"/>
              <w:left w:val="single" w:color="auto" w:sz="4" w:space="0"/>
              <w:bottom w:val="single" w:color="auto" w:sz="4" w:space="0"/>
              <w:right w:val="single" w:color="auto" w:sz="4" w:space="0"/>
            </w:tcBorders>
            <w:noWrap w:val="0"/>
            <w:vAlign w:val="center"/>
          </w:tcPr>
          <w:p w14:paraId="26D8334C">
            <w:pPr>
              <w:autoSpaceDE w:val="0"/>
              <w:autoSpaceDN w:val="0"/>
              <w:spacing w:line="319" w:lineRule="exact"/>
              <w:jc w:val="center"/>
              <w:rPr>
                <w:rFonts w:ascii="Times New Roman" w:hAnsi="Times New Roman"/>
                <w:color w:val="auto"/>
                <w:szCs w:val="24"/>
                <w:highlight w:val="none"/>
              </w:rPr>
            </w:pPr>
            <w:r>
              <w:rPr>
                <w:rFonts w:hint="eastAsia"/>
                <w:color w:val="auto"/>
                <w:highlight w:val="none"/>
              </w:rPr>
              <w:t>项目</w:t>
            </w:r>
          </w:p>
          <w:p w14:paraId="7051051E">
            <w:pPr>
              <w:autoSpaceDE w:val="0"/>
              <w:autoSpaceDN w:val="0"/>
              <w:spacing w:line="319" w:lineRule="exact"/>
              <w:jc w:val="center"/>
              <w:rPr>
                <w:rFonts w:ascii="Times New Roman" w:hAnsi="Times New Roman"/>
                <w:color w:val="auto"/>
                <w:szCs w:val="21"/>
                <w:highlight w:val="none"/>
              </w:rPr>
            </w:pPr>
            <w:r>
              <w:rPr>
                <w:rFonts w:hint="eastAsia"/>
                <w:color w:val="auto"/>
                <w:highlight w:val="none"/>
              </w:rPr>
              <w:t>经理</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5FA67FF9">
            <w:pPr>
              <w:autoSpaceDE w:val="0"/>
              <w:autoSpaceDN w:val="0"/>
              <w:adjustRightInd w:val="0"/>
              <w:rPr>
                <w:rFonts w:hint="eastAsia" w:ascii="Times New Roman" w:hAnsi="Times New Roman" w:eastAsia="宋体"/>
                <w:color w:val="auto"/>
                <w:szCs w:val="24"/>
                <w:highlight w:val="none"/>
                <w:lang w:eastAsia="zh-CN"/>
              </w:rPr>
            </w:pPr>
            <w:bookmarkStart w:id="473" w:name="EBf440f46d344949b193cd160af7d6e325"/>
            <w:r>
              <w:rPr>
                <w:rFonts w:hint="eastAsia" w:ascii="Times New Roman" w:hAnsi="Times New Roman" w:cs="Times New Roman"/>
                <w:color w:val="auto"/>
                <w:szCs w:val="21"/>
                <w:highlight w:val="none"/>
                <w:lang w:val="en-US" w:eastAsia="zh-CN"/>
              </w:rPr>
              <w:t xml:space="preserve">具备建筑工程专业贰级及以上注册建造师执业资格，具备有效的安全生产考核合格证书（B证），且未担任其他在施建设工程项目的项目经理  </w:t>
            </w:r>
            <w:bookmarkEnd w:id="473"/>
            <w:r>
              <w:rPr>
                <w:rFonts w:hint="eastAsia" w:ascii="Times New Roman" w:hAnsi="Times New Roman"/>
                <w:color w:val="auto"/>
                <w:szCs w:val="24"/>
                <w:highlight w:val="none"/>
                <w:lang w:val="en-US" w:eastAsia="zh-CN"/>
              </w:rPr>
              <w:t xml:space="preserve"> </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7F8FFF39">
            <w:pPr>
              <w:spacing w:line="440" w:lineRule="exact"/>
              <w:jc w:val="center"/>
              <w:rPr>
                <w:rFonts w:ascii="Times New Roman" w:hAnsi="Times New Roman"/>
                <w:color w:val="auto"/>
                <w:szCs w:val="21"/>
                <w:highlight w:val="none"/>
              </w:rPr>
            </w:pPr>
            <w:bookmarkStart w:id="474" w:name="EB5b98b7a077ad4e2c8fd154e86436ea12"/>
            <w:r>
              <w:rPr>
                <w:rFonts w:hint="eastAsia" w:ascii="Times New Roman" w:hAnsi="Times New Roman"/>
                <w:color w:val="auto"/>
                <w:szCs w:val="21"/>
                <w:highlight w:val="none"/>
              </w:rPr>
              <w:t>1人</w:t>
            </w:r>
            <w:bookmarkEnd w:id="474"/>
          </w:p>
        </w:tc>
        <w:tc>
          <w:tcPr>
            <w:tcW w:w="1139" w:type="dxa"/>
            <w:tcBorders>
              <w:top w:val="single" w:color="auto" w:sz="4" w:space="0"/>
              <w:left w:val="single" w:color="auto" w:sz="4" w:space="0"/>
              <w:bottom w:val="single" w:color="auto" w:sz="4" w:space="0"/>
              <w:right w:val="single" w:color="auto" w:sz="4" w:space="0"/>
            </w:tcBorders>
            <w:noWrap w:val="0"/>
            <w:vAlign w:val="center"/>
          </w:tcPr>
          <w:p w14:paraId="1FD4DA69">
            <w:pPr>
              <w:autoSpaceDE w:val="0"/>
              <w:autoSpaceDN w:val="0"/>
              <w:spacing w:line="319" w:lineRule="exact"/>
              <w:rPr>
                <w:rFonts w:hint="eastAsia" w:ascii="Times New Roman" w:hAnsi="Times New Roman"/>
                <w:color w:val="auto"/>
                <w:szCs w:val="24"/>
                <w:highlight w:val="none"/>
              </w:rPr>
            </w:pPr>
            <w:bookmarkStart w:id="475" w:name="EB79e7b5380a284c599c9a7d88228edf53"/>
            <w:r>
              <w:rPr>
                <w:rFonts w:hint="eastAsia" w:ascii="Times New Roman" w:hAnsi="Times New Roman"/>
                <w:color w:val="auto"/>
                <w:szCs w:val="24"/>
                <w:highlight w:val="none"/>
              </w:rPr>
              <w:t xml:space="preserve"> </w:t>
            </w:r>
            <w:bookmarkEnd w:id="475"/>
            <w:bookmarkStart w:id="476" w:name="EBf71819bbb4854a68a076879f089acd33"/>
            <w:r>
              <w:rPr>
                <w:rFonts w:hint="eastAsia" w:ascii="Times New Roman" w:hAnsi="Times New Roman"/>
                <w:color w:val="auto"/>
                <w:szCs w:val="24"/>
                <w:highlight w:val="none"/>
              </w:rPr>
              <w:t>提供相关证明材料</w:t>
            </w:r>
            <w:bookmarkEnd w:id="476"/>
          </w:p>
        </w:tc>
      </w:tr>
      <w:tr w14:paraId="078F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90" w:type="dxa"/>
            <w:vMerge w:val="restart"/>
            <w:tcBorders>
              <w:top w:val="single" w:color="auto" w:sz="4" w:space="0"/>
              <w:left w:val="single" w:color="auto" w:sz="4" w:space="0"/>
              <w:right w:val="single" w:color="auto" w:sz="4" w:space="0"/>
            </w:tcBorders>
            <w:noWrap w:val="0"/>
            <w:vAlign w:val="center"/>
          </w:tcPr>
          <w:p w14:paraId="255A6490">
            <w:pPr>
              <w:spacing w:line="440" w:lineRule="exact"/>
              <w:jc w:val="center"/>
              <w:rPr>
                <w:color w:val="auto"/>
                <w:szCs w:val="21"/>
                <w:highlight w:val="none"/>
              </w:rPr>
            </w:pPr>
            <w:r>
              <w:rPr>
                <w:rFonts w:hint="eastAsia"/>
                <w:color w:val="auto"/>
                <w:szCs w:val="21"/>
                <w:highlight w:val="none"/>
              </w:rPr>
              <w:t>其他</w:t>
            </w:r>
          </w:p>
          <w:p w14:paraId="047C2490">
            <w:pPr>
              <w:spacing w:line="440" w:lineRule="exact"/>
              <w:jc w:val="center"/>
              <w:rPr>
                <w:color w:val="auto"/>
                <w:szCs w:val="21"/>
                <w:highlight w:val="none"/>
              </w:rPr>
            </w:pPr>
            <w:r>
              <w:rPr>
                <w:rFonts w:hint="eastAsia"/>
                <w:color w:val="auto"/>
                <w:szCs w:val="21"/>
                <w:highlight w:val="none"/>
              </w:rPr>
              <w:t>要求</w:t>
            </w:r>
          </w:p>
          <w:p w14:paraId="2E2F1CC4">
            <w:pPr>
              <w:spacing w:line="440" w:lineRule="exact"/>
              <w:rPr>
                <w:rFonts w:ascii="Times New Roman" w:hAnsi="Times New Roman"/>
                <w:color w:val="auto"/>
                <w:szCs w:val="21"/>
                <w:highlight w:val="none"/>
              </w:rPr>
            </w:pPr>
          </w:p>
        </w:tc>
        <w:tc>
          <w:tcPr>
            <w:tcW w:w="700" w:type="dxa"/>
            <w:vMerge w:val="restart"/>
            <w:tcBorders>
              <w:top w:val="single" w:color="auto" w:sz="4" w:space="0"/>
              <w:left w:val="single" w:color="auto" w:sz="4" w:space="0"/>
              <w:right w:val="single" w:color="auto" w:sz="4" w:space="0"/>
            </w:tcBorders>
            <w:noWrap w:val="0"/>
            <w:vAlign w:val="center"/>
          </w:tcPr>
          <w:p w14:paraId="683E72CD">
            <w:pPr>
              <w:autoSpaceDE/>
              <w:autoSpaceDN/>
              <w:spacing w:line="440" w:lineRule="exact"/>
              <w:jc w:val="center"/>
              <w:rPr>
                <w:rFonts w:hint="eastAsia"/>
                <w:color w:val="auto"/>
                <w:highlight w:val="none"/>
              </w:rPr>
            </w:pPr>
            <w:r>
              <w:rPr>
                <w:rFonts w:hint="eastAsia" w:eastAsia="宋体" w:cs="Times New Roman"/>
                <w:color w:val="auto"/>
                <w:szCs w:val="21"/>
                <w:highlight w:val="none"/>
              </w:rPr>
              <w:t>项目管理机构其他主要人员</w:t>
            </w:r>
          </w:p>
        </w:tc>
        <w:tc>
          <w:tcPr>
            <w:tcW w:w="1052" w:type="dxa"/>
            <w:tcBorders>
              <w:top w:val="single" w:color="auto" w:sz="4" w:space="0"/>
              <w:left w:val="single" w:color="auto" w:sz="4" w:space="0"/>
              <w:bottom w:val="single" w:color="auto" w:sz="4" w:space="0"/>
              <w:right w:val="single" w:color="auto" w:sz="4" w:space="0"/>
            </w:tcBorders>
            <w:noWrap w:val="0"/>
            <w:vAlign w:val="center"/>
          </w:tcPr>
          <w:p w14:paraId="3955FB4D">
            <w:pPr>
              <w:autoSpaceDE w:val="0"/>
              <w:autoSpaceDN w:val="0"/>
              <w:spacing w:line="319" w:lineRule="exact"/>
              <w:jc w:val="center"/>
              <w:rPr>
                <w:rFonts w:hint="eastAsia" w:eastAsia="宋体" w:cs="Times New Roman"/>
                <w:color w:val="auto"/>
                <w:highlight w:val="none"/>
              </w:rPr>
            </w:pPr>
            <w:r>
              <w:rPr>
                <w:rFonts w:hint="eastAsia" w:ascii="Calibri" w:hAnsi="Calibri" w:eastAsia="宋体" w:cs="Times New Roman"/>
                <w:color w:val="auto"/>
                <w:szCs w:val="22"/>
                <w:highlight w:val="none"/>
              </w:rPr>
              <w:t>项目技术负责人</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681DCDEB">
            <w:pPr>
              <w:autoSpaceDE w:val="0"/>
              <w:autoSpaceDN w:val="0"/>
              <w:adjustRightInd w:val="0"/>
              <w:rPr>
                <w:rFonts w:hint="default" w:ascii="Times New Roman" w:hAnsi="Times New Roman"/>
                <w:color w:val="auto"/>
                <w:szCs w:val="24"/>
                <w:highlight w:val="none"/>
                <w:lang w:val="en-US"/>
              </w:rPr>
            </w:pPr>
            <w:r>
              <w:rPr>
                <w:rFonts w:hint="eastAsia"/>
                <w:color w:val="auto"/>
                <w:highlight w:val="none"/>
              </w:rPr>
              <w:t>具备建筑工程专业</w:t>
            </w:r>
            <w:r>
              <w:rPr>
                <w:rFonts w:hint="eastAsia"/>
                <w:color w:val="auto"/>
                <w:highlight w:val="none"/>
                <w:lang w:val="en-US" w:eastAsia="zh-CN"/>
              </w:rPr>
              <w:t>中</w:t>
            </w:r>
            <w:r>
              <w:rPr>
                <w:rFonts w:hint="eastAsia"/>
                <w:color w:val="auto"/>
                <w:highlight w:val="none"/>
              </w:rPr>
              <w:t>级及以上职称，</w:t>
            </w:r>
            <w:r>
              <w:rPr>
                <w:rFonts w:hint="eastAsia"/>
                <w:color w:val="auto"/>
                <w:highlight w:val="none"/>
                <w:lang w:val="en-US" w:eastAsia="zh-CN"/>
              </w:rPr>
              <w:t>5</w:t>
            </w:r>
            <w:r>
              <w:rPr>
                <w:rFonts w:hint="eastAsia"/>
                <w:color w:val="auto"/>
                <w:highlight w:val="none"/>
              </w:rPr>
              <w:t>年以上</w:t>
            </w:r>
            <w:r>
              <w:rPr>
                <w:rFonts w:hint="eastAsia"/>
                <w:color w:val="auto"/>
                <w:highlight w:val="none"/>
                <w:lang w:val="en-US" w:eastAsia="zh-CN"/>
              </w:rPr>
              <w:t>相关专业技术管理工作经验</w:t>
            </w:r>
            <w:r>
              <w:rPr>
                <w:rFonts w:hint="eastAsia"/>
                <w:color w:val="auto"/>
                <w:highlight w:val="none"/>
              </w:rPr>
              <w:t>。</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601A65CD">
            <w:pPr>
              <w:spacing w:line="44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1人</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5F8CDDD6">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13D5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90" w:type="dxa"/>
            <w:vMerge w:val="continue"/>
            <w:tcBorders>
              <w:left w:val="single" w:color="auto" w:sz="4" w:space="0"/>
              <w:right w:val="single" w:color="auto" w:sz="4" w:space="0"/>
            </w:tcBorders>
            <w:noWrap w:val="0"/>
            <w:vAlign w:val="center"/>
          </w:tcPr>
          <w:p w14:paraId="18FCA910">
            <w:pPr>
              <w:spacing w:line="440" w:lineRule="exact"/>
              <w:jc w:val="center"/>
              <w:rPr>
                <w:rFonts w:hint="eastAsia"/>
                <w:color w:val="auto"/>
                <w:szCs w:val="21"/>
                <w:highlight w:val="none"/>
              </w:rPr>
            </w:pPr>
          </w:p>
        </w:tc>
        <w:tc>
          <w:tcPr>
            <w:tcW w:w="700" w:type="dxa"/>
            <w:vMerge w:val="continue"/>
            <w:tcBorders>
              <w:left w:val="single" w:color="auto" w:sz="4" w:space="0"/>
              <w:right w:val="single" w:color="auto" w:sz="4" w:space="0"/>
            </w:tcBorders>
            <w:noWrap w:val="0"/>
            <w:vAlign w:val="center"/>
          </w:tcPr>
          <w:p w14:paraId="2D65C2E2">
            <w:pPr>
              <w:autoSpaceDE w:val="0"/>
              <w:autoSpaceDN w:val="0"/>
              <w:spacing w:line="319" w:lineRule="exact"/>
              <w:jc w:val="center"/>
              <w:rPr>
                <w:rFonts w:hint="eastAsia"/>
                <w:color w:val="auto"/>
                <w:highlight w:val="none"/>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32208E63">
            <w:pPr>
              <w:autoSpaceDE w:val="0"/>
              <w:autoSpaceDN w:val="0"/>
              <w:spacing w:line="319" w:lineRule="exact"/>
              <w:jc w:val="center"/>
              <w:rPr>
                <w:rFonts w:hint="eastAsia" w:eastAsia="宋体" w:cs="Times New Roman"/>
                <w:color w:val="auto"/>
                <w:highlight w:val="none"/>
              </w:rPr>
            </w:pPr>
            <w:r>
              <w:rPr>
                <w:rFonts w:hint="eastAsia" w:ascii="Calibri" w:hAnsi="Calibri" w:eastAsia="宋体" w:cs="Times New Roman"/>
                <w:color w:val="auto"/>
                <w:kern w:val="2"/>
                <w:szCs w:val="22"/>
                <w:highlight w:val="none"/>
              </w:rPr>
              <w:t>施工管理</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728F06BC">
            <w:pPr>
              <w:spacing w:line="440" w:lineRule="exact"/>
              <w:rPr>
                <w:rFonts w:hint="default" w:ascii="宋体" w:hAnsi="宋体" w:eastAsia="等线"/>
                <w:color w:val="auto"/>
                <w:spacing w:val="-4"/>
                <w:kern w:val="2"/>
                <w:sz w:val="21"/>
                <w:szCs w:val="21"/>
                <w:highlight w:val="none"/>
                <w:lang w:val="en-US" w:eastAsia="zh-CN" w:bidi="ar-SA"/>
              </w:rPr>
            </w:pPr>
            <w:r>
              <w:rPr>
                <w:rFonts w:hint="eastAsia" w:ascii="Calibri" w:hAnsi="Calibri" w:eastAsia="宋体" w:cs="Times New Roman"/>
                <w:color w:val="auto"/>
                <w:spacing w:val="0"/>
                <w:szCs w:val="22"/>
                <w:highlight w:val="none"/>
              </w:rPr>
              <w:t>持有施工员岗位培训考核合格证书。</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2D150F73">
            <w:pPr>
              <w:autoSpaceDE w:val="0"/>
              <w:autoSpaceDN w:val="0"/>
              <w:adjustRightInd w:val="0"/>
              <w:jc w:val="center"/>
              <w:rPr>
                <w:rFonts w:hint="eastAsia" w:ascii="等线" w:hAnsi="等线" w:eastAsia="等线"/>
                <w:color w:val="auto"/>
                <w:kern w:val="2"/>
                <w:sz w:val="21"/>
                <w:szCs w:val="21"/>
                <w:highlight w:val="none"/>
                <w:lang w:val="en-US" w:eastAsia="zh-CN" w:bidi="ar-SA"/>
              </w:rPr>
            </w:pPr>
            <w:r>
              <w:rPr>
                <w:rFonts w:hint="eastAsia" w:ascii="等线" w:hAnsi="等线" w:eastAsia="等线"/>
                <w:color w:val="auto"/>
                <w:szCs w:val="21"/>
                <w:highlight w:val="none"/>
              </w:rPr>
              <w:t>1人</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564D2F77">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0DEFE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90" w:type="dxa"/>
            <w:vMerge w:val="continue"/>
            <w:tcBorders>
              <w:left w:val="single" w:color="auto" w:sz="4" w:space="0"/>
              <w:right w:val="single" w:color="auto" w:sz="4" w:space="0"/>
            </w:tcBorders>
            <w:noWrap w:val="0"/>
            <w:vAlign w:val="center"/>
          </w:tcPr>
          <w:p w14:paraId="65229DA0">
            <w:pPr>
              <w:spacing w:line="440" w:lineRule="exact"/>
              <w:jc w:val="center"/>
              <w:rPr>
                <w:rFonts w:hint="eastAsia"/>
                <w:color w:val="auto"/>
                <w:szCs w:val="21"/>
                <w:highlight w:val="none"/>
              </w:rPr>
            </w:pPr>
          </w:p>
        </w:tc>
        <w:tc>
          <w:tcPr>
            <w:tcW w:w="700" w:type="dxa"/>
            <w:vMerge w:val="continue"/>
            <w:tcBorders>
              <w:left w:val="single" w:color="auto" w:sz="4" w:space="0"/>
              <w:right w:val="single" w:color="auto" w:sz="4" w:space="0"/>
            </w:tcBorders>
            <w:noWrap w:val="0"/>
            <w:vAlign w:val="center"/>
          </w:tcPr>
          <w:p w14:paraId="29C7D1E6">
            <w:pPr>
              <w:autoSpaceDE w:val="0"/>
              <w:autoSpaceDN w:val="0"/>
              <w:spacing w:line="319" w:lineRule="exact"/>
              <w:jc w:val="center"/>
              <w:rPr>
                <w:rFonts w:hint="eastAsia"/>
                <w:color w:val="auto"/>
                <w:highlight w:val="none"/>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6A46FBAF">
            <w:pPr>
              <w:autoSpaceDE w:val="0"/>
              <w:autoSpaceDN w:val="0"/>
              <w:spacing w:line="319" w:lineRule="exact"/>
              <w:jc w:val="center"/>
              <w:rPr>
                <w:rFonts w:hint="eastAsia" w:eastAsia="宋体" w:cs="Times New Roman"/>
                <w:color w:val="auto"/>
                <w:highlight w:val="none"/>
              </w:rPr>
            </w:pPr>
            <w:r>
              <w:rPr>
                <w:rFonts w:hint="eastAsia" w:ascii="Calibri" w:hAnsi="Calibri" w:eastAsia="宋体" w:cs="Times New Roman"/>
                <w:color w:val="auto"/>
                <w:kern w:val="2"/>
                <w:szCs w:val="22"/>
                <w:highlight w:val="none"/>
              </w:rPr>
              <w:t>质量管理</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7A4242D6">
            <w:pPr>
              <w:spacing w:line="440" w:lineRule="exact"/>
              <w:rPr>
                <w:rFonts w:hint="default" w:ascii="宋体" w:hAnsi="宋体" w:eastAsia="等线"/>
                <w:color w:val="auto"/>
                <w:spacing w:val="-4"/>
                <w:kern w:val="2"/>
                <w:sz w:val="21"/>
                <w:szCs w:val="21"/>
                <w:highlight w:val="none"/>
                <w:lang w:val="en-US" w:eastAsia="zh-CN" w:bidi="ar-SA"/>
              </w:rPr>
            </w:pPr>
            <w:r>
              <w:rPr>
                <w:rFonts w:hint="eastAsia" w:ascii="Calibri" w:hAnsi="Calibri" w:eastAsia="宋体" w:cs="Times New Roman"/>
                <w:color w:val="auto"/>
                <w:spacing w:val="0"/>
                <w:szCs w:val="22"/>
                <w:highlight w:val="none"/>
              </w:rPr>
              <w:t>持有施工质量员岗位培训考核合格证书。</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1F231D97">
            <w:pPr>
              <w:spacing w:line="440" w:lineRule="exact"/>
              <w:jc w:val="center"/>
              <w:rPr>
                <w:rFonts w:hint="eastAsia" w:ascii="等线" w:hAnsi="等线" w:eastAsia="等线"/>
                <w:color w:val="auto"/>
                <w:kern w:val="2"/>
                <w:sz w:val="21"/>
                <w:szCs w:val="21"/>
                <w:highlight w:val="none"/>
                <w:lang w:val="en-US" w:eastAsia="zh-CN" w:bidi="ar-SA"/>
              </w:rPr>
            </w:pPr>
            <w:r>
              <w:rPr>
                <w:rFonts w:hint="eastAsia" w:ascii="等线" w:hAnsi="等线" w:eastAsia="等线"/>
                <w:color w:val="auto"/>
                <w:szCs w:val="21"/>
                <w:highlight w:val="none"/>
                <w:lang w:val="en-US" w:eastAsia="zh-CN"/>
              </w:rPr>
              <w:t>1</w:t>
            </w:r>
            <w:r>
              <w:rPr>
                <w:rFonts w:hint="eastAsia" w:ascii="等线" w:hAnsi="等线" w:eastAsia="等线"/>
                <w:color w:val="auto"/>
                <w:szCs w:val="21"/>
                <w:highlight w:val="none"/>
              </w:rPr>
              <w:t>人</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4EC04702">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55D37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90" w:type="dxa"/>
            <w:vMerge w:val="continue"/>
            <w:tcBorders>
              <w:left w:val="single" w:color="auto" w:sz="4" w:space="0"/>
              <w:right w:val="single" w:color="auto" w:sz="4" w:space="0"/>
            </w:tcBorders>
            <w:noWrap w:val="0"/>
            <w:vAlign w:val="center"/>
          </w:tcPr>
          <w:p w14:paraId="34D98B0E">
            <w:pPr>
              <w:spacing w:line="440" w:lineRule="exact"/>
              <w:jc w:val="center"/>
              <w:rPr>
                <w:rFonts w:hint="eastAsia"/>
                <w:color w:val="auto"/>
                <w:szCs w:val="21"/>
                <w:highlight w:val="none"/>
              </w:rPr>
            </w:pPr>
          </w:p>
        </w:tc>
        <w:tc>
          <w:tcPr>
            <w:tcW w:w="700" w:type="dxa"/>
            <w:vMerge w:val="continue"/>
            <w:tcBorders>
              <w:left w:val="single" w:color="auto" w:sz="4" w:space="0"/>
              <w:right w:val="single" w:color="auto" w:sz="4" w:space="0"/>
            </w:tcBorders>
            <w:noWrap w:val="0"/>
            <w:vAlign w:val="center"/>
          </w:tcPr>
          <w:p w14:paraId="7C69AEF1">
            <w:pPr>
              <w:autoSpaceDE w:val="0"/>
              <w:autoSpaceDN w:val="0"/>
              <w:spacing w:line="319" w:lineRule="exact"/>
              <w:jc w:val="center"/>
              <w:rPr>
                <w:rFonts w:hint="eastAsia"/>
                <w:color w:val="auto"/>
                <w:highlight w:val="none"/>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441A05AF">
            <w:pPr>
              <w:autoSpaceDE w:val="0"/>
              <w:autoSpaceDN w:val="0"/>
              <w:spacing w:line="319" w:lineRule="exact"/>
              <w:jc w:val="center"/>
              <w:rPr>
                <w:rFonts w:hint="eastAsia" w:eastAsia="宋体" w:cs="Times New Roman"/>
                <w:color w:val="auto"/>
                <w:highlight w:val="none"/>
              </w:rPr>
            </w:pPr>
            <w:r>
              <w:rPr>
                <w:rFonts w:hint="eastAsia" w:ascii="Calibri" w:hAnsi="Calibri" w:eastAsia="宋体" w:cs="Times New Roman"/>
                <w:color w:val="auto"/>
                <w:kern w:val="2"/>
                <w:szCs w:val="22"/>
                <w:highlight w:val="none"/>
              </w:rPr>
              <w:t>安全管理</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6ED5FA47">
            <w:pPr>
              <w:spacing w:line="440" w:lineRule="exact"/>
              <w:rPr>
                <w:rFonts w:hint="default" w:ascii="Times New Roman" w:hAnsi="Times New Roman" w:eastAsia="等线"/>
                <w:color w:val="auto"/>
                <w:szCs w:val="24"/>
                <w:highlight w:val="none"/>
                <w:lang w:val="en-US" w:eastAsia="zh-CN"/>
              </w:rPr>
            </w:pPr>
            <w:r>
              <w:rPr>
                <w:rFonts w:hint="eastAsia" w:ascii="Calibri" w:hAnsi="Calibri" w:eastAsia="宋体" w:cs="Times New Roman"/>
                <w:color w:val="auto"/>
                <w:szCs w:val="22"/>
                <w:highlight w:val="none"/>
              </w:rPr>
              <w:t>持有有效的安全生产考核合格证书（C证）。</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15283947">
            <w:pPr>
              <w:spacing w:line="440" w:lineRule="exact"/>
              <w:jc w:val="center"/>
              <w:rPr>
                <w:rFonts w:hint="eastAsia" w:ascii="等线" w:hAnsi="等线" w:eastAsia="等线"/>
                <w:color w:val="auto"/>
                <w:kern w:val="2"/>
                <w:sz w:val="21"/>
                <w:szCs w:val="21"/>
                <w:highlight w:val="none"/>
                <w:lang w:val="en-US" w:eastAsia="zh-CN" w:bidi="ar-SA"/>
              </w:rPr>
            </w:pPr>
            <w:r>
              <w:rPr>
                <w:rFonts w:hint="eastAsia" w:ascii="等线" w:hAnsi="等线" w:eastAsia="等线"/>
                <w:color w:val="auto"/>
                <w:szCs w:val="21"/>
                <w:highlight w:val="none"/>
                <w:lang w:val="en-US" w:eastAsia="zh-CN"/>
              </w:rPr>
              <w:t>1</w:t>
            </w:r>
            <w:r>
              <w:rPr>
                <w:rFonts w:hint="eastAsia" w:ascii="等线" w:hAnsi="等线" w:eastAsia="等线"/>
                <w:color w:val="auto"/>
                <w:szCs w:val="21"/>
                <w:highlight w:val="none"/>
              </w:rPr>
              <w:t>人</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1DDCDF91">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3110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90" w:type="dxa"/>
            <w:vMerge w:val="continue"/>
            <w:tcBorders>
              <w:left w:val="single" w:color="auto" w:sz="4" w:space="0"/>
              <w:right w:val="single" w:color="auto" w:sz="4" w:space="0"/>
            </w:tcBorders>
            <w:noWrap w:val="0"/>
            <w:vAlign w:val="center"/>
          </w:tcPr>
          <w:p w14:paraId="380345E8">
            <w:pPr>
              <w:spacing w:line="440" w:lineRule="exact"/>
              <w:jc w:val="center"/>
              <w:rPr>
                <w:rFonts w:hint="eastAsia"/>
                <w:color w:val="auto"/>
                <w:szCs w:val="21"/>
                <w:highlight w:val="none"/>
              </w:rPr>
            </w:pPr>
          </w:p>
        </w:tc>
        <w:tc>
          <w:tcPr>
            <w:tcW w:w="700" w:type="dxa"/>
            <w:vMerge w:val="continue"/>
            <w:tcBorders>
              <w:left w:val="single" w:color="auto" w:sz="4" w:space="0"/>
              <w:bottom w:val="single" w:color="auto" w:sz="4" w:space="0"/>
              <w:right w:val="single" w:color="auto" w:sz="4" w:space="0"/>
            </w:tcBorders>
            <w:noWrap w:val="0"/>
            <w:vAlign w:val="center"/>
          </w:tcPr>
          <w:p w14:paraId="1D8D5760">
            <w:pPr>
              <w:autoSpaceDE w:val="0"/>
              <w:autoSpaceDN w:val="0"/>
              <w:spacing w:line="319" w:lineRule="exact"/>
              <w:jc w:val="center"/>
              <w:rPr>
                <w:rFonts w:hint="eastAsia"/>
                <w:color w:val="auto"/>
                <w:highlight w:val="none"/>
              </w:rPr>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1265058B">
            <w:pPr>
              <w:autoSpaceDE w:val="0"/>
              <w:autoSpaceDN w:val="0"/>
              <w:spacing w:line="319" w:lineRule="exact"/>
              <w:jc w:val="center"/>
              <w:rPr>
                <w:rFonts w:hint="eastAsia" w:ascii="Calibri" w:hAnsi="Calibri" w:eastAsia="宋体" w:cs="Times New Roman"/>
                <w:color w:val="auto"/>
                <w:kern w:val="2"/>
                <w:szCs w:val="22"/>
                <w:highlight w:val="none"/>
                <w:lang w:eastAsia="zh-CN"/>
              </w:rPr>
            </w:pPr>
            <w:r>
              <w:rPr>
                <w:rFonts w:hint="eastAsia" w:ascii="Calibri" w:hAnsi="Calibri" w:eastAsia="宋体" w:cs="Times New Roman"/>
                <w:color w:val="auto"/>
                <w:kern w:val="2"/>
                <w:szCs w:val="22"/>
                <w:highlight w:val="none"/>
              </w:rPr>
              <w:t>材料</w:t>
            </w:r>
            <w:r>
              <w:rPr>
                <w:rFonts w:hint="eastAsia" w:ascii="Calibri" w:hAnsi="Calibri" w:eastAsia="宋体" w:cs="Times New Roman"/>
                <w:color w:val="auto"/>
                <w:kern w:val="2"/>
                <w:szCs w:val="22"/>
                <w:highlight w:val="none"/>
                <w:lang w:eastAsia="zh-CN"/>
              </w:rPr>
              <w:t>管理</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056F8550">
            <w:pPr>
              <w:spacing w:line="440" w:lineRule="exact"/>
              <w:rPr>
                <w:rFonts w:hint="eastAsia" w:ascii="Calibri" w:hAnsi="Calibri" w:eastAsia="宋体" w:cs="Times New Roman"/>
                <w:color w:val="auto"/>
                <w:spacing w:val="0"/>
                <w:szCs w:val="22"/>
                <w:highlight w:val="none"/>
                <w:lang w:val="en-US" w:eastAsia="zh-CN"/>
              </w:rPr>
            </w:pPr>
            <w:r>
              <w:rPr>
                <w:rFonts w:hint="eastAsia" w:ascii="Calibri" w:hAnsi="Calibri" w:eastAsia="宋体" w:cs="Times New Roman"/>
                <w:color w:val="auto"/>
                <w:spacing w:val="0"/>
                <w:szCs w:val="22"/>
                <w:highlight w:val="none"/>
              </w:rPr>
              <w:t>持有</w:t>
            </w:r>
            <w:r>
              <w:rPr>
                <w:rFonts w:hint="eastAsia" w:cs="Times New Roman"/>
                <w:color w:val="auto"/>
                <w:spacing w:val="0"/>
                <w:szCs w:val="22"/>
                <w:highlight w:val="none"/>
                <w:lang w:val="en-US" w:eastAsia="zh-CN"/>
              </w:rPr>
              <w:t>有效的</w:t>
            </w:r>
            <w:r>
              <w:rPr>
                <w:rFonts w:hint="eastAsia" w:ascii="Calibri" w:hAnsi="Calibri" w:eastAsia="宋体" w:cs="Times New Roman"/>
                <w:color w:val="auto"/>
                <w:spacing w:val="0"/>
                <w:szCs w:val="22"/>
                <w:highlight w:val="none"/>
                <w:lang w:eastAsia="zh-CN"/>
              </w:rPr>
              <w:t>材料</w:t>
            </w:r>
            <w:r>
              <w:rPr>
                <w:rFonts w:hint="eastAsia" w:ascii="Calibri" w:hAnsi="Calibri" w:eastAsia="宋体" w:cs="Times New Roman"/>
                <w:color w:val="auto"/>
                <w:spacing w:val="0"/>
                <w:szCs w:val="22"/>
                <w:highlight w:val="none"/>
              </w:rPr>
              <w:t>员岗位培训考核合格证书</w:t>
            </w:r>
          </w:p>
        </w:tc>
        <w:tc>
          <w:tcPr>
            <w:tcW w:w="660" w:type="dxa"/>
            <w:tcBorders>
              <w:top w:val="single" w:color="auto" w:sz="4" w:space="0"/>
              <w:left w:val="single" w:color="auto" w:sz="4" w:space="0"/>
              <w:right w:val="single" w:color="auto" w:sz="4" w:space="0"/>
            </w:tcBorders>
            <w:noWrap w:val="0"/>
            <w:vAlign w:val="center"/>
          </w:tcPr>
          <w:p w14:paraId="2CB4E57A">
            <w:pPr>
              <w:spacing w:line="440" w:lineRule="exact"/>
              <w:jc w:val="center"/>
              <w:rPr>
                <w:rFonts w:hint="eastAsia" w:ascii="等线" w:hAnsi="等线" w:eastAsia="等线"/>
                <w:color w:val="auto"/>
                <w:kern w:val="2"/>
                <w:sz w:val="21"/>
                <w:szCs w:val="21"/>
                <w:highlight w:val="none"/>
                <w:lang w:val="en-US" w:eastAsia="zh-CN" w:bidi="ar-SA"/>
              </w:rPr>
            </w:pPr>
            <w:r>
              <w:rPr>
                <w:rFonts w:hint="eastAsia" w:ascii="等线" w:hAnsi="等线" w:eastAsia="等线"/>
                <w:color w:val="auto"/>
                <w:szCs w:val="21"/>
                <w:highlight w:val="none"/>
                <w:lang w:val="en-US" w:eastAsia="zh-CN"/>
              </w:rPr>
              <w:t>1</w:t>
            </w:r>
            <w:r>
              <w:rPr>
                <w:rFonts w:hint="eastAsia" w:ascii="等线" w:hAnsi="等线" w:eastAsia="等线"/>
                <w:color w:val="auto"/>
                <w:szCs w:val="21"/>
                <w:highlight w:val="none"/>
              </w:rPr>
              <w:t>人</w:t>
            </w:r>
          </w:p>
        </w:tc>
        <w:tc>
          <w:tcPr>
            <w:tcW w:w="1139" w:type="dxa"/>
            <w:vMerge w:val="restart"/>
            <w:tcBorders>
              <w:top w:val="single" w:color="auto" w:sz="4" w:space="0"/>
              <w:left w:val="single" w:color="auto" w:sz="4" w:space="0"/>
              <w:right w:val="single" w:color="auto" w:sz="4" w:space="0"/>
            </w:tcBorders>
            <w:noWrap w:val="0"/>
            <w:vAlign w:val="center"/>
          </w:tcPr>
          <w:p w14:paraId="0FAB5198">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03B2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90" w:type="dxa"/>
            <w:vMerge w:val="continue"/>
            <w:tcBorders>
              <w:left w:val="single" w:color="auto" w:sz="4" w:space="0"/>
              <w:right w:val="single" w:color="auto" w:sz="4" w:space="0"/>
            </w:tcBorders>
            <w:noWrap w:val="0"/>
            <w:vAlign w:val="center"/>
          </w:tcPr>
          <w:p w14:paraId="5854571F">
            <w:pPr>
              <w:spacing w:line="440" w:lineRule="exact"/>
            </w:pPr>
          </w:p>
        </w:tc>
        <w:tc>
          <w:tcPr>
            <w:tcW w:w="700" w:type="dxa"/>
            <w:vMerge w:val="continue"/>
            <w:tcBorders>
              <w:left w:val="single" w:color="auto" w:sz="4" w:space="0"/>
              <w:bottom w:val="single" w:color="auto" w:sz="4" w:space="0"/>
              <w:right w:val="single" w:color="auto" w:sz="4" w:space="0"/>
            </w:tcBorders>
            <w:noWrap w:val="0"/>
            <w:vAlign w:val="center"/>
          </w:tcPr>
          <w:p w14:paraId="0B2DD52A">
            <w:pPr>
              <w:spacing w:line="440" w:lineRule="exact"/>
            </w:pPr>
          </w:p>
        </w:tc>
        <w:tc>
          <w:tcPr>
            <w:tcW w:w="1052" w:type="dxa"/>
            <w:tcBorders>
              <w:top w:val="single" w:color="auto" w:sz="4" w:space="0"/>
              <w:left w:val="single" w:color="auto" w:sz="4" w:space="0"/>
              <w:bottom w:val="single" w:color="auto" w:sz="4" w:space="0"/>
              <w:right w:val="single" w:color="auto" w:sz="4" w:space="0"/>
            </w:tcBorders>
            <w:noWrap w:val="0"/>
            <w:vAlign w:val="center"/>
          </w:tcPr>
          <w:p w14:paraId="1B021938">
            <w:pPr>
              <w:autoSpaceDE w:val="0"/>
              <w:autoSpaceDN w:val="0"/>
              <w:spacing w:line="319" w:lineRule="exact"/>
              <w:jc w:val="center"/>
              <w:rPr>
                <w:rFonts w:hint="eastAsia" w:ascii="Calibri" w:hAnsi="Calibri" w:eastAsia="宋体" w:cs="Times New Roman"/>
                <w:color w:val="auto"/>
                <w:kern w:val="2"/>
                <w:szCs w:val="22"/>
                <w:highlight w:val="none"/>
                <w:lang w:eastAsia="zh-CN"/>
              </w:rPr>
            </w:pPr>
            <w:r>
              <w:rPr>
                <w:rFonts w:hint="eastAsia" w:ascii="Calibri" w:hAnsi="Calibri" w:eastAsia="宋体" w:cs="Times New Roman"/>
                <w:color w:val="auto"/>
                <w:kern w:val="2"/>
                <w:szCs w:val="22"/>
                <w:highlight w:val="none"/>
              </w:rPr>
              <w:t>资料</w:t>
            </w:r>
            <w:r>
              <w:rPr>
                <w:rFonts w:hint="eastAsia" w:ascii="Calibri" w:hAnsi="Calibri" w:eastAsia="宋体" w:cs="Times New Roman"/>
                <w:color w:val="auto"/>
                <w:kern w:val="2"/>
                <w:szCs w:val="22"/>
                <w:highlight w:val="none"/>
                <w:lang w:eastAsia="zh-CN"/>
              </w:rPr>
              <w:t>管理</w:t>
            </w:r>
          </w:p>
        </w:tc>
        <w:tc>
          <w:tcPr>
            <w:tcW w:w="4557" w:type="dxa"/>
            <w:tcBorders>
              <w:top w:val="single" w:color="auto" w:sz="4" w:space="0"/>
              <w:left w:val="single" w:color="auto" w:sz="4" w:space="0"/>
              <w:bottom w:val="single" w:color="auto" w:sz="4" w:space="0"/>
              <w:right w:val="single" w:color="auto" w:sz="4" w:space="0"/>
            </w:tcBorders>
            <w:noWrap w:val="0"/>
            <w:vAlign w:val="center"/>
          </w:tcPr>
          <w:p w14:paraId="4ABE8F4B">
            <w:pPr>
              <w:spacing w:line="440" w:lineRule="exact"/>
              <w:rPr>
                <w:rFonts w:hint="eastAsia" w:ascii="Calibri" w:hAnsi="Calibri" w:eastAsia="宋体" w:cs="Times New Roman"/>
                <w:color w:val="auto"/>
                <w:spacing w:val="0"/>
                <w:szCs w:val="22"/>
                <w:highlight w:val="none"/>
              </w:rPr>
            </w:pPr>
            <w:r>
              <w:rPr>
                <w:rFonts w:hint="eastAsia" w:ascii="Calibri" w:hAnsi="Calibri" w:eastAsia="宋体" w:cs="Times New Roman"/>
                <w:color w:val="auto"/>
                <w:spacing w:val="0"/>
                <w:szCs w:val="22"/>
                <w:highlight w:val="none"/>
              </w:rPr>
              <w:t>持有</w:t>
            </w:r>
            <w:r>
              <w:rPr>
                <w:rFonts w:hint="eastAsia" w:cs="Times New Roman"/>
                <w:color w:val="auto"/>
                <w:spacing w:val="0"/>
                <w:szCs w:val="22"/>
                <w:highlight w:val="none"/>
                <w:lang w:val="en-US" w:eastAsia="zh-CN"/>
              </w:rPr>
              <w:t>有效的</w:t>
            </w:r>
            <w:r>
              <w:rPr>
                <w:rFonts w:hint="eastAsia" w:ascii="Calibri" w:hAnsi="Calibri" w:eastAsia="宋体" w:cs="Times New Roman"/>
                <w:color w:val="auto"/>
                <w:spacing w:val="0"/>
                <w:szCs w:val="22"/>
                <w:highlight w:val="none"/>
              </w:rPr>
              <w:t>资料员岗位培训考核合格证书</w:t>
            </w:r>
          </w:p>
        </w:tc>
        <w:tc>
          <w:tcPr>
            <w:tcW w:w="660" w:type="dxa"/>
            <w:tcBorders>
              <w:left w:val="single" w:color="auto" w:sz="4" w:space="0"/>
              <w:bottom w:val="single" w:color="auto" w:sz="4" w:space="0"/>
              <w:right w:val="single" w:color="auto" w:sz="4" w:space="0"/>
            </w:tcBorders>
            <w:noWrap w:val="0"/>
            <w:vAlign w:val="center"/>
          </w:tcPr>
          <w:p w14:paraId="04392794">
            <w:pPr>
              <w:spacing w:line="440" w:lineRule="exact"/>
              <w:rPr>
                <w:rFonts w:hint="eastAsia" w:ascii="宋体" w:hAnsi="宋体" w:eastAsia="等线" w:cs="宋体"/>
                <w:color w:val="auto"/>
                <w:kern w:val="0"/>
                <w:szCs w:val="21"/>
                <w:highlight w:val="none"/>
              </w:rPr>
            </w:pPr>
            <w:r>
              <w:rPr>
                <w:rFonts w:hint="eastAsia" w:ascii="等线" w:hAnsi="等线" w:eastAsia="等线"/>
                <w:color w:val="auto"/>
                <w:szCs w:val="21"/>
                <w:highlight w:val="none"/>
                <w:lang w:val="en-US" w:eastAsia="zh-CN"/>
              </w:rPr>
              <w:t>1</w:t>
            </w:r>
            <w:r>
              <w:rPr>
                <w:rFonts w:hint="eastAsia" w:ascii="等线" w:hAnsi="等线" w:eastAsia="等线"/>
                <w:color w:val="auto"/>
                <w:szCs w:val="21"/>
                <w:highlight w:val="none"/>
              </w:rPr>
              <w:t>人</w:t>
            </w:r>
          </w:p>
        </w:tc>
        <w:tc>
          <w:tcPr>
            <w:tcW w:w="1139" w:type="dxa"/>
            <w:vMerge w:val="continue"/>
            <w:tcBorders>
              <w:left w:val="single" w:color="auto" w:sz="4" w:space="0"/>
              <w:bottom w:val="single" w:color="auto" w:sz="4" w:space="0"/>
              <w:right w:val="single" w:color="auto" w:sz="4" w:space="0"/>
            </w:tcBorders>
            <w:noWrap w:val="0"/>
            <w:vAlign w:val="center"/>
          </w:tcPr>
          <w:p w14:paraId="204BD290">
            <w:pPr>
              <w:autoSpaceDE w:val="0"/>
              <w:autoSpaceDN w:val="0"/>
              <w:spacing w:line="319" w:lineRule="exact"/>
              <w:rPr>
                <w:rFonts w:hint="eastAsia" w:ascii="Times New Roman" w:hAnsi="Times New Roman"/>
                <w:color w:val="auto"/>
                <w:szCs w:val="24"/>
                <w:highlight w:val="none"/>
              </w:rPr>
            </w:pPr>
          </w:p>
        </w:tc>
      </w:tr>
      <w:tr w14:paraId="2C7A6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90" w:type="dxa"/>
            <w:vMerge w:val="continue"/>
            <w:tcBorders>
              <w:left w:val="single" w:color="auto" w:sz="4" w:space="0"/>
              <w:right w:val="single" w:color="auto" w:sz="4" w:space="0"/>
            </w:tcBorders>
            <w:noWrap w:val="0"/>
            <w:vAlign w:val="center"/>
          </w:tcPr>
          <w:p w14:paraId="2B5590C4">
            <w:pPr>
              <w:widowControl/>
              <w:jc w:val="left"/>
              <w:rPr>
                <w:rFonts w:ascii="Times New Roman" w:hAnsi="Times New Roman"/>
                <w:color w:val="auto"/>
                <w:szCs w:val="21"/>
                <w:highlight w:val="none"/>
              </w:rPr>
            </w:pPr>
          </w:p>
        </w:tc>
        <w:tc>
          <w:tcPr>
            <w:tcW w:w="1752" w:type="dxa"/>
            <w:gridSpan w:val="2"/>
            <w:tcBorders>
              <w:top w:val="single" w:color="auto" w:sz="4" w:space="0"/>
              <w:left w:val="single" w:color="auto" w:sz="4" w:space="0"/>
              <w:bottom w:val="single" w:color="auto" w:sz="4" w:space="0"/>
              <w:right w:val="single" w:color="auto" w:sz="4" w:space="0"/>
            </w:tcBorders>
            <w:noWrap w:val="0"/>
            <w:vAlign w:val="center"/>
          </w:tcPr>
          <w:p w14:paraId="7BDB7664">
            <w:pPr>
              <w:autoSpaceDE w:val="0"/>
              <w:autoSpaceDN w:val="0"/>
              <w:spacing w:line="319" w:lineRule="exact"/>
              <w:jc w:val="center"/>
              <w:rPr>
                <w:rFonts w:ascii="Times New Roman" w:hAnsi="Times New Roman"/>
                <w:color w:val="auto"/>
                <w:szCs w:val="24"/>
                <w:highlight w:val="none"/>
              </w:rPr>
            </w:pPr>
            <w:r>
              <w:rPr>
                <w:rFonts w:hint="eastAsia"/>
                <w:color w:val="auto"/>
                <w:highlight w:val="none"/>
              </w:rPr>
              <w:t>项目管理机构</w:t>
            </w:r>
          </w:p>
          <w:p w14:paraId="52638765">
            <w:pPr>
              <w:autoSpaceDE w:val="0"/>
              <w:autoSpaceDN w:val="0"/>
              <w:spacing w:line="319" w:lineRule="exact"/>
              <w:jc w:val="center"/>
              <w:rPr>
                <w:rFonts w:ascii="Times New Roman" w:hAnsi="Times New Roman"/>
                <w:color w:val="auto"/>
                <w:szCs w:val="24"/>
                <w:highlight w:val="none"/>
              </w:rPr>
            </w:pPr>
            <w:r>
              <w:rPr>
                <w:rFonts w:hint="eastAsia"/>
                <w:color w:val="auto"/>
                <w:highlight w:val="none"/>
              </w:rPr>
              <w:t>主要人员</w:t>
            </w:r>
          </w:p>
        </w:tc>
        <w:tc>
          <w:tcPr>
            <w:tcW w:w="5217" w:type="dxa"/>
            <w:gridSpan w:val="2"/>
            <w:tcBorders>
              <w:top w:val="single" w:color="auto" w:sz="4" w:space="0"/>
              <w:left w:val="single" w:color="auto" w:sz="4" w:space="0"/>
              <w:bottom w:val="single" w:color="auto" w:sz="4" w:space="0"/>
              <w:right w:val="single" w:color="auto" w:sz="4" w:space="0"/>
            </w:tcBorders>
            <w:noWrap w:val="0"/>
            <w:vAlign w:val="center"/>
          </w:tcPr>
          <w:p w14:paraId="49D74D5B">
            <w:pPr>
              <w:autoSpaceDE w:val="0"/>
              <w:autoSpaceDN w:val="0"/>
              <w:spacing w:line="319" w:lineRule="exact"/>
              <w:ind w:left="315" w:hanging="315" w:hangingChars="150"/>
              <w:jc w:val="left"/>
              <w:rPr>
                <w:rFonts w:hint="eastAsia" w:ascii="宋体" w:hAnsi="宋体"/>
                <w:color w:val="auto"/>
                <w:szCs w:val="21"/>
                <w:highlight w:val="none"/>
              </w:rPr>
            </w:pPr>
            <w:bookmarkStart w:id="477" w:name="EB818ca0e8ca04494fb961b8ae2957e1c3"/>
            <w:r>
              <w:rPr>
                <w:rFonts w:hint="eastAsia" w:ascii="宋体" w:hAnsi="宋体"/>
                <w:color w:val="auto"/>
                <w:szCs w:val="21"/>
                <w:highlight w:val="none"/>
              </w:rPr>
              <w:t xml:space="preserve">1. 项目管理机构主要人员不得本项目中相互兼职。 </w:t>
            </w:r>
          </w:p>
          <w:p w14:paraId="67C0CD6C">
            <w:pPr>
              <w:autoSpaceDE w:val="0"/>
              <w:autoSpaceDN w:val="0"/>
              <w:spacing w:line="319" w:lineRule="exact"/>
              <w:ind w:left="315" w:hanging="315" w:hangingChars="150"/>
              <w:jc w:val="left"/>
              <w:rPr>
                <w:rFonts w:ascii="宋体" w:hAnsi="宋体"/>
                <w:color w:val="auto"/>
                <w:szCs w:val="21"/>
                <w:highlight w:val="none"/>
              </w:rPr>
            </w:pPr>
            <w:r>
              <w:rPr>
                <w:rFonts w:hint="eastAsia" w:ascii="宋体" w:hAnsi="宋体"/>
                <w:color w:val="auto"/>
                <w:szCs w:val="21"/>
                <w:highlight w:val="none"/>
              </w:rPr>
              <w:t>2. 均应当在投标人处注册执业或岗位登记，且社会保险缴费单位应是投标人。</w:t>
            </w:r>
            <w:bookmarkEnd w:id="477"/>
            <w:r>
              <w:rPr>
                <w:rFonts w:hint="eastAsia" w:ascii="宋体" w:hAnsi="宋体"/>
                <w:color w:val="auto"/>
                <w:szCs w:val="21"/>
                <w:highlight w:val="none"/>
              </w:rPr>
              <w:t>提供近半年内任意1个月社保证明材料。</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4ADAFBCC">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7A197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90" w:type="dxa"/>
            <w:vMerge w:val="continue"/>
            <w:tcBorders>
              <w:left w:val="single" w:color="auto" w:sz="4" w:space="0"/>
              <w:right w:val="single" w:color="auto" w:sz="4" w:space="0"/>
            </w:tcBorders>
            <w:noWrap w:val="0"/>
            <w:vAlign w:val="center"/>
          </w:tcPr>
          <w:p w14:paraId="3B7191C1">
            <w:pPr>
              <w:widowControl/>
              <w:jc w:val="left"/>
              <w:rPr>
                <w:rFonts w:ascii="Times New Roman" w:hAnsi="Times New Roman"/>
                <w:color w:val="auto"/>
                <w:szCs w:val="21"/>
                <w:highlight w:val="none"/>
              </w:rPr>
            </w:pPr>
          </w:p>
        </w:tc>
        <w:tc>
          <w:tcPr>
            <w:tcW w:w="1752" w:type="dxa"/>
            <w:gridSpan w:val="2"/>
            <w:tcBorders>
              <w:top w:val="single" w:color="auto" w:sz="4" w:space="0"/>
              <w:left w:val="single" w:color="auto" w:sz="4" w:space="0"/>
              <w:bottom w:val="single" w:color="auto" w:sz="4" w:space="0"/>
              <w:right w:val="single" w:color="auto" w:sz="4" w:space="0"/>
            </w:tcBorders>
            <w:noWrap w:val="0"/>
            <w:vAlign w:val="center"/>
          </w:tcPr>
          <w:p w14:paraId="3D30604B">
            <w:pPr>
              <w:autoSpaceDE w:val="0"/>
              <w:autoSpaceDN w:val="0"/>
              <w:spacing w:line="319" w:lineRule="exact"/>
              <w:jc w:val="center"/>
              <w:rPr>
                <w:rFonts w:ascii="Times New Roman" w:hAnsi="Times New Roman"/>
                <w:color w:val="auto"/>
                <w:szCs w:val="24"/>
                <w:highlight w:val="none"/>
              </w:rPr>
            </w:pPr>
            <w:r>
              <w:rPr>
                <w:rFonts w:hint="eastAsia"/>
                <w:color w:val="auto"/>
                <w:highlight w:val="none"/>
              </w:rPr>
              <w:t>主要施工机</w:t>
            </w:r>
          </w:p>
          <w:p w14:paraId="7155BC23">
            <w:pPr>
              <w:autoSpaceDE w:val="0"/>
              <w:autoSpaceDN w:val="0"/>
              <w:spacing w:line="319" w:lineRule="exact"/>
              <w:jc w:val="center"/>
              <w:rPr>
                <w:rFonts w:ascii="Times New Roman" w:hAnsi="Times New Roman"/>
                <w:color w:val="auto"/>
                <w:szCs w:val="24"/>
                <w:highlight w:val="none"/>
              </w:rPr>
            </w:pPr>
            <w:r>
              <w:rPr>
                <w:rFonts w:hint="eastAsia"/>
                <w:color w:val="auto"/>
                <w:highlight w:val="none"/>
              </w:rPr>
              <w:t>械设备要求</w:t>
            </w:r>
          </w:p>
        </w:tc>
        <w:tc>
          <w:tcPr>
            <w:tcW w:w="5217" w:type="dxa"/>
            <w:gridSpan w:val="2"/>
            <w:tcBorders>
              <w:top w:val="single" w:color="auto" w:sz="4" w:space="0"/>
              <w:left w:val="single" w:color="auto" w:sz="4" w:space="0"/>
              <w:bottom w:val="single" w:color="auto" w:sz="4" w:space="0"/>
              <w:right w:val="single" w:color="auto" w:sz="4" w:space="0"/>
            </w:tcBorders>
            <w:noWrap w:val="0"/>
            <w:vAlign w:val="center"/>
          </w:tcPr>
          <w:p w14:paraId="4BA06F00">
            <w:pPr>
              <w:spacing w:line="440" w:lineRule="exact"/>
              <w:rPr>
                <w:rFonts w:hint="eastAsia" w:ascii="Times New Roman" w:hAnsi="Times New Roman" w:eastAsia="宋体"/>
                <w:color w:val="auto"/>
                <w:szCs w:val="21"/>
                <w:highlight w:val="none"/>
                <w:lang w:val="en-US" w:eastAsia="zh-CN"/>
              </w:rPr>
            </w:pPr>
            <w:bookmarkStart w:id="478" w:name="EBae31d43bbe464afb8e2cd522bd1fbabc"/>
            <w:bookmarkStart w:id="479" w:name="EB9336e015fe64475dbc27b87a77705887"/>
            <w:r>
              <w:rPr>
                <w:rFonts w:hint="eastAsia" w:ascii="宋体" w:hAnsi="宋体" w:eastAsia="宋体" w:cs="Times New Roman"/>
                <w:color w:val="auto"/>
                <w:szCs w:val="21"/>
                <w:highlight w:val="none"/>
              </w:rPr>
              <w:t>满足施工要求</w:t>
            </w:r>
            <w:bookmarkEnd w:id="478"/>
            <w:bookmarkEnd w:id="479"/>
          </w:p>
        </w:tc>
        <w:tc>
          <w:tcPr>
            <w:tcW w:w="1139" w:type="dxa"/>
            <w:tcBorders>
              <w:top w:val="single" w:color="auto" w:sz="4" w:space="0"/>
              <w:left w:val="single" w:color="auto" w:sz="4" w:space="0"/>
              <w:bottom w:val="single" w:color="auto" w:sz="4" w:space="0"/>
              <w:right w:val="single" w:color="auto" w:sz="4" w:space="0"/>
            </w:tcBorders>
            <w:noWrap w:val="0"/>
            <w:vAlign w:val="center"/>
          </w:tcPr>
          <w:p w14:paraId="3CDB12D2">
            <w:pPr>
              <w:autoSpaceDE w:val="0"/>
              <w:autoSpaceDN w:val="0"/>
              <w:spacing w:line="319" w:lineRule="exact"/>
              <w:rPr>
                <w:rFonts w:hint="eastAsia" w:ascii="Times New Roman" w:hAnsi="Times New Roman"/>
                <w:color w:val="auto"/>
                <w:szCs w:val="24"/>
                <w:highlight w:val="none"/>
              </w:rPr>
            </w:pPr>
            <w:r>
              <w:rPr>
                <w:rFonts w:hint="eastAsia" w:ascii="Times New Roman" w:hAnsi="Times New Roman"/>
                <w:color w:val="auto"/>
                <w:szCs w:val="24"/>
                <w:highlight w:val="none"/>
              </w:rPr>
              <w:t>提供相关证明材料</w:t>
            </w:r>
          </w:p>
        </w:tc>
      </w:tr>
      <w:tr w14:paraId="41FA8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90" w:type="dxa"/>
            <w:vMerge w:val="continue"/>
            <w:tcBorders>
              <w:left w:val="single" w:color="auto" w:sz="4" w:space="0"/>
              <w:right w:val="single" w:color="auto" w:sz="4" w:space="0"/>
            </w:tcBorders>
            <w:noWrap w:val="0"/>
            <w:vAlign w:val="center"/>
          </w:tcPr>
          <w:p w14:paraId="10E29261">
            <w:pPr>
              <w:widowControl/>
              <w:jc w:val="left"/>
              <w:rPr>
                <w:rFonts w:ascii="Times New Roman" w:hAnsi="Times New Roman"/>
                <w:color w:val="auto"/>
                <w:szCs w:val="21"/>
                <w:highlight w:val="none"/>
              </w:rPr>
            </w:pPr>
          </w:p>
        </w:tc>
        <w:tc>
          <w:tcPr>
            <w:tcW w:w="1752" w:type="dxa"/>
            <w:gridSpan w:val="2"/>
            <w:tcBorders>
              <w:top w:val="single" w:color="auto" w:sz="4" w:space="0"/>
              <w:left w:val="single" w:color="auto" w:sz="4" w:space="0"/>
              <w:bottom w:val="single" w:color="auto" w:sz="4" w:space="0"/>
              <w:right w:val="single" w:color="auto" w:sz="4" w:space="0"/>
            </w:tcBorders>
            <w:noWrap w:val="0"/>
            <w:vAlign w:val="center"/>
          </w:tcPr>
          <w:p w14:paraId="2A7C157C">
            <w:pPr>
              <w:autoSpaceDE w:val="0"/>
              <w:autoSpaceDN w:val="0"/>
              <w:spacing w:line="319" w:lineRule="exact"/>
              <w:jc w:val="center"/>
              <w:rPr>
                <w:rFonts w:ascii="Times New Roman" w:hAnsi="Times New Roman"/>
                <w:color w:val="auto"/>
                <w:szCs w:val="24"/>
                <w:highlight w:val="none"/>
              </w:rPr>
            </w:pPr>
            <w:r>
              <w:rPr>
                <w:rFonts w:hint="eastAsia"/>
                <w:color w:val="auto"/>
                <w:highlight w:val="none"/>
              </w:rPr>
              <w:t>建筑业企业</w:t>
            </w:r>
          </w:p>
          <w:p w14:paraId="33DE817F">
            <w:pPr>
              <w:autoSpaceDE w:val="0"/>
              <w:autoSpaceDN w:val="0"/>
              <w:spacing w:line="319" w:lineRule="exact"/>
              <w:jc w:val="center"/>
              <w:rPr>
                <w:rFonts w:ascii="Times New Roman" w:hAnsi="Times New Roman"/>
                <w:color w:val="auto"/>
                <w:szCs w:val="21"/>
                <w:highlight w:val="none"/>
              </w:rPr>
            </w:pPr>
            <w:r>
              <w:rPr>
                <w:rFonts w:hint="eastAsia"/>
                <w:color w:val="auto"/>
                <w:highlight w:val="none"/>
              </w:rPr>
              <w:t>信息登记</w:t>
            </w:r>
          </w:p>
        </w:tc>
        <w:tc>
          <w:tcPr>
            <w:tcW w:w="5217" w:type="dxa"/>
            <w:gridSpan w:val="2"/>
            <w:tcBorders>
              <w:top w:val="single" w:color="auto" w:sz="4" w:space="0"/>
              <w:left w:val="single" w:color="auto" w:sz="4" w:space="0"/>
              <w:bottom w:val="single" w:color="auto" w:sz="4" w:space="0"/>
              <w:right w:val="single" w:color="auto" w:sz="4" w:space="0"/>
            </w:tcBorders>
            <w:noWrap w:val="0"/>
            <w:vAlign w:val="center"/>
          </w:tcPr>
          <w:p w14:paraId="5AD47E32">
            <w:pPr>
              <w:autoSpaceDE w:val="0"/>
              <w:autoSpaceDN w:val="0"/>
              <w:spacing w:line="319" w:lineRule="exact"/>
              <w:rPr>
                <w:rFonts w:ascii="Times New Roman" w:hAnsi="Times New Roman"/>
                <w:color w:val="auto"/>
                <w:szCs w:val="24"/>
                <w:highlight w:val="none"/>
              </w:rPr>
            </w:pPr>
            <w:bookmarkStart w:id="480" w:name="EBa7faf136ce10423598c2498740cc0bb3"/>
            <w:r>
              <w:rPr>
                <w:rFonts w:hint="eastAsia" w:ascii="Times New Roman" w:hAnsi="Times New Roman"/>
                <w:color w:val="auto"/>
                <w:szCs w:val="24"/>
                <w:highlight w:val="none"/>
              </w:rPr>
              <w:t>投标人应当在《湖北省建筑市场监督与诚信一体化工作平台 》进行企业基本信息和人员信息登记。</w:t>
            </w:r>
            <w:bookmarkEnd w:id="480"/>
          </w:p>
        </w:tc>
        <w:tc>
          <w:tcPr>
            <w:tcW w:w="1139" w:type="dxa"/>
            <w:tcBorders>
              <w:top w:val="single" w:color="auto" w:sz="4" w:space="0"/>
              <w:left w:val="single" w:color="auto" w:sz="4" w:space="0"/>
              <w:bottom w:val="single" w:color="auto" w:sz="4" w:space="0"/>
              <w:right w:val="single" w:color="auto" w:sz="4" w:space="0"/>
            </w:tcBorders>
            <w:noWrap w:val="0"/>
            <w:vAlign w:val="center"/>
          </w:tcPr>
          <w:p w14:paraId="2317A9BC">
            <w:pPr>
              <w:autoSpaceDE w:val="0"/>
              <w:autoSpaceDN w:val="0"/>
              <w:spacing w:line="319" w:lineRule="exact"/>
              <w:rPr>
                <w:rFonts w:hint="default" w:ascii="Times New Roman" w:hAnsi="Times New Roman" w:eastAsia="宋体"/>
                <w:color w:val="auto"/>
                <w:szCs w:val="24"/>
                <w:highlight w:val="none"/>
                <w:lang w:val="en-US" w:eastAsia="zh-CN"/>
              </w:rPr>
            </w:pPr>
            <w:r>
              <w:rPr>
                <w:rFonts w:hint="eastAsia" w:ascii="Times New Roman" w:hAnsi="Times New Roman"/>
                <w:color w:val="auto"/>
                <w:szCs w:val="24"/>
                <w:highlight w:val="none"/>
                <w:lang w:val="en-US" w:eastAsia="zh-CN"/>
              </w:rPr>
              <w:t>提供</w:t>
            </w:r>
            <w:r>
              <w:rPr>
                <w:rFonts w:hint="eastAsia" w:ascii="Times New Roman" w:hAnsi="Times New Roman"/>
                <w:color w:val="auto"/>
                <w:szCs w:val="24"/>
                <w:highlight w:val="none"/>
              </w:rPr>
              <w:t>《湖北省建筑市场监督与诚信一体化工作平台 》</w:t>
            </w:r>
            <w:r>
              <w:rPr>
                <w:rFonts w:hint="eastAsia" w:ascii="Times New Roman" w:hAnsi="Times New Roman"/>
                <w:color w:val="auto"/>
                <w:szCs w:val="24"/>
                <w:highlight w:val="none"/>
                <w:lang w:val="en-US" w:eastAsia="zh-CN"/>
              </w:rPr>
              <w:t>截图即可</w:t>
            </w:r>
          </w:p>
        </w:tc>
      </w:tr>
      <w:tr w14:paraId="17C0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790" w:type="dxa"/>
            <w:vMerge w:val="continue"/>
            <w:tcBorders>
              <w:left w:val="single" w:color="auto" w:sz="4" w:space="0"/>
              <w:right w:val="single" w:color="auto" w:sz="4" w:space="0"/>
            </w:tcBorders>
            <w:noWrap w:val="0"/>
            <w:vAlign w:val="center"/>
          </w:tcPr>
          <w:p w14:paraId="0679294B">
            <w:pPr>
              <w:widowControl/>
              <w:jc w:val="left"/>
              <w:rPr>
                <w:rFonts w:ascii="Times New Roman" w:hAnsi="Times New Roman"/>
                <w:color w:val="auto"/>
                <w:szCs w:val="21"/>
                <w:highlight w:val="none"/>
              </w:rPr>
            </w:pPr>
          </w:p>
        </w:tc>
        <w:tc>
          <w:tcPr>
            <w:tcW w:w="1752" w:type="dxa"/>
            <w:gridSpan w:val="2"/>
            <w:tcBorders>
              <w:top w:val="single" w:color="auto" w:sz="4" w:space="0"/>
              <w:left w:val="single" w:color="auto" w:sz="4" w:space="0"/>
              <w:bottom w:val="single" w:color="auto" w:sz="4" w:space="0"/>
              <w:right w:val="single" w:color="auto" w:sz="4" w:space="0"/>
            </w:tcBorders>
            <w:noWrap w:val="0"/>
            <w:vAlign w:val="center"/>
          </w:tcPr>
          <w:p w14:paraId="6F0C19AE">
            <w:pPr>
              <w:autoSpaceDE w:val="0"/>
              <w:autoSpaceDN w:val="0"/>
              <w:spacing w:line="319" w:lineRule="exact"/>
              <w:jc w:val="center"/>
              <w:rPr>
                <w:color w:val="auto"/>
                <w:highlight w:val="none"/>
              </w:rPr>
            </w:pPr>
            <w:r>
              <w:rPr>
                <w:rFonts w:hint="eastAsia"/>
                <w:color w:val="auto"/>
                <w:highlight w:val="none"/>
              </w:rPr>
              <w:t>政府采购</w:t>
            </w:r>
          </w:p>
          <w:p w14:paraId="2AD83D61">
            <w:pPr>
              <w:widowControl/>
              <w:ind w:left="105" w:leftChars="50"/>
              <w:jc w:val="left"/>
              <w:rPr>
                <w:color w:val="auto"/>
                <w:highlight w:val="none"/>
              </w:rPr>
            </w:pPr>
            <w:r>
              <w:rPr>
                <w:rFonts w:hint="eastAsia"/>
                <w:color w:val="auto"/>
                <w:highlight w:val="none"/>
              </w:rPr>
              <w:t xml:space="preserve">特别资格要求 </w:t>
            </w:r>
          </w:p>
          <w:p w14:paraId="27C115C8">
            <w:pPr>
              <w:autoSpaceDE w:val="0"/>
              <w:autoSpaceDN w:val="0"/>
              <w:spacing w:line="319" w:lineRule="exact"/>
              <w:jc w:val="center"/>
              <w:rPr>
                <w:rFonts w:hint="eastAsia"/>
                <w:color w:val="auto"/>
                <w:highlight w:val="none"/>
              </w:rPr>
            </w:pPr>
          </w:p>
        </w:tc>
        <w:tc>
          <w:tcPr>
            <w:tcW w:w="5217" w:type="dxa"/>
            <w:gridSpan w:val="2"/>
            <w:tcBorders>
              <w:top w:val="single" w:color="auto" w:sz="4" w:space="0"/>
              <w:left w:val="single" w:color="auto" w:sz="4" w:space="0"/>
              <w:bottom w:val="single" w:color="auto" w:sz="4" w:space="0"/>
              <w:right w:val="single" w:color="auto" w:sz="4" w:space="0"/>
            </w:tcBorders>
            <w:noWrap w:val="0"/>
            <w:vAlign w:val="center"/>
          </w:tcPr>
          <w:p w14:paraId="385C4007">
            <w:pPr>
              <w:rPr>
                <w:rFonts w:eastAsia="宋体" w:cs="Times New Roman"/>
                <w:color w:val="auto"/>
                <w:highlight w:val="none"/>
              </w:rPr>
            </w:pPr>
            <w:bookmarkStart w:id="481" w:name="EB99a0089847cb48cf80f0b7ce3ea21544"/>
            <w:r>
              <w:rPr>
                <w:rFonts w:hint="eastAsia" w:eastAsia="宋体" w:cs="Times New Roman"/>
                <w:color w:val="auto"/>
                <w:highlight w:val="none"/>
              </w:rPr>
              <w:t>政府采购特别资格要求：</w:t>
            </w:r>
          </w:p>
          <w:p w14:paraId="0436D118">
            <w:pPr>
              <w:rPr>
                <w:rFonts w:eastAsia="宋体" w:cs="Times New Roman"/>
                <w:color w:val="auto"/>
                <w:highlight w:val="none"/>
              </w:rPr>
            </w:pPr>
            <w:r>
              <w:rPr>
                <w:rFonts w:hint="eastAsia" w:cs="Times New Roman"/>
                <w:color w:val="auto"/>
                <w:highlight w:val="none"/>
                <w:lang w:eastAsia="zh-CN"/>
              </w:rPr>
              <w:t>☑</w:t>
            </w:r>
            <w:r>
              <w:rPr>
                <w:rFonts w:hint="eastAsia" w:eastAsia="宋体" w:cs="Times New Roman"/>
                <w:color w:val="auto"/>
                <w:highlight w:val="none"/>
              </w:rPr>
              <w:t>采购项目整体预留专门面向中小企业采购。</w:t>
            </w:r>
          </w:p>
          <w:p w14:paraId="25965240">
            <w:pPr>
              <w:rPr>
                <w:rFonts w:eastAsia="宋体" w:cs="Times New Roman"/>
                <w:color w:val="auto"/>
                <w:highlight w:val="none"/>
              </w:rPr>
            </w:pPr>
            <w:r>
              <w:rPr>
                <w:rFonts w:hint="eastAsia" w:eastAsia="宋体" w:cs="Times New Roman"/>
                <w:color w:val="auto"/>
                <w:highlight w:val="none"/>
              </w:rPr>
              <w:t>□采购项目整体预留专门面向小微企业采购。</w:t>
            </w:r>
          </w:p>
          <w:p w14:paraId="0728270C">
            <w:pPr>
              <w:rPr>
                <w:rFonts w:eastAsia="宋体" w:cs="Times New Roman"/>
                <w:color w:val="auto"/>
                <w:highlight w:val="none"/>
              </w:rPr>
            </w:pPr>
            <w:r>
              <w:rPr>
                <w:rFonts w:hint="eastAsia" w:eastAsia="宋体" w:cs="Times New Roman"/>
                <w:color w:val="auto"/>
                <w:highlight w:val="none"/>
              </w:rPr>
              <w:t>□采购项目部分预留专门面向中小企业采购。</w:t>
            </w:r>
          </w:p>
          <w:p w14:paraId="76A24D4B">
            <w:pPr>
              <w:rPr>
                <w:rFonts w:eastAsia="宋体" w:cs="Times New Roman"/>
                <w:color w:val="auto"/>
                <w:highlight w:val="none"/>
              </w:rPr>
            </w:pPr>
            <w:r>
              <w:rPr>
                <w:rFonts w:hint="eastAsia" w:eastAsia="宋体" w:cs="Times New Roman"/>
                <w:color w:val="auto"/>
                <w:highlight w:val="none"/>
              </w:rPr>
              <w:t>要求大企业与中小企业组成联合体的形式参加投标，且联合体中中小企业承担的部分达到项目合同总金额的</w:t>
            </w:r>
            <w:r>
              <w:rPr>
                <w:rFonts w:eastAsia="宋体" w:cs="Times New Roman"/>
                <w:color w:val="auto"/>
                <w:highlight w:val="none"/>
              </w:rPr>
              <w:t>%</w:t>
            </w:r>
            <w:r>
              <w:rPr>
                <w:rFonts w:hint="eastAsia" w:eastAsia="宋体" w:cs="Times New Roman"/>
                <w:color w:val="auto"/>
                <w:highlight w:val="none"/>
              </w:rPr>
              <w:t>以上，其中小微企业承担的比例不低于</w:t>
            </w:r>
            <w:r>
              <w:rPr>
                <w:rFonts w:eastAsia="宋体" w:cs="Times New Roman"/>
                <w:color w:val="auto"/>
                <w:highlight w:val="none"/>
              </w:rPr>
              <w:t>%</w:t>
            </w:r>
            <w:r>
              <w:rPr>
                <w:rFonts w:hint="eastAsia" w:eastAsia="宋体" w:cs="Times New Roman"/>
                <w:color w:val="auto"/>
                <w:highlight w:val="none"/>
              </w:rPr>
              <w:t>。组成联合体的中小企业与联合体内其他企业之间不得存在直接控股、管理关系。（前述比例由招标人根据项目的具体情况约定）</w:t>
            </w:r>
          </w:p>
          <w:p w14:paraId="4BA48A81">
            <w:pPr>
              <w:rPr>
                <w:rFonts w:eastAsia="宋体" w:cs="Times New Roman"/>
                <w:color w:val="auto"/>
                <w:highlight w:val="none"/>
              </w:rPr>
            </w:pPr>
            <w:r>
              <w:rPr>
                <w:rFonts w:hint="eastAsia" w:eastAsia="宋体" w:cs="Times New Roman"/>
                <w:color w:val="auto"/>
                <w:highlight w:val="none"/>
              </w:rPr>
              <w:t>□采购项目部分预留专门面向中小企业采购。</w:t>
            </w:r>
          </w:p>
          <w:p w14:paraId="67E69172">
            <w:pPr>
              <w:rPr>
                <w:rFonts w:eastAsia="宋体" w:cs="Times New Roman"/>
                <w:color w:val="auto"/>
                <w:highlight w:val="none"/>
              </w:rPr>
            </w:pPr>
            <w:r>
              <w:rPr>
                <w:rFonts w:hint="eastAsia" w:eastAsia="宋体" w:cs="Times New Roman"/>
                <w:color w:val="auto"/>
                <w:highlight w:val="none"/>
              </w:rPr>
              <w:t>要求大企业向中小企业分包的形式参加投标，且接受分包的中小企业承担的部分达到项目合同总金额的</w:t>
            </w:r>
            <w:r>
              <w:rPr>
                <w:rFonts w:eastAsia="宋体" w:cs="Times New Roman"/>
                <w:color w:val="auto"/>
                <w:highlight w:val="none"/>
              </w:rPr>
              <w:t>%</w:t>
            </w:r>
            <w:r>
              <w:rPr>
                <w:rFonts w:hint="eastAsia" w:eastAsia="宋体" w:cs="Times New Roman"/>
                <w:color w:val="auto"/>
                <w:highlight w:val="none"/>
              </w:rPr>
              <w:t>以上，其中接受分包的小微企业承担的比例不低于</w:t>
            </w:r>
            <w:r>
              <w:rPr>
                <w:rFonts w:eastAsia="宋体" w:cs="Times New Roman"/>
                <w:color w:val="auto"/>
                <w:highlight w:val="none"/>
              </w:rPr>
              <w:t>%</w:t>
            </w:r>
            <w:r>
              <w:rPr>
                <w:rFonts w:hint="eastAsia" w:eastAsia="宋体" w:cs="Times New Roman"/>
                <w:color w:val="auto"/>
                <w:highlight w:val="none"/>
              </w:rPr>
              <w:t>。接受分包合同的中小企业与分包企业之间不得存在直接控股、管理关系。（前述比例由招标人根据项目的具体情况约定）</w:t>
            </w:r>
          </w:p>
          <w:p w14:paraId="14C4FC23">
            <w:pPr>
              <w:rPr>
                <w:rFonts w:eastAsia="宋体" w:cs="Times New Roman"/>
                <w:color w:val="auto"/>
                <w:highlight w:val="none"/>
              </w:rPr>
            </w:pPr>
            <w:r>
              <w:rPr>
                <w:rFonts w:hint="eastAsia" w:cs="Times New Roman"/>
                <w:color w:val="auto"/>
                <w:highlight w:val="none"/>
                <w:lang w:eastAsia="zh-CN"/>
              </w:rPr>
              <w:t>□</w:t>
            </w:r>
            <w:r>
              <w:rPr>
                <w:rFonts w:hint="eastAsia" w:eastAsia="宋体" w:cs="Times New Roman"/>
                <w:color w:val="auto"/>
                <w:highlight w:val="none"/>
              </w:rPr>
              <w:t>采购项目未预留份额专门面向中小企业采购。</w:t>
            </w:r>
          </w:p>
          <w:p w14:paraId="52AA6FAA">
            <w:pPr>
              <w:rPr>
                <w:rFonts w:eastAsia="宋体" w:cs="Times New Roman"/>
                <w:color w:val="auto"/>
                <w:highlight w:val="none"/>
              </w:rPr>
            </w:pPr>
            <w:r>
              <w:rPr>
                <w:rFonts w:hint="eastAsia" w:eastAsia="宋体" w:cs="Times New Roman"/>
                <w:color w:val="auto"/>
                <w:highlight w:val="none"/>
                <w:lang w:eastAsia="zh-CN"/>
              </w:rPr>
              <w:t>☑</w:t>
            </w:r>
            <w:r>
              <w:rPr>
                <w:rFonts w:hint="eastAsia" w:eastAsia="宋体" w:cs="Times New Roman"/>
                <w:color w:val="auto"/>
                <w:highlight w:val="none"/>
              </w:rPr>
              <w:t>不接受□接受大中型企业与小微企业组成联合体。</w:t>
            </w:r>
          </w:p>
          <w:p w14:paraId="60680DAB">
            <w:pPr>
              <w:rPr>
                <w:rFonts w:hint="eastAsia" w:ascii="Times New Roman" w:hAnsi="Times New Roman"/>
                <w:color w:val="auto"/>
                <w:szCs w:val="24"/>
                <w:highlight w:val="none"/>
              </w:rPr>
            </w:pPr>
            <w:r>
              <w:rPr>
                <w:rFonts w:hint="eastAsia" w:eastAsia="宋体" w:cs="Times New Roman"/>
                <w:color w:val="auto"/>
                <w:highlight w:val="none"/>
                <w:lang w:eastAsia="zh-CN"/>
              </w:rPr>
              <w:t>☑</w:t>
            </w:r>
            <w:r>
              <w:rPr>
                <w:rFonts w:hint="eastAsia" w:eastAsia="宋体" w:cs="Times New Roman"/>
                <w:color w:val="auto"/>
                <w:highlight w:val="none"/>
              </w:rPr>
              <w:t>不允许□允许大中型企业向一家或者多家小微企业分包。</w:t>
            </w:r>
            <w:bookmarkEnd w:id="481"/>
          </w:p>
        </w:tc>
        <w:tc>
          <w:tcPr>
            <w:tcW w:w="1139" w:type="dxa"/>
            <w:tcBorders>
              <w:top w:val="single" w:color="auto" w:sz="4" w:space="0"/>
              <w:left w:val="single" w:color="auto" w:sz="4" w:space="0"/>
              <w:bottom w:val="single" w:color="auto" w:sz="4" w:space="0"/>
              <w:right w:val="single" w:color="auto" w:sz="4" w:space="0"/>
            </w:tcBorders>
            <w:noWrap w:val="0"/>
            <w:vAlign w:val="center"/>
          </w:tcPr>
          <w:p w14:paraId="3766A250">
            <w:pPr>
              <w:spacing w:line="440" w:lineRule="exact"/>
              <w:rPr>
                <w:rFonts w:hint="eastAsia" w:ascii="Times New Roman" w:hAnsi="Times New Roman"/>
                <w:color w:val="auto"/>
                <w:szCs w:val="21"/>
                <w:highlight w:val="none"/>
              </w:rPr>
            </w:pPr>
          </w:p>
        </w:tc>
      </w:tr>
      <w:tr w14:paraId="0A45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790" w:type="dxa"/>
            <w:vMerge w:val="continue"/>
            <w:tcBorders>
              <w:left w:val="single" w:color="auto" w:sz="4" w:space="0"/>
              <w:bottom w:val="single" w:color="auto" w:sz="4" w:space="0"/>
              <w:right w:val="single" w:color="auto" w:sz="4" w:space="0"/>
            </w:tcBorders>
            <w:noWrap w:val="0"/>
            <w:vAlign w:val="center"/>
          </w:tcPr>
          <w:p w14:paraId="5B6E1A8D">
            <w:pPr>
              <w:widowControl/>
              <w:jc w:val="left"/>
              <w:rPr>
                <w:rFonts w:ascii="Times New Roman" w:hAnsi="Times New Roman"/>
                <w:color w:val="auto"/>
                <w:szCs w:val="21"/>
                <w:highlight w:val="none"/>
              </w:rPr>
            </w:pPr>
            <w:bookmarkStart w:id="482" w:name="EB1ccdb1d83f814cd9aab24a7bed187cce"/>
          </w:p>
        </w:tc>
        <w:tc>
          <w:tcPr>
            <w:tcW w:w="1752" w:type="dxa"/>
            <w:gridSpan w:val="2"/>
            <w:tcBorders>
              <w:top w:val="single" w:color="auto" w:sz="4" w:space="0"/>
              <w:left w:val="single" w:color="auto" w:sz="4" w:space="0"/>
              <w:bottom w:val="single" w:color="auto" w:sz="4" w:space="0"/>
              <w:right w:val="single" w:color="auto" w:sz="4" w:space="0"/>
            </w:tcBorders>
            <w:noWrap w:val="0"/>
            <w:vAlign w:val="center"/>
          </w:tcPr>
          <w:p w14:paraId="170876CA">
            <w:pPr>
              <w:autoSpaceDE w:val="0"/>
              <w:autoSpaceDN w:val="0"/>
              <w:spacing w:line="319" w:lineRule="exact"/>
              <w:jc w:val="center"/>
              <w:rPr>
                <w:rFonts w:hint="eastAsia"/>
                <w:color w:val="auto"/>
                <w:highlight w:val="yellow"/>
              </w:rPr>
            </w:pPr>
            <w:bookmarkStart w:id="483" w:name="EB0fcdd38ff4464289803af2e36f73044c"/>
            <w:r>
              <w:rPr>
                <w:rFonts w:hint="eastAsia"/>
                <w:color w:val="auto"/>
                <w:highlight w:val="none"/>
              </w:rPr>
              <w:t>落实政府采购支持绿色建材促进建筑品质提升政策</w:t>
            </w:r>
            <w:bookmarkEnd w:id="483"/>
          </w:p>
        </w:tc>
        <w:tc>
          <w:tcPr>
            <w:tcW w:w="5217" w:type="dxa"/>
            <w:gridSpan w:val="2"/>
            <w:tcBorders>
              <w:top w:val="single" w:color="auto" w:sz="4" w:space="0"/>
              <w:left w:val="single" w:color="auto" w:sz="4" w:space="0"/>
              <w:bottom w:val="single" w:color="auto" w:sz="4" w:space="0"/>
              <w:right w:val="single" w:color="auto" w:sz="4" w:space="0"/>
            </w:tcBorders>
            <w:noWrap w:val="0"/>
            <w:vAlign w:val="center"/>
          </w:tcPr>
          <w:p w14:paraId="57A8667B">
            <w:pPr>
              <w:rPr>
                <w:rFonts w:hint="eastAsia" w:eastAsia="宋体" w:cs="Times New Roman"/>
                <w:color w:val="auto"/>
                <w:highlight w:val="none"/>
                <w:lang w:eastAsia="zh-CN"/>
              </w:rPr>
            </w:pPr>
            <w:bookmarkStart w:id="484" w:name="EBe9be3527724640d7b7d454b5ef025362"/>
            <w:r>
              <w:rPr>
                <w:rFonts w:hint="eastAsia" w:eastAsia="宋体" w:cs="Times New Roman"/>
                <w:color w:val="auto"/>
                <w:highlight w:val="none"/>
                <w:lang w:eastAsia="zh-CN"/>
              </w:rPr>
              <w:t>1．根据《关于扩大政府采购支持绿色建材促进建筑品质提升政策实施范围的通知》（财库〔2022〕35号）的要求，本项目涉及的产品、材料及设备除应当符合《绿色建筑和绿色建材政府采购需求标准》技术指标外，还应当满足相应的法律法规和强制性标准要求。预拌混凝土、预拌砂浆和加气混凝土砌块选用取得绿色建材标识的产品。产品性能指标应同时符合使用地的地方标准要求，不得使用《绿色建筑和绿色建材政府采购需求标准》附录A中规定的禁止使用的产品。投标人须提供承诺函，未提供承诺函的将作无效投标处理。</w:t>
            </w:r>
            <w:bookmarkEnd w:id="484"/>
          </w:p>
          <w:p w14:paraId="0641DBCA">
            <w:pPr>
              <w:rPr>
                <w:rFonts w:hint="eastAsia" w:eastAsia="宋体" w:cs="Times New Roman"/>
                <w:color w:val="auto"/>
                <w:highlight w:val="yellow"/>
                <w:lang w:eastAsia="zh-CN"/>
              </w:rPr>
            </w:pPr>
            <w:r>
              <w:rPr>
                <w:rFonts w:hint="eastAsia" w:eastAsia="宋体" w:cs="Times New Roman"/>
                <w:color w:val="auto"/>
                <w:highlight w:val="none"/>
                <w:lang w:eastAsia="zh-CN"/>
              </w:rPr>
              <w:t>2.本项目专门面向中小型企业，需提供中小企业声明函</w:t>
            </w:r>
          </w:p>
        </w:tc>
        <w:tc>
          <w:tcPr>
            <w:tcW w:w="1139" w:type="dxa"/>
            <w:tcBorders>
              <w:top w:val="single" w:color="auto" w:sz="4" w:space="0"/>
              <w:left w:val="single" w:color="auto" w:sz="4" w:space="0"/>
              <w:bottom w:val="single" w:color="auto" w:sz="4" w:space="0"/>
              <w:right w:val="single" w:color="auto" w:sz="4" w:space="0"/>
            </w:tcBorders>
            <w:noWrap w:val="0"/>
            <w:vAlign w:val="center"/>
          </w:tcPr>
          <w:p w14:paraId="0FB19378">
            <w:pPr>
              <w:spacing w:line="440" w:lineRule="exact"/>
              <w:rPr>
                <w:rFonts w:hint="eastAsia" w:ascii="Times New Roman" w:hAnsi="Times New Roman"/>
                <w:color w:val="auto"/>
                <w:szCs w:val="21"/>
                <w:highlight w:val="none"/>
              </w:rPr>
            </w:pPr>
            <w:r>
              <w:rPr>
                <w:rFonts w:hint="eastAsia" w:ascii="Times New Roman" w:hAnsi="Times New Roman"/>
                <w:color w:val="auto"/>
                <w:szCs w:val="24"/>
                <w:highlight w:val="none"/>
              </w:rPr>
              <w:t>提供相关证明材料</w:t>
            </w:r>
          </w:p>
        </w:tc>
      </w:tr>
    </w:tbl>
    <w:p w14:paraId="0B10EBAE">
      <w:pPr>
        <w:ind w:left="630" w:leftChars="300"/>
        <w:rPr>
          <w:rFonts w:hint="eastAsia"/>
          <w:color w:val="auto"/>
          <w:sz w:val="20"/>
          <w:highlight w:val="none"/>
        </w:rPr>
      </w:pPr>
      <w:r>
        <w:rPr>
          <w:rFonts w:hint="eastAsia"/>
          <w:color w:val="auto"/>
          <w:sz w:val="20"/>
          <w:highlight w:val="none"/>
        </w:rPr>
        <w:t xml:space="preserve"> </w:t>
      </w:r>
      <w:bookmarkEnd w:id="482"/>
      <w:bookmarkStart w:id="485" w:name="_Toc521074966"/>
      <w:bookmarkStart w:id="486" w:name="_Toc521075391"/>
    </w:p>
    <w:p w14:paraId="0736005E">
      <w:pPr>
        <w:ind w:left="630" w:leftChars="300"/>
        <w:rPr>
          <w:rFonts w:hint="eastAsia"/>
          <w:color w:val="auto"/>
          <w:sz w:val="20"/>
          <w:highlight w:val="none"/>
        </w:rPr>
      </w:pPr>
      <w:r>
        <w:rPr>
          <w:rFonts w:hint="eastAsia"/>
          <w:color w:val="auto"/>
          <w:szCs w:val="21"/>
          <w:highlight w:val="none"/>
        </w:rPr>
        <w:t>备注：</w:t>
      </w:r>
      <w:r>
        <w:rPr>
          <w:color w:val="auto"/>
          <w:highlight w:val="none"/>
        </w:rPr>
        <w:t xml:space="preserve">1. </w:t>
      </w:r>
      <w:r>
        <w:rPr>
          <w:rFonts w:hint="eastAsia"/>
          <w:color w:val="auto"/>
          <w:highlight w:val="none"/>
        </w:rPr>
        <w:t>“类似项目”是指与招标项目在建设规模、结构形式、使用功能、复杂难易程度相同或相近的项目。招标人在招标文件中应准确、简洁的工程特征指标予以定义（如房屋建筑工程使用面积、高度、跨度、其他工程特征指标定义，市政工程使用跨度、长度、截面面积、合同金额、其他工程特征指标定义，或参照《建筑业企业资质标准》（建市</w:t>
      </w:r>
      <w:r>
        <w:rPr>
          <w:color w:val="auto"/>
          <w:highlight w:val="none"/>
        </w:rPr>
        <w:t>[2014]159</w:t>
      </w:r>
      <w:r>
        <w:rPr>
          <w:rFonts w:hint="eastAsia"/>
          <w:color w:val="auto"/>
          <w:highlight w:val="none"/>
        </w:rPr>
        <w:t>号）及其他配套文件规定的工程业绩标准结合招标项目实际的工程特征指标定义），且</w:t>
      </w:r>
      <w:r>
        <w:rPr>
          <w:rFonts w:hint="eastAsia" w:cs="宋体"/>
          <w:color w:val="auto"/>
          <w:kern w:val="0"/>
          <w:szCs w:val="21"/>
          <w:highlight w:val="none"/>
        </w:rPr>
        <w:t>方便</w:t>
      </w:r>
      <w:r>
        <w:rPr>
          <w:rFonts w:hint="eastAsia"/>
          <w:color w:val="auto"/>
          <w:highlight w:val="none"/>
        </w:rPr>
        <w:t>投标人使用</w:t>
      </w:r>
      <w:r>
        <w:rPr>
          <w:rFonts w:hint="eastAsia" w:cs="宋体"/>
          <w:color w:val="auto"/>
          <w:kern w:val="0"/>
          <w:szCs w:val="21"/>
          <w:highlight w:val="none"/>
        </w:rPr>
        <w:t>中标通知书（如有）、合同协议书、工程接收证书或工程竣工验收证书（工程竣工验收备案证）及其他证明材料证实。</w:t>
      </w:r>
      <w:r>
        <w:rPr>
          <w:rFonts w:hint="eastAsia"/>
          <w:color w:val="auto"/>
          <w:highlight w:val="none"/>
        </w:rPr>
        <w:t>“类似项目”的定义中不含“近</w:t>
      </w:r>
      <w:r>
        <w:rPr>
          <w:color w:val="auto"/>
          <w:highlight w:val="none"/>
        </w:rPr>
        <w:t>5</w:t>
      </w:r>
      <w:r>
        <w:rPr>
          <w:rFonts w:hint="eastAsia"/>
          <w:color w:val="auto"/>
          <w:highlight w:val="none"/>
        </w:rPr>
        <w:t>年”“近</w:t>
      </w:r>
      <w:r>
        <w:rPr>
          <w:color w:val="auto"/>
          <w:highlight w:val="none"/>
        </w:rPr>
        <w:t>3</w:t>
      </w:r>
      <w:r>
        <w:rPr>
          <w:rFonts w:hint="eastAsia"/>
          <w:color w:val="auto"/>
          <w:highlight w:val="none"/>
        </w:rPr>
        <w:t>年”等时间限制条件。</w:t>
      </w:r>
    </w:p>
    <w:p w14:paraId="1F42417B">
      <w:pPr>
        <w:ind w:left="630" w:hanging="630" w:hangingChars="300"/>
        <w:jc w:val="left"/>
        <w:rPr>
          <w:color w:val="auto"/>
          <w:highlight w:val="none"/>
        </w:rPr>
      </w:pPr>
      <w:r>
        <w:rPr>
          <w:color w:val="auto"/>
          <w:highlight w:val="none"/>
        </w:rPr>
        <w:t xml:space="preserve">      2.</w:t>
      </w:r>
      <w:r>
        <w:rPr>
          <w:rFonts w:hint="eastAsia" w:ascii="宋体" w:hAnsi="宋体"/>
          <w:color w:val="auto"/>
          <w:szCs w:val="21"/>
          <w:highlight w:val="none"/>
        </w:rPr>
        <w:t xml:space="preserve"> “投标人用于投标</w:t>
      </w:r>
      <w:r>
        <w:rPr>
          <w:rFonts w:hint="eastAsia"/>
          <w:color w:val="auto"/>
          <w:highlight w:val="none"/>
        </w:rPr>
        <w:t>项目（标段）的流动资金”</w:t>
      </w:r>
      <w:r>
        <w:rPr>
          <w:color w:val="auto"/>
          <w:highlight w:val="none"/>
        </w:rPr>
        <w:t xml:space="preserve"> </w:t>
      </w:r>
      <w:r>
        <w:rPr>
          <w:rFonts w:hint="eastAsia"/>
          <w:color w:val="auto"/>
          <w:highlight w:val="none"/>
        </w:rPr>
        <w:t>：一般而言，在有正常的预付款和工程款支付的情况下，承包人仍需要投入合同总价</w:t>
      </w:r>
      <w:r>
        <w:rPr>
          <w:color w:val="auto"/>
          <w:highlight w:val="none"/>
        </w:rPr>
        <w:t>/T</w:t>
      </w:r>
      <w:r>
        <w:rPr>
          <w:rFonts w:hint="eastAsia"/>
          <w:color w:val="auto"/>
          <w:highlight w:val="none"/>
        </w:rPr>
        <w:t>的</w:t>
      </w:r>
      <w:r>
        <w:rPr>
          <w:color w:val="auto"/>
          <w:highlight w:val="none"/>
        </w:rPr>
        <w:t>10-15%</w:t>
      </w:r>
      <w:r>
        <w:rPr>
          <w:rFonts w:hint="eastAsia"/>
          <w:color w:val="auto"/>
          <w:highlight w:val="none"/>
        </w:rPr>
        <w:t>左右的流动资金用于项目周转性生产。招标人宜根据项目情况合理设置</w:t>
      </w:r>
      <w:r>
        <w:rPr>
          <w:rFonts w:hint="eastAsia" w:ascii="宋体" w:hAnsi="宋体"/>
          <w:color w:val="auto"/>
          <w:szCs w:val="21"/>
          <w:highlight w:val="none"/>
        </w:rPr>
        <w:t>投标人用于投标</w:t>
      </w:r>
      <w:r>
        <w:rPr>
          <w:rFonts w:hint="eastAsia"/>
          <w:color w:val="auto"/>
          <w:highlight w:val="none"/>
        </w:rPr>
        <w:t>项目（标段）的流动资金数额。</w:t>
      </w:r>
      <w:r>
        <w:rPr>
          <w:color w:val="auto"/>
          <w:szCs w:val="21"/>
          <w:highlight w:val="none"/>
        </w:rPr>
        <w:t>T=</w:t>
      </w:r>
      <w:r>
        <w:rPr>
          <w:rFonts w:hint="eastAsia"/>
          <w:color w:val="auto"/>
          <w:szCs w:val="21"/>
          <w:highlight w:val="none"/>
        </w:rPr>
        <w:t>（标段）计划工期（年）</w:t>
      </w:r>
      <w:r>
        <w:rPr>
          <w:color w:val="auto"/>
          <w:szCs w:val="21"/>
          <w:highlight w:val="none"/>
        </w:rPr>
        <w:t>=</w:t>
      </w:r>
      <w:r>
        <w:rPr>
          <w:rFonts w:hint="eastAsia"/>
          <w:color w:val="auto"/>
          <w:szCs w:val="21"/>
          <w:highlight w:val="none"/>
        </w:rPr>
        <w:t>（标段）计划工期（日历天）</w:t>
      </w:r>
      <w:r>
        <w:rPr>
          <w:color w:val="auto"/>
          <w:szCs w:val="21"/>
          <w:highlight w:val="none"/>
        </w:rPr>
        <w:t>/365</w:t>
      </w:r>
      <w:r>
        <w:rPr>
          <w:rFonts w:hint="eastAsia"/>
          <w:color w:val="auto"/>
          <w:szCs w:val="21"/>
          <w:highlight w:val="none"/>
        </w:rPr>
        <w:t>。当</w:t>
      </w:r>
      <w:r>
        <w:rPr>
          <w:color w:val="auto"/>
          <w:szCs w:val="21"/>
          <w:highlight w:val="none"/>
        </w:rPr>
        <w:t>T&lt;1</w:t>
      </w:r>
      <w:r>
        <w:rPr>
          <w:rFonts w:hint="eastAsia"/>
          <w:color w:val="auto"/>
          <w:szCs w:val="21"/>
          <w:highlight w:val="none"/>
        </w:rPr>
        <w:t>，</w:t>
      </w:r>
      <w:r>
        <w:rPr>
          <w:color w:val="auto"/>
          <w:szCs w:val="21"/>
          <w:highlight w:val="none"/>
        </w:rPr>
        <w:t>T</w:t>
      </w:r>
      <w:r>
        <w:rPr>
          <w:rFonts w:hint="eastAsia"/>
          <w:color w:val="auto"/>
          <w:szCs w:val="21"/>
          <w:highlight w:val="none"/>
        </w:rPr>
        <w:t>取</w:t>
      </w:r>
      <w:r>
        <w:rPr>
          <w:color w:val="auto"/>
          <w:szCs w:val="21"/>
          <w:highlight w:val="none"/>
        </w:rPr>
        <w:t>1</w:t>
      </w:r>
      <w:r>
        <w:rPr>
          <w:rFonts w:hint="eastAsia"/>
          <w:color w:val="auto"/>
          <w:szCs w:val="21"/>
          <w:highlight w:val="none"/>
        </w:rPr>
        <w:t>。</w:t>
      </w:r>
    </w:p>
    <w:p w14:paraId="32A80AC9">
      <w:pPr>
        <w:ind w:left="630" w:leftChars="300"/>
        <w:jc w:val="left"/>
        <w:rPr>
          <w:color w:val="auto"/>
          <w:highlight w:val="none"/>
        </w:rPr>
      </w:pPr>
      <w:r>
        <w:rPr>
          <w:color w:val="auto"/>
          <w:highlight w:val="none"/>
        </w:rPr>
        <w:t>3.</w:t>
      </w:r>
      <w:r>
        <w:rPr>
          <w:rFonts w:hint="eastAsia"/>
          <w:color w:val="auto"/>
          <w:highlight w:val="none"/>
        </w:rPr>
        <w:t>建筑工程相关专业职称包括：土木工程、工民建、结构、建筑施工、建筑工程、给排水、暖通、电气等专业职称。市政工程相关专业职称包括道路与桥梁、给排水、土木工程、工民建、结构、建筑施工、建筑工程、机电、燃气等专业职称。</w:t>
      </w:r>
    </w:p>
    <w:p w14:paraId="72C6D72C">
      <w:pPr>
        <w:ind w:left="630" w:leftChars="300"/>
        <w:jc w:val="left"/>
        <w:rPr>
          <w:color w:val="auto"/>
          <w:highlight w:val="none"/>
        </w:rPr>
      </w:pPr>
      <w:r>
        <w:rPr>
          <w:color w:val="auto"/>
          <w:highlight w:val="none"/>
        </w:rPr>
        <w:t xml:space="preserve">4. </w:t>
      </w:r>
      <w:r>
        <w:rPr>
          <w:rFonts w:hint="eastAsia"/>
          <w:color w:val="auto"/>
          <w:highlight w:val="none"/>
        </w:rPr>
        <w:t>招标人在设置“项目管理机构其他主要人员”时，可按上述表格只要求“项目技术负责人、施工管理、质量管理、安全管理”等关键岗位和人员数量，其他施工现场管理人员可由投标人根据施工现场管理的需要自行配置；招标人也可以根据项目实际需要，参照《建筑业企业资质标准》（建市〔</w:t>
      </w:r>
      <w:r>
        <w:rPr>
          <w:color w:val="auto"/>
          <w:highlight w:val="none"/>
        </w:rPr>
        <w:t>2014</w:t>
      </w:r>
      <w:r>
        <w:rPr>
          <w:rFonts w:hint="eastAsia"/>
          <w:color w:val="auto"/>
          <w:highlight w:val="none"/>
        </w:rPr>
        <w:t>〕</w:t>
      </w:r>
      <w:r>
        <w:rPr>
          <w:color w:val="auto"/>
          <w:highlight w:val="none"/>
        </w:rPr>
        <w:t>159</w:t>
      </w:r>
      <w:r>
        <w:rPr>
          <w:rFonts w:hint="eastAsia"/>
          <w:color w:val="auto"/>
          <w:highlight w:val="none"/>
        </w:rPr>
        <w:t>号）相应总承包（专业承包）资质标准中对施工现场管理人员的要求设置岗位，提出人员数量要求。其中安全管理的人员数量应按</w:t>
      </w:r>
      <w:r>
        <w:rPr>
          <w:color w:val="auto"/>
          <w:highlight w:val="none"/>
        </w:rPr>
        <w:t xml:space="preserve"> </w:t>
      </w:r>
      <w:r>
        <w:rPr>
          <w:rFonts w:hint="eastAsia"/>
          <w:color w:val="auto"/>
          <w:highlight w:val="none"/>
        </w:rPr>
        <w:t>《建筑施工企业安全生产管理机构设置及专职安全生产管理人员配备办法》（建质〔</w:t>
      </w:r>
      <w:r>
        <w:rPr>
          <w:color w:val="auto"/>
          <w:highlight w:val="none"/>
        </w:rPr>
        <w:t>2008</w:t>
      </w:r>
      <w:r>
        <w:rPr>
          <w:rFonts w:hint="eastAsia"/>
          <w:color w:val="auto"/>
          <w:highlight w:val="none"/>
        </w:rPr>
        <w:t>〕</w:t>
      </w:r>
      <w:r>
        <w:rPr>
          <w:color w:val="auto"/>
          <w:highlight w:val="none"/>
        </w:rPr>
        <w:t>91</w:t>
      </w:r>
      <w:r>
        <w:rPr>
          <w:rFonts w:hint="eastAsia"/>
          <w:color w:val="auto"/>
          <w:highlight w:val="none"/>
        </w:rPr>
        <w:t>号）第十三条的规定设置。根据《建筑与市政工程施工现场专业人员职业标准》（</w:t>
      </w:r>
      <w:r>
        <w:rPr>
          <w:color w:val="auto"/>
          <w:highlight w:val="none"/>
        </w:rPr>
        <w:t>JGJ/T250-2011</w:t>
      </w:r>
      <w:r>
        <w:rPr>
          <w:rFonts w:hint="eastAsia"/>
          <w:color w:val="auto"/>
          <w:highlight w:val="none"/>
        </w:rPr>
        <w:t>），八大员为施工员、质量员、安全员、标准员、材料员、机械员、劳务员、资料员。其中，施工员、质量员可分为土建施工、装饰装修、设备安装和市政工程四个子专业。</w:t>
      </w:r>
    </w:p>
    <w:p w14:paraId="7BB36949">
      <w:pPr>
        <w:ind w:left="630" w:leftChars="300"/>
        <w:jc w:val="left"/>
        <w:rPr>
          <w:color w:val="auto"/>
          <w:highlight w:val="none"/>
        </w:rPr>
      </w:pPr>
      <w:r>
        <w:rPr>
          <w:color w:val="auto"/>
          <w:highlight w:val="none"/>
        </w:rPr>
        <w:t xml:space="preserve">5. </w:t>
      </w:r>
      <w:r>
        <w:rPr>
          <w:rFonts w:hint="eastAsia"/>
          <w:color w:val="auto"/>
          <w:highlight w:val="none"/>
        </w:rPr>
        <w:t>根据湖北省住房和城乡建设厅《关于推动全省建筑市场统一开放的通知》（鄂建文〔</w:t>
      </w:r>
      <w:r>
        <w:rPr>
          <w:color w:val="auto"/>
          <w:highlight w:val="none"/>
        </w:rPr>
        <w:t>2015</w:t>
      </w:r>
      <w:r>
        <w:rPr>
          <w:rFonts w:hint="eastAsia"/>
          <w:color w:val="auto"/>
          <w:highlight w:val="none"/>
        </w:rPr>
        <w:t>〕</w:t>
      </w:r>
      <w:r>
        <w:rPr>
          <w:color w:val="auto"/>
          <w:highlight w:val="none"/>
        </w:rPr>
        <w:t>83</w:t>
      </w:r>
      <w:r>
        <w:rPr>
          <w:rFonts w:hint="eastAsia"/>
          <w:color w:val="auto"/>
          <w:highlight w:val="none"/>
        </w:rPr>
        <w:t>号）的规定，“省内外建筑企业在各市州区域流动，统一实行一体化平台登记管理”。申请人应当在《湖北省建筑市场监督与诚信一体化工作平台》（网址：</w:t>
      </w:r>
      <w:r>
        <w:rPr>
          <w:color w:val="auto"/>
          <w:highlight w:val="none"/>
        </w:rPr>
        <w:t>http://jg.hbcic.net.cn/web/</w:t>
      </w:r>
      <w:r>
        <w:rPr>
          <w:rFonts w:hint="eastAsia"/>
          <w:color w:val="auto"/>
          <w:highlight w:val="none"/>
        </w:rPr>
        <w:t>）进行企业基本信息和人员信息登记。不具备建筑业企业资质证书的企业无需在该一体化平台登记。</w:t>
      </w:r>
    </w:p>
    <w:p w14:paraId="3D5AC51C">
      <w:pPr>
        <w:ind w:left="630" w:leftChars="300"/>
        <w:jc w:val="left"/>
        <w:rPr>
          <w:color w:val="auto"/>
          <w:highlight w:val="none"/>
        </w:rPr>
      </w:pPr>
      <w:r>
        <w:rPr>
          <w:color w:val="auto"/>
          <w:highlight w:val="none"/>
        </w:rPr>
        <w:t>6.</w:t>
      </w:r>
      <w:r>
        <w:rPr>
          <w:rFonts w:hint="eastAsia"/>
          <w:color w:val="auto"/>
          <w:highlight w:val="none"/>
        </w:rPr>
        <w:t>政府采购工程是指国家机关、事业单位、团体组织使用财政性资金采购建设工程。财政性资金是指纳入预算管理的资金。以财政性资金作为还款来源的借贷资金，视同财政性资金。</w:t>
      </w:r>
    </w:p>
    <w:p w14:paraId="76F02B8C">
      <w:pPr>
        <w:ind w:left="630" w:leftChars="300"/>
        <w:jc w:val="left"/>
        <w:rPr>
          <w:color w:val="auto"/>
          <w:highlight w:val="none"/>
        </w:rPr>
      </w:pPr>
      <w:r>
        <w:rPr>
          <w:rFonts w:hint="eastAsia"/>
          <w:color w:val="auto"/>
          <w:highlight w:val="none"/>
        </w:rPr>
        <w:t>本招标文件所称中、小、微企业，是指在中华人民共和国境内依法设立，依据《中小企业划型标准规定》（工信部联企业</w:t>
      </w:r>
      <w:r>
        <w:rPr>
          <w:color w:val="auto"/>
          <w:highlight w:val="none"/>
        </w:rPr>
        <w:t>[2011]300</w:t>
      </w:r>
      <w:r>
        <w:rPr>
          <w:rFonts w:hint="eastAsia"/>
          <w:color w:val="auto"/>
          <w:highlight w:val="none"/>
        </w:rPr>
        <w:t>号）确定的中型企业、小型企业和微型企业，但与大企业的负责人为同一人，或者与大企业存在直接控股、管理关系的除外。</w:t>
      </w:r>
    </w:p>
    <w:p w14:paraId="55F97A20">
      <w:pPr>
        <w:ind w:left="630" w:leftChars="300"/>
        <w:jc w:val="left"/>
        <w:rPr>
          <w:color w:val="auto"/>
          <w:highlight w:val="none"/>
        </w:rPr>
      </w:pPr>
      <w:r>
        <w:rPr>
          <w:rFonts w:hint="eastAsia"/>
          <w:color w:val="auto"/>
          <w:highlight w:val="none"/>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48951699">
      <w:pPr>
        <w:ind w:left="630" w:leftChars="300"/>
        <w:jc w:val="left"/>
        <w:rPr>
          <w:color w:val="auto"/>
          <w:highlight w:val="none"/>
        </w:rPr>
      </w:pPr>
      <w:r>
        <w:rPr>
          <w:rFonts w:hint="eastAsia"/>
          <w:color w:val="auto"/>
          <w:highlight w:val="none"/>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color w:val="auto"/>
          <w:highlight w:val="none"/>
        </w:rPr>
        <w:t>30%</w:t>
      </w:r>
      <w:r>
        <w:rPr>
          <w:rFonts w:hint="eastAsia"/>
          <w:color w:val="auto"/>
          <w:highlight w:val="none"/>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48827F53">
      <w:pPr>
        <w:ind w:left="630" w:leftChars="300"/>
        <w:jc w:val="left"/>
        <w:rPr>
          <w:color w:val="auto"/>
          <w:highlight w:val="none"/>
        </w:rPr>
      </w:pPr>
      <w:r>
        <w:rPr>
          <w:rFonts w:hint="eastAsia"/>
          <w:color w:val="auto"/>
          <w:highlight w:val="none"/>
        </w:rPr>
        <w:t>享受扶持政策获得政府采购合同的，小微企业不得将合同分包给大中型企业，中型企业不得将合同分包给大型企业。</w:t>
      </w:r>
    </w:p>
    <w:p w14:paraId="3CADF582">
      <w:pPr>
        <w:ind w:left="630" w:leftChars="300"/>
        <w:jc w:val="left"/>
        <w:rPr>
          <w:color w:val="auto"/>
          <w:highlight w:val="none"/>
        </w:rPr>
      </w:pPr>
      <w:r>
        <w:rPr>
          <w:rFonts w:hint="eastAsia"/>
          <w:color w:val="auto"/>
          <w:highlight w:val="none"/>
        </w:rPr>
        <w:t>具体的政策依据详见《政府采购促进中小企业发展管理办法》（财库〔</w:t>
      </w:r>
      <w:r>
        <w:rPr>
          <w:color w:val="auto"/>
          <w:highlight w:val="none"/>
        </w:rPr>
        <w:t>2020</w:t>
      </w:r>
      <w:r>
        <w:rPr>
          <w:rFonts w:hint="eastAsia"/>
          <w:color w:val="auto"/>
          <w:highlight w:val="none"/>
        </w:rPr>
        <w:t>〕</w:t>
      </w:r>
      <w:r>
        <w:rPr>
          <w:color w:val="auto"/>
          <w:highlight w:val="none"/>
        </w:rPr>
        <w:t>46</w:t>
      </w:r>
      <w:r>
        <w:rPr>
          <w:rFonts w:hint="eastAsia"/>
          <w:color w:val="auto"/>
          <w:highlight w:val="none"/>
        </w:rPr>
        <w:t>号）、《关于进一步加大政府采购支持中小企业力度的通知》（财库〔</w:t>
      </w:r>
      <w:r>
        <w:rPr>
          <w:color w:val="auto"/>
          <w:highlight w:val="none"/>
        </w:rPr>
        <w:t>2022</w:t>
      </w:r>
      <w:r>
        <w:rPr>
          <w:rFonts w:hint="eastAsia"/>
          <w:color w:val="auto"/>
          <w:highlight w:val="none"/>
        </w:rPr>
        <w:t>〕</w:t>
      </w:r>
      <w:r>
        <w:rPr>
          <w:color w:val="auto"/>
          <w:highlight w:val="none"/>
        </w:rPr>
        <w:t>19</w:t>
      </w:r>
      <w:r>
        <w:rPr>
          <w:rFonts w:hint="eastAsia"/>
          <w:color w:val="auto"/>
          <w:highlight w:val="none"/>
        </w:rPr>
        <w:t>号）。</w:t>
      </w:r>
    </w:p>
    <w:p w14:paraId="573AEF39">
      <w:pPr>
        <w:ind w:left="630" w:leftChars="300"/>
        <w:jc w:val="left"/>
        <w:rPr>
          <w:rFonts w:hint="eastAsia"/>
          <w:color w:val="auto"/>
          <w:highlight w:val="none"/>
        </w:rPr>
      </w:pPr>
    </w:p>
    <w:p w14:paraId="14E7158C">
      <w:pPr>
        <w:pStyle w:val="33"/>
        <w:outlineLvl w:val="1"/>
        <w:rPr>
          <w:color w:val="auto"/>
          <w:highlight w:val="none"/>
        </w:rPr>
      </w:pPr>
      <w:bookmarkStart w:id="487" w:name="_Toc10868"/>
      <w:bookmarkStart w:id="488" w:name="_Toc108514362"/>
      <w:r>
        <w:rPr>
          <w:rFonts w:hint="eastAsia"/>
          <w:color w:val="auto"/>
          <w:highlight w:val="none"/>
        </w:rPr>
        <w:t>附录二：政府采购工程预留工作及金额</w:t>
      </w:r>
      <w:bookmarkEnd w:id="487"/>
      <w:bookmarkEnd w:id="488"/>
    </w:p>
    <w:p w14:paraId="420E733C">
      <w:pPr>
        <w:ind w:left="630" w:leftChars="300"/>
        <w:jc w:val="left"/>
        <w:rPr>
          <w:color w:val="auto"/>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3C2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4E16351C">
            <w:pPr>
              <w:jc w:val="center"/>
              <w:rPr>
                <w:rFonts w:ascii="宋体" w:hAnsi="宋体"/>
                <w:color w:val="auto"/>
                <w:szCs w:val="21"/>
                <w:highlight w:val="none"/>
              </w:rPr>
            </w:pPr>
            <w:r>
              <w:rPr>
                <w:rFonts w:hint="eastAsia" w:ascii="宋体" w:hAnsi="宋体"/>
                <w:color w:val="auto"/>
                <w:szCs w:val="21"/>
                <w:highlight w:val="none"/>
              </w:rPr>
              <w:t>序号</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48836E5C">
            <w:pPr>
              <w:jc w:val="center"/>
              <w:rPr>
                <w:rFonts w:ascii="宋体" w:hAnsi="宋体"/>
                <w:color w:val="auto"/>
                <w:szCs w:val="21"/>
                <w:highlight w:val="none"/>
              </w:rPr>
            </w:pPr>
            <w:r>
              <w:rPr>
                <w:rFonts w:hint="eastAsia" w:ascii="宋体" w:hAnsi="宋体"/>
                <w:color w:val="auto"/>
                <w:szCs w:val="21"/>
                <w:highlight w:val="none"/>
              </w:rPr>
              <w:t>预留工作内容名称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46056C76">
            <w:pPr>
              <w:jc w:val="center"/>
              <w:rPr>
                <w:rFonts w:ascii="宋体" w:hAnsi="宋体"/>
                <w:color w:val="auto"/>
                <w:szCs w:val="21"/>
                <w:highlight w:val="none"/>
              </w:rPr>
            </w:pPr>
            <w:r>
              <w:rPr>
                <w:rFonts w:hint="eastAsia" w:ascii="宋体" w:hAnsi="宋体"/>
                <w:color w:val="auto"/>
                <w:szCs w:val="21"/>
                <w:highlight w:val="none"/>
              </w:rPr>
              <w:t>预留工作</w:t>
            </w:r>
          </w:p>
          <w:p w14:paraId="4C85CDD5">
            <w:pPr>
              <w:jc w:val="center"/>
              <w:rPr>
                <w:rFonts w:hint="eastAsia" w:ascii="宋体" w:hAnsi="宋体"/>
                <w:color w:val="auto"/>
                <w:szCs w:val="21"/>
                <w:highlight w:val="none"/>
              </w:rPr>
            </w:pPr>
            <w:r>
              <w:rPr>
                <w:rFonts w:hint="eastAsia" w:ascii="宋体" w:hAnsi="宋体"/>
                <w:color w:val="auto"/>
                <w:szCs w:val="21"/>
                <w:highlight w:val="none"/>
              </w:rPr>
              <w:t>合同估算价</w:t>
            </w:r>
          </w:p>
          <w:p w14:paraId="2C1D1170">
            <w:pPr>
              <w:jc w:val="center"/>
              <w:rPr>
                <w:rFonts w:ascii="宋体" w:hAnsi="宋体"/>
                <w:color w:val="auto"/>
                <w:szCs w:val="21"/>
                <w:highlight w:val="none"/>
              </w:rPr>
            </w:pPr>
            <w:r>
              <w:rPr>
                <w:rFonts w:hint="eastAsia" w:ascii="宋体" w:hAnsi="宋体"/>
                <w:color w:val="auto"/>
                <w:szCs w:val="21"/>
                <w:highlight w:val="none"/>
              </w:rPr>
              <w:t>（万元）</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0A408FF9">
            <w:pPr>
              <w:jc w:val="center"/>
              <w:rPr>
                <w:rFonts w:ascii="宋体" w:hAnsi="宋体"/>
                <w:color w:val="auto"/>
                <w:szCs w:val="21"/>
                <w:highlight w:val="none"/>
              </w:rPr>
            </w:pPr>
            <w:r>
              <w:rPr>
                <w:rFonts w:hint="eastAsia" w:ascii="宋体" w:hAnsi="宋体"/>
                <w:color w:val="auto"/>
                <w:szCs w:val="21"/>
                <w:highlight w:val="none"/>
              </w:rPr>
              <w:t>预留合同估算价占比（％）</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7C42216E">
            <w:pPr>
              <w:jc w:val="center"/>
              <w:rPr>
                <w:rFonts w:ascii="宋体" w:hAnsi="宋体"/>
                <w:color w:val="auto"/>
                <w:szCs w:val="21"/>
                <w:highlight w:val="none"/>
              </w:rPr>
            </w:pPr>
            <w:r>
              <w:rPr>
                <w:rFonts w:hint="eastAsia" w:ascii="宋体" w:hAnsi="宋体"/>
                <w:color w:val="auto"/>
                <w:szCs w:val="21"/>
                <w:highlight w:val="none"/>
              </w:rPr>
              <w:t>备注</w:t>
            </w:r>
          </w:p>
        </w:tc>
      </w:tr>
      <w:tr w14:paraId="341B6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2F6F3BF7">
            <w:pPr>
              <w:jc w:val="center"/>
              <w:rPr>
                <w:rFonts w:ascii="宋体" w:hAnsi="宋体"/>
                <w:color w:val="auto"/>
                <w:szCs w:val="21"/>
                <w:highlight w:val="none"/>
              </w:rPr>
            </w:pPr>
            <w:r>
              <w:rPr>
                <w:rFonts w:hint="eastAsia" w:ascii="宋体" w:hAnsi="宋体"/>
                <w:color w:val="auto"/>
                <w:szCs w:val="21"/>
                <w:highlight w:val="none"/>
              </w:rPr>
              <w:t>１</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2AEADC49">
            <w:pPr>
              <w:jc w:val="center"/>
              <w:rPr>
                <w:rFonts w:ascii="宋体" w:hAnsi="宋体"/>
                <w:color w:val="auto"/>
                <w:szCs w:val="21"/>
                <w:highlight w:val="none"/>
              </w:rPr>
            </w:pPr>
            <w:bookmarkStart w:id="489" w:name="EB97c003e5de8143d8a8c0471dd56651eb"/>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489"/>
          </w:p>
        </w:tc>
        <w:tc>
          <w:tcPr>
            <w:tcW w:w="1425" w:type="dxa"/>
            <w:tcBorders>
              <w:top w:val="single" w:color="auto" w:sz="4" w:space="0"/>
              <w:left w:val="single" w:color="auto" w:sz="4" w:space="0"/>
              <w:bottom w:val="single" w:color="auto" w:sz="4" w:space="0"/>
              <w:right w:val="single" w:color="auto" w:sz="4" w:space="0"/>
            </w:tcBorders>
            <w:noWrap w:val="0"/>
            <w:vAlign w:val="center"/>
          </w:tcPr>
          <w:p w14:paraId="3230B4C9">
            <w:pPr>
              <w:jc w:val="center"/>
              <w:rPr>
                <w:rFonts w:ascii="宋体" w:hAnsi="宋体"/>
                <w:color w:val="auto"/>
                <w:szCs w:val="21"/>
                <w:highlight w:val="none"/>
              </w:rPr>
            </w:pPr>
            <w:bookmarkStart w:id="490" w:name="EB6a55f1a13f994378a82b6eae4947fd3a"/>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490"/>
          </w:p>
        </w:tc>
        <w:tc>
          <w:tcPr>
            <w:tcW w:w="1335" w:type="dxa"/>
            <w:tcBorders>
              <w:top w:val="single" w:color="auto" w:sz="4" w:space="0"/>
              <w:left w:val="single" w:color="auto" w:sz="4" w:space="0"/>
              <w:bottom w:val="single" w:color="auto" w:sz="4" w:space="0"/>
              <w:right w:val="single" w:color="auto" w:sz="4" w:space="0"/>
            </w:tcBorders>
            <w:noWrap w:val="0"/>
            <w:vAlign w:val="center"/>
          </w:tcPr>
          <w:p w14:paraId="639E2E73">
            <w:pPr>
              <w:jc w:val="center"/>
              <w:rPr>
                <w:rFonts w:hint="eastAsia" w:ascii="宋体" w:hAnsi="宋体" w:eastAsia="宋体"/>
                <w:color w:val="auto"/>
                <w:szCs w:val="21"/>
                <w:highlight w:val="none"/>
                <w:lang w:val="en-US" w:eastAsia="zh-CN"/>
              </w:rPr>
            </w:pPr>
            <w:bookmarkStart w:id="491" w:name="EB680b00a36107486ea7cb6058d59a9e77"/>
            <w:r>
              <w:rPr>
                <w:rFonts w:hint="eastAsia" w:ascii="宋体" w:hAnsi="宋体"/>
                <w:color w:val="auto"/>
                <w:szCs w:val="21"/>
                <w:highlight w:val="none"/>
              </w:rPr>
              <w:t xml:space="preserve"> </w:t>
            </w:r>
            <w:bookmarkEnd w:id="491"/>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795C2839">
            <w:pPr>
              <w:jc w:val="center"/>
              <w:rPr>
                <w:rFonts w:ascii="宋体" w:hAnsi="宋体"/>
                <w:color w:val="auto"/>
                <w:szCs w:val="21"/>
                <w:highlight w:val="none"/>
              </w:rPr>
            </w:pPr>
            <w:bookmarkStart w:id="492" w:name="EB08c12b5175154ab1bc81624896ad9f5a"/>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492"/>
          </w:p>
        </w:tc>
      </w:tr>
      <w:tr w14:paraId="380DE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163232D8">
            <w:pPr>
              <w:jc w:val="center"/>
              <w:rPr>
                <w:rFonts w:ascii="宋体" w:hAnsi="宋体"/>
                <w:color w:val="auto"/>
                <w:szCs w:val="21"/>
                <w:highlight w:val="none"/>
              </w:rPr>
            </w:pPr>
            <w:r>
              <w:rPr>
                <w:rFonts w:hint="eastAsia" w:ascii="宋体" w:hAnsi="宋体"/>
                <w:color w:val="auto"/>
                <w:szCs w:val="21"/>
                <w:highlight w:val="none"/>
              </w:rPr>
              <w:t>２</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A8F7458">
            <w:pPr>
              <w:jc w:val="center"/>
              <w:rPr>
                <w:rFonts w:hint="eastAsia" w:ascii="宋体" w:hAnsi="宋体" w:eastAsia="宋体"/>
                <w:color w:val="auto"/>
                <w:szCs w:val="21"/>
                <w:highlight w:val="none"/>
                <w:lang w:val="en-US" w:eastAsia="zh-CN"/>
              </w:rPr>
            </w:pPr>
            <w:bookmarkStart w:id="493" w:name="EB2794de6afba9477bb9defc7366045742"/>
            <w:r>
              <w:rPr>
                <w:rFonts w:hint="eastAsia" w:ascii="宋体" w:hAnsi="宋体"/>
                <w:color w:val="auto"/>
                <w:szCs w:val="21"/>
                <w:highlight w:val="none"/>
              </w:rPr>
              <w:t xml:space="preserve"> </w:t>
            </w:r>
            <w:bookmarkEnd w:id="493"/>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97D485B">
            <w:pPr>
              <w:jc w:val="center"/>
              <w:rPr>
                <w:rFonts w:hint="eastAsia" w:ascii="宋体" w:hAnsi="宋体" w:eastAsia="宋体"/>
                <w:color w:val="auto"/>
                <w:szCs w:val="21"/>
                <w:highlight w:val="none"/>
                <w:lang w:val="en-US" w:eastAsia="zh-CN"/>
              </w:rPr>
            </w:pPr>
            <w:bookmarkStart w:id="494" w:name="EBb7ddc711266b4cf6b2c112f098cf5ed8"/>
            <w:r>
              <w:rPr>
                <w:rFonts w:hint="eastAsia" w:ascii="宋体" w:hAnsi="宋体"/>
                <w:color w:val="auto"/>
                <w:szCs w:val="21"/>
                <w:highlight w:val="none"/>
              </w:rPr>
              <w:t xml:space="preserve"> </w:t>
            </w:r>
            <w:bookmarkEnd w:id="494"/>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491FD8FE">
            <w:pPr>
              <w:jc w:val="center"/>
              <w:rPr>
                <w:rFonts w:hint="eastAsia" w:ascii="宋体" w:hAnsi="宋体" w:eastAsia="宋体"/>
                <w:color w:val="auto"/>
                <w:szCs w:val="21"/>
                <w:highlight w:val="none"/>
                <w:lang w:val="en-US" w:eastAsia="zh-CN"/>
              </w:rPr>
            </w:pPr>
            <w:bookmarkStart w:id="495" w:name="EBf5c85222272d4f248a75db485cedbff2"/>
            <w:r>
              <w:rPr>
                <w:rFonts w:hint="eastAsia" w:ascii="宋体" w:hAnsi="宋体"/>
                <w:color w:val="auto"/>
                <w:szCs w:val="21"/>
                <w:highlight w:val="none"/>
              </w:rPr>
              <w:t xml:space="preserve"> </w:t>
            </w:r>
            <w:bookmarkEnd w:id="495"/>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FB061BE">
            <w:pPr>
              <w:jc w:val="center"/>
              <w:rPr>
                <w:rFonts w:ascii="宋体" w:hAnsi="宋体"/>
                <w:color w:val="auto"/>
                <w:szCs w:val="21"/>
                <w:highlight w:val="none"/>
              </w:rPr>
            </w:pPr>
            <w:bookmarkStart w:id="496" w:name="EB6497de0feb3048c98cf9fcf66e5d66ac"/>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496"/>
          </w:p>
        </w:tc>
      </w:tr>
      <w:tr w14:paraId="22027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3978EEE">
            <w:pPr>
              <w:jc w:val="center"/>
              <w:rPr>
                <w:rFonts w:ascii="宋体" w:hAnsi="宋体"/>
                <w:color w:val="auto"/>
                <w:szCs w:val="21"/>
                <w:highlight w:val="none"/>
              </w:rPr>
            </w:pPr>
            <w:r>
              <w:rPr>
                <w:rFonts w:hint="eastAsia" w:ascii="宋体" w:hAnsi="宋体"/>
                <w:color w:val="auto"/>
                <w:szCs w:val="21"/>
                <w:highlight w:val="none"/>
              </w:rPr>
              <w:t>３</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CE2A5B0">
            <w:pPr>
              <w:jc w:val="center"/>
              <w:rPr>
                <w:rFonts w:hint="eastAsia" w:ascii="宋体" w:hAnsi="宋体" w:eastAsia="宋体"/>
                <w:color w:val="auto"/>
                <w:szCs w:val="21"/>
                <w:highlight w:val="none"/>
                <w:lang w:val="en-US" w:eastAsia="zh-CN"/>
              </w:rPr>
            </w:pPr>
            <w:bookmarkStart w:id="497" w:name="EB7a7441d3555d4ffa809d4508a99be170"/>
            <w:r>
              <w:rPr>
                <w:rFonts w:hint="eastAsia" w:ascii="宋体" w:hAnsi="宋体"/>
                <w:color w:val="auto"/>
                <w:szCs w:val="21"/>
                <w:highlight w:val="none"/>
              </w:rPr>
              <w:t xml:space="preserve"> </w:t>
            </w:r>
            <w:bookmarkEnd w:id="497"/>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4462B91">
            <w:pPr>
              <w:jc w:val="center"/>
              <w:rPr>
                <w:rFonts w:hint="eastAsia" w:ascii="宋体" w:hAnsi="宋体" w:eastAsia="宋体"/>
                <w:color w:val="auto"/>
                <w:szCs w:val="21"/>
                <w:highlight w:val="none"/>
                <w:lang w:val="en-US" w:eastAsia="zh-CN"/>
              </w:rPr>
            </w:pPr>
            <w:bookmarkStart w:id="498" w:name="EB34c45ee0bbad4c998f0a99b75bd7c6fe"/>
            <w:r>
              <w:rPr>
                <w:rFonts w:hint="eastAsia" w:ascii="宋体" w:hAnsi="宋体"/>
                <w:color w:val="auto"/>
                <w:szCs w:val="21"/>
                <w:highlight w:val="none"/>
              </w:rPr>
              <w:t xml:space="preserve"> </w:t>
            </w:r>
            <w:bookmarkEnd w:id="498"/>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6C134A15">
            <w:pPr>
              <w:jc w:val="center"/>
              <w:rPr>
                <w:rFonts w:hint="eastAsia" w:ascii="宋体" w:hAnsi="宋体" w:eastAsia="宋体"/>
                <w:color w:val="auto"/>
                <w:szCs w:val="21"/>
                <w:highlight w:val="none"/>
                <w:lang w:val="en-US" w:eastAsia="zh-CN"/>
              </w:rPr>
            </w:pPr>
            <w:bookmarkStart w:id="499" w:name="EB9a6e0c1909164e4396a0a1c41d3771da"/>
            <w:r>
              <w:rPr>
                <w:rFonts w:hint="eastAsia" w:ascii="宋体" w:hAnsi="宋体"/>
                <w:color w:val="auto"/>
                <w:szCs w:val="21"/>
                <w:highlight w:val="none"/>
              </w:rPr>
              <w:t xml:space="preserve"> </w:t>
            </w:r>
            <w:bookmarkEnd w:id="499"/>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8D251B0">
            <w:pPr>
              <w:jc w:val="center"/>
              <w:rPr>
                <w:rFonts w:hint="eastAsia" w:ascii="宋体" w:hAnsi="宋体" w:eastAsia="宋体"/>
                <w:color w:val="auto"/>
                <w:szCs w:val="21"/>
                <w:highlight w:val="none"/>
                <w:lang w:val="en-US" w:eastAsia="zh-CN"/>
              </w:rPr>
            </w:pPr>
            <w:bookmarkStart w:id="500" w:name="EBda0830d4fa4d404695436866d4fe166d"/>
            <w:r>
              <w:rPr>
                <w:rFonts w:hint="eastAsia" w:ascii="宋体" w:hAnsi="宋体"/>
                <w:color w:val="auto"/>
                <w:szCs w:val="21"/>
                <w:highlight w:val="none"/>
              </w:rPr>
              <w:t xml:space="preserve"> </w:t>
            </w:r>
            <w:bookmarkEnd w:id="500"/>
            <w:r>
              <w:rPr>
                <w:rFonts w:hint="eastAsia" w:ascii="宋体" w:hAnsi="宋体"/>
                <w:color w:val="auto"/>
                <w:szCs w:val="21"/>
                <w:highlight w:val="none"/>
                <w:lang w:val="en-US" w:eastAsia="zh-CN"/>
              </w:rPr>
              <w:t>/</w:t>
            </w:r>
          </w:p>
        </w:tc>
      </w:tr>
      <w:tr w14:paraId="5FA8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5BE1CC2F">
            <w:pPr>
              <w:jc w:val="center"/>
              <w:rPr>
                <w:rFonts w:ascii="宋体" w:hAnsi="宋体"/>
                <w:color w:val="auto"/>
                <w:szCs w:val="21"/>
                <w:highlight w:val="none"/>
              </w:rPr>
            </w:pPr>
            <w:r>
              <w:rPr>
                <w:rFonts w:hint="eastAsia" w:ascii="宋体" w:hAnsi="宋体"/>
                <w:color w:val="auto"/>
                <w:szCs w:val="21"/>
                <w:highlight w:val="none"/>
              </w:rPr>
              <w:t>４</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F52033E">
            <w:pPr>
              <w:jc w:val="center"/>
              <w:rPr>
                <w:rFonts w:hint="eastAsia" w:ascii="宋体" w:hAnsi="宋体" w:eastAsia="宋体"/>
                <w:color w:val="auto"/>
                <w:szCs w:val="21"/>
                <w:highlight w:val="none"/>
                <w:lang w:val="en-US" w:eastAsia="zh-CN"/>
              </w:rPr>
            </w:pPr>
            <w:bookmarkStart w:id="501" w:name="EB02996705d229463a9a00446c198b298c"/>
            <w:r>
              <w:rPr>
                <w:rFonts w:hint="eastAsia" w:ascii="宋体" w:hAnsi="宋体"/>
                <w:color w:val="auto"/>
                <w:szCs w:val="21"/>
                <w:highlight w:val="none"/>
              </w:rPr>
              <w:t xml:space="preserve"> </w:t>
            </w:r>
            <w:bookmarkEnd w:id="501"/>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31BC919">
            <w:pPr>
              <w:jc w:val="center"/>
              <w:rPr>
                <w:rFonts w:hint="eastAsia" w:ascii="宋体" w:hAnsi="宋体" w:eastAsia="宋体"/>
                <w:color w:val="auto"/>
                <w:szCs w:val="21"/>
                <w:highlight w:val="none"/>
                <w:lang w:val="en-US" w:eastAsia="zh-CN"/>
              </w:rPr>
            </w:pPr>
            <w:bookmarkStart w:id="502" w:name="EB6ea3fa73ac2f4c0e80e8a13567c60e66"/>
            <w:r>
              <w:rPr>
                <w:rFonts w:hint="eastAsia" w:ascii="宋体" w:hAnsi="宋体"/>
                <w:color w:val="auto"/>
                <w:szCs w:val="21"/>
                <w:highlight w:val="none"/>
              </w:rPr>
              <w:t xml:space="preserve"> </w:t>
            </w:r>
            <w:bookmarkEnd w:id="502"/>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587537E3">
            <w:pPr>
              <w:jc w:val="center"/>
              <w:rPr>
                <w:rFonts w:hint="eastAsia" w:ascii="宋体" w:hAnsi="宋体" w:eastAsia="宋体"/>
                <w:color w:val="auto"/>
                <w:szCs w:val="21"/>
                <w:highlight w:val="none"/>
                <w:lang w:val="en-US" w:eastAsia="zh-CN"/>
              </w:rPr>
            </w:pPr>
            <w:bookmarkStart w:id="503" w:name="EBa0a16facd0c14820a56a61077cda69c4"/>
            <w:r>
              <w:rPr>
                <w:rFonts w:hint="eastAsia" w:ascii="宋体" w:hAnsi="宋体"/>
                <w:color w:val="auto"/>
                <w:szCs w:val="21"/>
                <w:highlight w:val="none"/>
              </w:rPr>
              <w:t xml:space="preserve"> </w:t>
            </w:r>
            <w:bookmarkEnd w:id="503"/>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3019AF7D">
            <w:pPr>
              <w:jc w:val="center"/>
              <w:rPr>
                <w:rFonts w:hint="eastAsia" w:ascii="宋体" w:hAnsi="宋体" w:eastAsia="宋体"/>
                <w:color w:val="auto"/>
                <w:szCs w:val="21"/>
                <w:highlight w:val="none"/>
                <w:lang w:val="en-US" w:eastAsia="zh-CN"/>
              </w:rPr>
            </w:pPr>
            <w:bookmarkStart w:id="504" w:name="EBb8bc26c585b74aae852785dbc8e6e080"/>
            <w:r>
              <w:rPr>
                <w:rFonts w:hint="eastAsia" w:ascii="宋体" w:hAnsi="宋体"/>
                <w:color w:val="auto"/>
                <w:szCs w:val="21"/>
                <w:highlight w:val="none"/>
              </w:rPr>
              <w:t xml:space="preserve"> </w:t>
            </w:r>
            <w:bookmarkEnd w:id="504"/>
            <w:r>
              <w:rPr>
                <w:rFonts w:hint="eastAsia" w:ascii="宋体" w:hAnsi="宋体"/>
                <w:color w:val="auto"/>
                <w:szCs w:val="21"/>
                <w:highlight w:val="none"/>
                <w:lang w:val="en-US" w:eastAsia="zh-CN"/>
              </w:rPr>
              <w:t>/</w:t>
            </w:r>
          </w:p>
        </w:tc>
      </w:tr>
      <w:tr w14:paraId="46BC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12561D32">
            <w:pPr>
              <w:jc w:val="center"/>
              <w:rPr>
                <w:rFonts w:ascii="宋体" w:hAnsi="宋体"/>
                <w:color w:val="auto"/>
                <w:szCs w:val="21"/>
                <w:highlight w:val="none"/>
              </w:rPr>
            </w:pPr>
            <w:r>
              <w:rPr>
                <w:rFonts w:hint="eastAsia" w:ascii="宋体" w:hAnsi="宋体"/>
                <w:color w:val="auto"/>
                <w:szCs w:val="21"/>
                <w:highlight w:val="none"/>
              </w:rPr>
              <w:t>５</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07B03173">
            <w:pPr>
              <w:jc w:val="center"/>
              <w:rPr>
                <w:rFonts w:hint="eastAsia" w:ascii="宋体" w:hAnsi="宋体" w:eastAsia="宋体"/>
                <w:color w:val="auto"/>
                <w:szCs w:val="21"/>
                <w:highlight w:val="none"/>
                <w:lang w:val="en-US" w:eastAsia="zh-CN"/>
              </w:rPr>
            </w:pPr>
            <w:bookmarkStart w:id="505" w:name="EB196d61bdad21422e9b8da0950e153a21"/>
            <w:r>
              <w:rPr>
                <w:rFonts w:hint="eastAsia" w:ascii="宋体" w:hAnsi="宋体"/>
                <w:color w:val="auto"/>
                <w:szCs w:val="21"/>
                <w:highlight w:val="none"/>
              </w:rPr>
              <w:t xml:space="preserve"> </w:t>
            </w:r>
            <w:bookmarkEnd w:id="505"/>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D324BE6">
            <w:pPr>
              <w:jc w:val="center"/>
              <w:rPr>
                <w:rFonts w:hint="eastAsia" w:ascii="宋体" w:hAnsi="宋体" w:eastAsia="宋体"/>
                <w:color w:val="auto"/>
                <w:szCs w:val="21"/>
                <w:highlight w:val="none"/>
                <w:lang w:val="en-US" w:eastAsia="zh-CN"/>
              </w:rPr>
            </w:pPr>
            <w:bookmarkStart w:id="506" w:name="EB10919f6a9ee44bba9af2bbc89c452c3b"/>
            <w:r>
              <w:rPr>
                <w:rFonts w:hint="eastAsia" w:ascii="宋体" w:hAnsi="宋体"/>
                <w:color w:val="auto"/>
                <w:szCs w:val="21"/>
                <w:highlight w:val="none"/>
              </w:rPr>
              <w:t xml:space="preserve"> </w:t>
            </w:r>
            <w:bookmarkEnd w:id="506"/>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729363DE">
            <w:pPr>
              <w:jc w:val="center"/>
              <w:rPr>
                <w:rFonts w:hint="eastAsia" w:ascii="宋体" w:hAnsi="宋体" w:eastAsia="宋体"/>
                <w:color w:val="auto"/>
                <w:szCs w:val="21"/>
                <w:highlight w:val="none"/>
                <w:lang w:val="en-US" w:eastAsia="zh-CN"/>
              </w:rPr>
            </w:pPr>
            <w:bookmarkStart w:id="507" w:name="EB181ab800b7ce44c2b1d30ca887255c7c"/>
            <w:r>
              <w:rPr>
                <w:rFonts w:hint="eastAsia" w:ascii="宋体" w:hAnsi="宋体"/>
                <w:color w:val="auto"/>
                <w:szCs w:val="21"/>
                <w:highlight w:val="none"/>
              </w:rPr>
              <w:t xml:space="preserve"> </w:t>
            </w:r>
            <w:bookmarkEnd w:id="507"/>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36FD03AA">
            <w:pPr>
              <w:jc w:val="center"/>
              <w:rPr>
                <w:rFonts w:hint="eastAsia" w:ascii="宋体" w:hAnsi="宋体" w:eastAsia="宋体"/>
                <w:color w:val="auto"/>
                <w:szCs w:val="21"/>
                <w:highlight w:val="none"/>
                <w:lang w:val="en-US" w:eastAsia="zh-CN"/>
              </w:rPr>
            </w:pPr>
            <w:bookmarkStart w:id="508" w:name="EBf844a86662c949d884636452105d5081"/>
            <w:r>
              <w:rPr>
                <w:rFonts w:hint="eastAsia" w:ascii="宋体" w:hAnsi="宋体"/>
                <w:color w:val="auto"/>
                <w:szCs w:val="21"/>
                <w:highlight w:val="none"/>
              </w:rPr>
              <w:t xml:space="preserve"> </w:t>
            </w:r>
            <w:bookmarkEnd w:id="508"/>
            <w:r>
              <w:rPr>
                <w:rFonts w:hint="eastAsia" w:ascii="宋体" w:hAnsi="宋体"/>
                <w:color w:val="auto"/>
                <w:szCs w:val="21"/>
                <w:highlight w:val="none"/>
                <w:lang w:val="en-US" w:eastAsia="zh-CN"/>
              </w:rPr>
              <w:t>/</w:t>
            </w:r>
          </w:p>
        </w:tc>
      </w:tr>
      <w:tr w14:paraId="6952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44E59D8D">
            <w:pPr>
              <w:jc w:val="center"/>
              <w:rPr>
                <w:rFonts w:ascii="宋体" w:hAnsi="宋体"/>
                <w:color w:val="auto"/>
                <w:szCs w:val="21"/>
                <w:highlight w:val="none"/>
              </w:rPr>
            </w:pPr>
            <w:r>
              <w:rPr>
                <w:rFonts w:hint="eastAsia" w:ascii="宋体" w:hAnsi="宋体"/>
                <w:color w:val="auto"/>
                <w:szCs w:val="21"/>
                <w:highlight w:val="none"/>
              </w:rPr>
              <w:t>６</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7386E083">
            <w:pPr>
              <w:jc w:val="center"/>
              <w:rPr>
                <w:rFonts w:hint="eastAsia" w:ascii="宋体" w:hAnsi="宋体" w:eastAsia="宋体"/>
                <w:color w:val="auto"/>
                <w:szCs w:val="21"/>
                <w:highlight w:val="none"/>
                <w:lang w:val="en-US" w:eastAsia="zh-CN"/>
              </w:rPr>
            </w:pPr>
            <w:bookmarkStart w:id="509" w:name="EB88c8aabc3f3c416faafb0b85be93101a"/>
            <w:r>
              <w:rPr>
                <w:rFonts w:hint="eastAsia" w:ascii="宋体" w:hAnsi="宋体"/>
                <w:color w:val="auto"/>
                <w:szCs w:val="21"/>
                <w:highlight w:val="none"/>
              </w:rPr>
              <w:t xml:space="preserve"> </w:t>
            </w:r>
            <w:bookmarkEnd w:id="509"/>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EF74F98">
            <w:pPr>
              <w:jc w:val="center"/>
              <w:rPr>
                <w:rFonts w:hint="eastAsia" w:ascii="宋体" w:hAnsi="宋体" w:eastAsia="宋体"/>
                <w:color w:val="auto"/>
                <w:szCs w:val="21"/>
                <w:highlight w:val="none"/>
                <w:lang w:val="en-US" w:eastAsia="zh-CN"/>
              </w:rPr>
            </w:pPr>
            <w:bookmarkStart w:id="510" w:name="EBf6351eefd95e4b3fb77ec826989c0133"/>
            <w:r>
              <w:rPr>
                <w:rFonts w:hint="eastAsia" w:ascii="宋体" w:hAnsi="宋体"/>
                <w:color w:val="auto"/>
                <w:szCs w:val="21"/>
                <w:highlight w:val="none"/>
              </w:rPr>
              <w:t xml:space="preserve"> </w:t>
            </w:r>
            <w:bookmarkEnd w:id="510"/>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57B930CE">
            <w:pPr>
              <w:jc w:val="center"/>
              <w:rPr>
                <w:rFonts w:hint="eastAsia" w:ascii="宋体" w:hAnsi="宋体" w:eastAsia="宋体"/>
                <w:color w:val="auto"/>
                <w:szCs w:val="21"/>
                <w:highlight w:val="none"/>
                <w:lang w:val="en-US" w:eastAsia="zh-CN"/>
              </w:rPr>
            </w:pPr>
            <w:bookmarkStart w:id="511" w:name="EB69a16bebcab6440da50761a3f2fc40ee"/>
            <w:r>
              <w:rPr>
                <w:rFonts w:hint="eastAsia" w:ascii="宋体" w:hAnsi="宋体"/>
                <w:color w:val="auto"/>
                <w:szCs w:val="21"/>
                <w:highlight w:val="none"/>
              </w:rPr>
              <w:t xml:space="preserve"> </w:t>
            </w:r>
            <w:bookmarkEnd w:id="511"/>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79BEFFD6">
            <w:pPr>
              <w:jc w:val="center"/>
              <w:rPr>
                <w:rFonts w:hint="eastAsia" w:ascii="宋体" w:hAnsi="宋体" w:eastAsia="宋体"/>
                <w:color w:val="auto"/>
                <w:szCs w:val="21"/>
                <w:highlight w:val="none"/>
                <w:lang w:val="en-US" w:eastAsia="zh-CN"/>
              </w:rPr>
            </w:pPr>
            <w:bookmarkStart w:id="512" w:name="EBae4b3df6a8aa4e3baa9861e9708c27f8"/>
            <w:r>
              <w:rPr>
                <w:rFonts w:hint="eastAsia" w:ascii="宋体" w:hAnsi="宋体"/>
                <w:color w:val="auto"/>
                <w:szCs w:val="21"/>
                <w:highlight w:val="none"/>
              </w:rPr>
              <w:t xml:space="preserve"> </w:t>
            </w:r>
            <w:bookmarkEnd w:id="512"/>
            <w:r>
              <w:rPr>
                <w:rFonts w:hint="eastAsia" w:ascii="宋体" w:hAnsi="宋体"/>
                <w:color w:val="auto"/>
                <w:szCs w:val="21"/>
                <w:highlight w:val="none"/>
                <w:lang w:val="en-US" w:eastAsia="zh-CN"/>
              </w:rPr>
              <w:t>/</w:t>
            </w:r>
          </w:p>
        </w:tc>
      </w:tr>
      <w:tr w14:paraId="447FE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6F9C7D2E">
            <w:pPr>
              <w:jc w:val="center"/>
              <w:rPr>
                <w:rFonts w:ascii="宋体" w:hAnsi="宋体"/>
                <w:color w:val="auto"/>
                <w:szCs w:val="21"/>
                <w:highlight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6DD25329">
            <w:pPr>
              <w:jc w:val="center"/>
              <w:rPr>
                <w:rFonts w:ascii="宋体" w:hAnsi="宋体"/>
                <w:color w:val="auto"/>
                <w:szCs w:val="21"/>
                <w:highlight w:val="none"/>
              </w:rPr>
            </w:pPr>
            <w:r>
              <w:rPr>
                <w:rFonts w:hint="eastAsia" w:ascii="宋体" w:hAnsi="宋体"/>
                <w:color w:val="auto"/>
                <w:szCs w:val="21"/>
                <w:highlight w:val="none"/>
              </w:rPr>
              <w:t>合计</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69770E9">
            <w:pPr>
              <w:jc w:val="center"/>
              <w:rPr>
                <w:rFonts w:hint="eastAsia" w:ascii="宋体" w:hAnsi="宋体" w:eastAsia="宋体"/>
                <w:color w:val="auto"/>
                <w:szCs w:val="21"/>
                <w:highlight w:val="none"/>
                <w:lang w:val="en-US" w:eastAsia="zh-CN"/>
              </w:rPr>
            </w:pPr>
            <w:bookmarkStart w:id="513" w:name="EB4f336cb31d50437f9ad511d8a33a0909"/>
            <w:r>
              <w:rPr>
                <w:rFonts w:hint="eastAsia" w:ascii="宋体" w:hAnsi="宋体"/>
                <w:color w:val="auto"/>
                <w:szCs w:val="21"/>
                <w:highlight w:val="none"/>
              </w:rPr>
              <w:t xml:space="preserve"> </w:t>
            </w:r>
            <w:bookmarkEnd w:id="513"/>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472B9EE1">
            <w:pPr>
              <w:jc w:val="center"/>
              <w:rPr>
                <w:rFonts w:ascii="宋体" w:hAnsi="宋体"/>
                <w:color w:val="auto"/>
                <w:szCs w:val="21"/>
                <w:highlight w:val="none"/>
              </w:rPr>
            </w:pPr>
            <w:bookmarkStart w:id="514" w:name="EBb8433fca41d34ad69e6fd4bc98d6befc"/>
            <w:r>
              <w:rPr>
                <w:rFonts w:hint="eastAsia" w:ascii="宋体" w:hAnsi="宋体"/>
                <w:color w:val="auto"/>
                <w:szCs w:val="21"/>
                <w:highlight w:val="none"/>
                <w:lang w:val="en-US" w:eastAsia="zh-CN"/>
              </w:rPr>
              <w:t>/</w:t>
            </w:r>
            <w:bookmarkEnd w:id="514"/>
          </w:p>
        </w:tc>
        <w:tc>
          <w:tcPr>
            <w:tcW w:w="1802" w:type="dxa"/>
            <w:tcBorders>
              <w:top w:val="single" w:color="auto" w:sz="4" w:space="0"/>
              <w:left w:val="single" w:color="auto" w:sz="4" w:space="0"/>
              <w:bottom w:val="single" w:color="auto" w:sz="4" w:space="0"/>
              <w:right w:val="single" w:color="auto" w:sz="4" w:space="0"/>
            </w:tcBorders>
            <w:noWrap w:val="0"/>
            <w:vAlign w:val="center"/>
          </w:tcPr>
          <w:p w14:paraId="07818C92">
            <w:pPr>
              <w:jc w:val="center"/>
              <w:rPr>
                <w:rFonts w:ascii="宋体" w:hAnsi="宋体"/>
                <w:color w:val="auto"/>
                <w:szCs w:val="21"/>
                <w:highlight w:val="none"/>
              </w:rPr>
            </w:pPr>
            <w:bookmarkStart w:id="515" w:name="EB44b374d625a84e3797e1e13fbefa9360"/>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15"/>
          </w:p>
        </w:tc>
      </w:tr>
      <w:tr w14:paraId="78FF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5C1D602C">
            <w:pPr>
              <w:jc w:val="center"/>
              <w:rPr>
                <w:rFonts w:ascii="宋体" w:hAnsi="宋体"/>
                <w:color w:val="auto"/>
                <w:szCs w:val="21"/>
                <w:highlight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DF32512">
            <w:pPr>
              <w:jc w:val="center"/>
              <w:rPr>
                <w:rFonts w:ascii="宋体" w:hAnsi="宋体"/>
                <w:color w:val="auto"/>
                <w:szCs w:val="21"/>
                <w:highlight w:val="none"/>
              </w:rPr>
            </w:pPr>
            <w:r>
              <w:rPr>
                <w:rFonts w:hint="eastAsia" w:ascii="宋体" w:hAnsi="宋体"/>
                <w:color w:val="auto"/>
                <w:szCs w:val="21"/>
                <w:highlight w:val="none"/>
              </w:rPr>
              <w:t>本项目合同估算价（万元）</w:t>
            </w:r>
          </w:p>
        </w:tc>
        <w:tc>
          <w:tcPr>
            <w:tcW w:w="2760" w:type="dxa"/>
            <w:gridSpan w:val="2"/>
            <w:tcBorders>
              <w:top w:val="single" w:color="auto" w:sz="4" w:space="0"/>
              <w:left w:val="single" w:color="auto" w:sz="4" w:space="0"/>
              <w:bottom w:val="single" w:color="auto" w:sz="4" w:space="0"/>
              <w:right w:val="single" w:color="auto" w:sz="4" w:space="0"/>
            </w:tcBorders>
            <w:noWrap w:val="0"/>
            <w:vAlign w:val="center"/>
          </w:tcPr>
          <w:p w14:paraId="0DE8C1B6">
            <w:pPr>
              <w:jc w:val="center"/>
              <w:rPr>
                <w:rFonts w:hint="eastAsia" w:ascii="宋体" w:hAnsi="宋体" w:eastAsia="宋体"/>
                <w:color w:val="auto"/>
                <w:szCs w:val="21"/>
                <w:highlight w:val="none"/>
                <w:lang w:val="en-US" w:eastAsia="zh-CN"/>
              </w:rPr>
            </w:pPr>
            <w:bookmarkStart w:id="516" w:name="EBb38abf8049b446db8edb1833d29fcac8"/>
            <w:r>
              <w:rPr>
                <w:rFonts w:hint="eastAsia" w:ascii="宋体" w:hAnsi="宋体"/>
                <w:color w:val="auto"/>
                <w:szCs w:val="21"/>
                <w:highlight w:val="none"/>
              </w:rPr>
              <w:t xml:space="preserve"> </w:t>
            </w:r>
            <w:bookmarkEnd w:id="516"/>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0EFE8064">
            <w:pPr>
              <w:jc w:val="center"/>
              <w:rPr>
                <w:rFonts w:ascii="宋体" w:hAnsi="宋体"/>
                <w:color w:val="auto"/>
                <w:szCs w:val="21"/>
                <w:highlight w:val="none"/>
              </w:rPr>
            </w:pPr>
            <w:bookmarkStart w:id="517" w:name="EB9042969d58cf448ab895f072f696d9e0"/>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17"/>
          </w:p>
        </w:tc>
      </w:tr>
    </w:tbl>
    <w:p w14:paraId="4A720ECC">
      <w:pPr>
        <w:spacing w:line="400" w:lineRule="exact"/>
        <w:rPr>
          <w:rFonts w:ascii="Times New Roman" w:hAnsi="Times New Roman"/>
          <w:color w:val="auto"/>
          <w:highlight w:val="none"/>
        </w:rPr>
      </w:pPr>
    </w:p>
    <w:p w14:paraId="66C8C0B7">
      <w:pPr>
        <w:ind w:left="945" w:hanging="945" w:hangingChars="450"/>
        <w:jc w:val="left"/>
        <w:rPr>
          <w:color w:val="auto"/>
          <w:highlight w:val="none"/>
        </w:rPr>
      </w:pPr>
      <w:r>
        <w:rPr>
          <w:rFonts w:hint="eastAsia"/>
          <w:color w:val="auto"/>
          <w:highlight w:val="none"/>
        </w:rPr>
        <w:t>备注：</w:t>
      </w:r>
      <w:r>
        <w:rPr>
          <w:color w:val="auto"/>
          <w:highlight w:val="none"/>
        </w:rPr>
        <w:t xml:space="preserve">1. </w:t>
      </w:r>
      <w:r>
        <w:rPr>
          <w:rFonts w:hint="eastAsia"/>
          <w:color w:val="auto"/>
          <w:highlight w:val="none"/>
        </w:rPr>
        <w:t>政府采购工程采用部分预留专门面向中小企业的，招标人应当明确预留工作、预留工作合同估算价及预留合同估算价与项目合同估算价的占比。</w:t>
      </w:r>
    </w:p>
    <w:p w14:paraId="24D30ACD">
      <w:pPr>
        <w:ind w:left="945" w:leftChars="300" w:hanging="315" w:hangingChars="150"/>
        <w:jc w:val="left"/>
        <w:rPr>
          <w:color w:val="auto"/>
          <w:highlight w:val="none"/>
        </w:rPr>
      </w:pPr>
      <w:r>
        <w:rPr>
          <w:color w:val="auto"/>
          <w:highlight w:val="none"/>
        </w:rPr>
        <w:t xml:space="preserve">2. </w:t>
      </w:r>
      <w:r>
        <w:rPr>
          <w:rFonts w:hint="eastAsia"/>
          <w:color w:val="auto"/>
          <w:highlight w:val="none"/>
        </w:rPr>
        <w:t>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65FB5D41">
      <w:pPr>
        <w:ind w:left="840" w:leftChars="300" w:hanging="210" w:hangingChars="100"/>
        <w:jc w:val="left"/>
        <w:rPr>
          <w:color w:val="auto"/>
          <w:highlight w:val="none"/>
        </w:rPr>
      </w:pPr>
      <w:r>
        <w:rPr>
          <w:color w:val="auto"/>
          <w:highlight w:val="none"/>
        </w:rPr>
        <w:t xml:space="preserve">3. </w:t>
      </w:r>
      <w:r>
        <w:rPr>
          <w:rFonts w:hint="eastAsia"/>
          <w:color w:val="auto"/>
          <w:highlight w:val="none"/>
        </w:rPr>
        <w:t>预留工作中包含专业工程暂估价的，则在备注栏中标注采用工程招标或政府采购方式专门面向中小（小微）企业。</w:t>
      </w:r>
    </w:p>
    <w:p w14:paraId="1B6810CD">
      <w:pPr>
        <w:pStyle w:val="33"/>
        <w:outlineLvl w:val="1"/>
        <w:rPr>
          <w:color w:val="auto"/>
          <w:highlight w:val="none"/>
        </w:rPr>
      </w:pPr>
      <w:bookmarkStart w:id="518" w:name="_Toc20557"/>
      <w:bookmarkStart w:id="519" w:name="_Toc108514363"/>
      <w:bookmarkStart w:id="520" w:name="_Toc107270823"/>
      <w:r>
        <w:rPr>
          <w:rFonts w:hint="eastAsia"/>
          <w:color w:val="auto"/>
          <w:highlight w:val="none"/>
        </w:rPr>
        <w:t>附录三：政府采购工程适合小微企业承担的工作及金额</w:t>
      </w:r>
      <w:bookmarkEnd w:id="518"/>
      <w:bookmarkEnd w:id="519"/>
      <w:bookmarkEnd w:id="520"/>
    </w:p>
    <w:p w14:paraId="50C3EDC9">
      <w:pPr>
        <w:ind w:left="630" w:leftChars="300"/>
        <w:jc w:val="left"/>
        <w:rPr>
          <w:color w:val="auto"/>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3D30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45E24AF8">
            <w:pPr>
              <w:jc w:val="center"/>
              <w:rPr>
                <w:rFonts w:ascii="宋体" w:hAnsi="宋体"/>
                <w:color w:val="auto"/>
                <w:szCs w:val="21"/>
                <w:highlight w:val="none"/>
              </w:rPr>
            </w:pPr>
            <w:r>
              <w:rPr>
                <w:rFonts w:hint="eastAsia" w:ascii="宋体" w:hAnsi="宋体"/>
                <w:color w:val="auto"/>
                <w:szCs w:val="21"/>
                <w:highlight w:val="none"/>
              </w:rPr>
              <w:t>序号</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0404F5A5">
            <w:pPr>
              <w:jc w:val="center"/>
              <w:rPr>
                <w:rFonts w:ascii="宋体" w:hAnsi="宋体"/>
                <w:color w:val="auto"/>
                <w:szCs w:val="21"/>
                <w:highlight w:val="none"/>
              </w:rPr>
            </w:pPr>
            <w:r>
              <w:rPr>
                <w:rFonts w:hint="eastAsia" w:ascii="宋体" w:hAnsi="宋体"/>
                <w:color w:val="auto"/>
                <w:szCs w:val="21"/>
                <w:highlight w:val="none"/>
              </w:rPr>
              <w:t>适合工作内容名称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5E201513">
            <w:pPr>
              <w:jc w:val="center"/>
              <w:rPr>
                <w:rFonts w:ascii="宋体" w:hAnsi="宋体"/>
                <w:color w:val="auto"/>
                <w:szCs w:val="21"/>
                <w:highlight w:val="none"/>
              </w:rPr>
            </w:pPr>
            <w:r>
              <w:rPr>
                <w:rFonts w:hint="eastAsia" w:ascii="宋体" w:hAnsi="宋体"/>
                <w:color w:val="auto"/>
                <w:szCs w:val="21"/>
                <w:highlight w:val="none"/>
              </w:rPr>
              <w:t>适合工作</w:t>
            </w:r>
          </w:p>
          <w:p w14:paraId="7B6D47E5">
            <w:pPr>
              <w:jc w:val="center"/>
              <w:rPr>
                <w:rFonts w:hint="eastAsia" w:ascii="宋体" w:hAnsi="宋体"/>
                <w:color w:val="auto"/>
                <w:szCs w:val="21"/>
                <w:highlight w:val="none"/>
              </w:rPr>
            </w:pPr>
            <w:r>
              <w:rPr>
                <w:rFonts w:hint="eastAsia" w:ascii="宋体" w:hAnsi="宋体"/>
                <w:color w:val="auto"/>
                <w:szCs w:val="21"/>
                <w:highlight w:val="none"/>
              </w:rPr>
              <w:t>合同估算价</w:t>
            </w:r>
          </w:p>
          <w:p w14:paraId="1CA0B20B">
            <w:pPr>
              <w:jc w:val="center"/>
              <w:rPr>
                <w:rFonts w:ascii="宋体" w:hAnsi="宋体"/>
                <w:color w:val="auto"/>
                <w:szCs w:val="21"/>
                <w:highlight w:val="none"/>
              </w:rPr>
            </w:pPr>
            <w:r>
              <w:rPr>
                <w:rFonts w:hint="eastAsia" w:ascii="宋体" w:hAnsi="宋体"/>
                <w:color w:val="auto"/>
                <w:szCs w:val="21"/>
                <w:highlight w:val="none"/>
              </w:rPr>
              <w:t>（万元）</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75962757">
            <w:pPr>
              <w:jc w:val="center"/>
              <w:rPr>
                <w:rFonts w:ascii="宋体" w:hAnsi="宋体"/>
                <w:color w:val="auto"/>
                <w:szCs w:val="21"/>
                <w:highlight w:val="none"/>
              </w:rPr>
            </w:pPr>
            <w:r>
              <w:rPr>
                <w:rFonts w:hint="eastAsia" w:ascii="宋体" w:hAnsi="宋体"/>
                <w:color w:val="auto"/>
                <w:szCs w:val="21"/>
                <w:highlight w:val="none"/>
              </w:rPr>
              <w:t>适合工作合同估算价占比（％）</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0A336847">
            <w:pPr>
              <w:jc w:val="center"/>
              <w:rPr>
                <w:rFonts w:ascii="宋体" w:hAnsi="宋体"/>
                <w:color w:val="auto"/>
                <w:szCs w:val="21"/>
                <w:highlight w:val="none"/>
              </w:rPr>
            </w:pPr>
            <w:r>
              <w:rPr>
                <w:rFonts w:hint="eastAsia" w:ascii="宋体" w:hAnsi="宋体"/>
                <w:color w:val="auto"/>
                <w:szCs w:val="21"/>
                <w:highlight w:val="none"/>
              </w:rPr>
              <w:t>备注</w:t>
            </w:r>
          </w:p>
        </w:tc>
      </w:tr>
      <w:tr w14:paraId="0012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95775EE">
            <w:pPr>
              <w:jc w:val="center"/>
              <w:rPr>
                <w:rFonts w:ascii="宋体" w:hAnsi="宋体"/>
                <w:color w:val="auto"/>
                <w:szCs w:val="21"/>
                <w:highlight w:val="none"/>
              </w:rPr>
            </w:pPr>
            <w:r>
              <w:rPr>
                <w:rFonts w:hint="eastAsia" w:ascii="宋体" w:hAnsi="宋体"/>
                <w:color w:val="auto"/>
                <w:szCs w:val="21"/>
                <w:highlight w:val="none"/>
              </w:rPr>
              <w:t>１</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09473F1B">
            <w:pPr>
              <w:jc w:val="center"/>
              <w:rPr>
                <w:rFonts w:hint="eastAsia" w:ascii="宋体" w:hAnsi="宋体" w:eastAsia="宋体"/>
                <w:color w:val="auto"/>
                <w:szCs w:val="21"/>
                <w:highlight w:val="none"/>
                <w:lang w:val="en-US" w:eastAsia="zh-CN"/>
              </w:rPr>
            </w:pPr>
            <w:bookmarkStart w:id="521" w:name="EB53306e48b9af42669467b6b5425ba4f8"/>
            <w:r>
              <w:rPr>
                <w:rFonts w:hint="eastAsia" w:ascii="宋体" w:hAnsi="宋体"/>
                <w:color w:val="auto"/>
                <w:szCs w:val="21"/>
                <w:highlight w:val="none"/>
              </w:rPr>
              <w:t xml:space="preserve"> </w:t>
            </w:r>
            <w:bookmarkEnd w:id="521"/>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467271C">
            <w:pPr>
              <w:jc w:val="center"/>
              <w:rPr>
                <w:rFonts w:ascii="宋体" w:hAnsi="宋体"/>
                <w:color w:val="auto"/>
                <w:szCs w:val="21"/>
                <w:highlight w:val="none"/>
              </w:rPr>
            </w:pPr>
            <w:bookmarkStart w:id="522" w:name="EB9148e4066d4a450da141fc975d6f1ce6"/>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22"/>
          </w:p>
        </w:tc>
        <w:tc>
          <w:tcPr>
            <w:tcW w:w="1335" w:type="dxa"/>
            <w:tcBorders>
              <w:top w:val="single" w:color="auto" w:sz="4" w:space="0"/>
              <w:left w:val="single" w:color="auto" w:sz="4" w:space="0"/>
              <w:bottom w:val="single" w:color="auto" w:sz="4" w:space="0"/>
              <w:right w:val="single" w:color="auto" w:sz="4" w:space="0"/>
            </w:tcBorders>
            <w:noWrap w:val="0"/>
            <w:vAlign w:val="center"/>
          </w:tcPr>
          <w:p w14:paraId="4B68011B">
            <w:pPr>
              <w:jc w:val="center"/>
              <w:rPr>
                <w:rFonts w:ascii="宋体" w:hAnsi="宋体"/>
                <w:color w:val="auto"/>
                <w:szCs w:val="21"/>
                <w:highlight w:val="none"/>
              </w:rPr>
            </w:pPr>
            <w:bookmarkStart w:id="523" w:name="EB9488ea0b49ca497ca03802f3e94036ea"/>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23"/>
          </w:p>
        </w:tc>
        <w:tc>
          <w:tcPr>
            <w:tcW w:w="1802" w:type="dxa"/>
            <w:tcBorders>
              <w:top w:val="single" w:color="auto" w:sz="4" w:space="0"/>
              <w:left w:val="single" w:color="auto" w:sz="4" w:space="0"/>
              <w:bottom w:val="single" w:color="auto" w:sz="4" w:space="0"/>
              <w:right w:val="single" w:color="auto" w:sz="4" w:space="0"/>
            </w:tcBorders>
            <w:noWrap w:val="0"/>
            <w:vAlign w:val="center"/>
          </w:tcPr>
          <w:p w14:paraId="26BAFF7A">
            <w:pPr>
              <w:jc w:val="center"/>
              <w:rPr>
                <w:rFonts w:ascii="宋体" w:hAnsi="宋体"/>
                <w:color w:val="auto"/>
                <w:szCs w:val="21"/>
                <w:highlight w:val="none"/>
              </w:rPr>
            </w:pPr>
            <w:bookmarkStart w:id="524" w:name="EBd92b6143b7fa45d2b886b2cdebdc79f9"/>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24"/>
          </w:p>
        </w:tc>
      </w:tr>
      <w:tr w14:paraId="680E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2887F437">
            <w:pPr>
              <w:jc w:val="center"/>
              <w:rPr>
                <w:rFonts w:ascii="宋体" w:hAnsi="宋体"/>
                <w:color w:val="auto"/>
                <w:szCs w:val="21"/>
                <w:highlight w:val="none"/>
              </w:rPr>
            </w:pPr>
            <w:r>
              <w:rPr>
                <w:rFonts w:hint="eastAsia" w:ascii="宋体" w:hAnsi="宋体"/>
                <w:color w:val="auto"/>
                <w:szCs w:val="21"/>
                <w:highlight w:val="none"/>
              </w:rPr>
              <w:t>２</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688A855B">
            <w:pPr>
              <w:jc w:val="center"/>
              <w:rPr>
                <w:rFonts w:hint="eastAsia" w:ascii="宋体" w:hAnsi="宋体" w:eastAsia="宋体"/>
                <w:color w:val="auto"/>
                <w:szCs w:val="21"/>
                <w:highlight w:val="none"/>
                <w:lang w:val="en-US" w:eastAsia="zh-CN"/>
              </w:rPr>
            </w:pPr>
            <w:bookmarkStart w:id="525" w:name="EBa5cdcbb30e6c41a1902ece204e9bc148"/>
            <w:r>
              <w:rPr>
                <w:rFonts w:hint="eastAsia" w:ascii="宋体" w:hAnsi="宋体"/>
                <w:color w:val="auto"/>
                <w:szCs w:val="21"/>
                <w:highlight w:val="none"/>
              </w:rPr>
              <w:t xml:space="preserve"> </w:t>
            </w:r>
            <w:bookmarkEnd w:id="525"/>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3097950">
            <w:pPr>
              <w:jc w:val="center"/>
              <w:rPr>
                <w:rFonts w:hint="eastAsia" w:ascii="宋体" w:hAnsi="宋体" w:eastAsia="宋体"/>
                <w:color w:val="auto"/>
                <w:szCs w:val="21"/>
                <w:highlight w:val="none"/>
                <w:lang w:val="en-US" w:eastAsia="zh-CN"/>
              </w:rPr>
            </w:pPr>
            <w:bookmarkStart w:id="526" w:name="EB0afba646aef34a6e86680b831f2c9ac6"/>
            <w:r>
              <w:rPr>
                <w:rFonts w:hint="eastAsia" w:ascii="宋体" w:hAnsi="宋体"/>
                <w:color w:val="auto"/>
                <w:szCs w:val="21"/>
                <w:highlight w:val="none"/>
              </w:rPr>
              <w:t xml:space="preserve"> </w:t>
            </w:r>
            <w:bookmarkEnd w:id="526"/>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7FEAC1FB">
            <w:pPr>
              <w:jc w:val="center"/>
              <w:rPr>
                <w:rFonts w:ascii="宋体" w:hAnsi="宋体"/>
                <w:color w:val="auto"/>
                <w:szCs w:val="21"/>
                <w:highlight w:val="none"/>
              </w:rPr>
            </w:pPr>
            <w:bookmarkStart w:id="527" w:name="EB32a455b28aca48c9a51fbaea62819945"/>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27"/>
          </w:p>
        </w:tc>
        <w:tc>
          <w:tcPr>
            <w:tcW w:w="1802" w:type="dxa"/>
            <w:tcBorders>
              <w:top w:val="single" w:color="auto" w:sz="4" w:space="0"/>
              <w:left w:val="single" w:color="auto" w:sz="4" w:space="0"/>
              <w:bottom w:val="single" w:color="auto" w:sz="4" w:space="0"/>
              <w:right w:val="single" w:color="auto" w:sz="4" w:space="0"/>
            </w:tcBorders>
            <w:noWrap w:val="0"/>
            <w:vAlign w:val="center"/>
          </w:tcPr>
          <w:p w14:paraId="73A570CF">
            <w:pPr>
              <w:jc w:val="center"/>
              <w:rPr>
                <w:rFonts w:ascii="宋体" w:hAnsi="宋体"/>
                <w:color w:val="auto"/>
                <w:szCs w:val="21"/>
                <w:highlight w:val="none"/>
              </w:rPr>
            </w:pPr>
            <w:bookmarkStart w:id="528" w:name="EBef5f97434ba1430aa3e029c93a703ed2"/>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28"/>
          </w:p>
        </w:tc>
      </w:tr>
      <w:tr w14:paraId="2B32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10F3DA2D">
            <w:pPr>
              <w:jc w:val="center"/>
              <w:rPr>
                <w:rFonts w:ascii="宋体" w:hAnsi="宋体"/>
                <w:color w:val="auto"/>
                <w:szCs w:val="21"/>
                <w:highlight w:val="none"/>
              </w:rPr>
            </w:pPr>
            <w:r>
              <w:rPr>
                <w:rFonts w:hint="eastAsia" w:ascii="宋体" w:hAnsi="宋体"/>
                <w:color w:val="auto"/>
                <w:szCs w:val="21"/>
                <w:highlight w:val="none"/>
              </w:rPr>
              <w:t>３</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366D55D4">
            <w:pPr>
              <w:jc w:val="center"/>
              <w:rPr>
                <w:rFonts w:hint="eastAsia" w:ascii="宋体" w:hAnsi="宋体" w:eastAsia="宋体"/>
                <w:color w:val="auto"/>
                <w:szCs w:val="21"/>
                <w:highlight w:val="none"/>
                <w:lang w:val="en-US" w:eastAsia="zh-CN"/>
              </w:rPr>
            </w:pPr>
            <w:bookmarkStart w:id="529" w:name="EBb2b2b76503b44aa992d6b75cebdb03ce"/>
            <w:r>
              <w:rPr>
                <w:rFonts w:hint="eastAsia" w:ascii="宋体" w:hAnsi="宋体"/>
                <w:color w:val="auto"/>
                <w:szCs w:val="21"/>
                <w:highlight w:val="none"/>
              </w:rPr>
              <w:t xml:space="preserve"> </w:t>
            </w:r>
            <w:bookmarkEnd w:id="529"/>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CC384C4">
            <w:pPr>
              <w:jc w:val="center"/>
              <w:rPr>
                <w:rFonts w:ascii="宋体" w:hAnsi="宋体"/>
                <w:color w:val="auto"/>
                <w:szCs w:val="21"/>
                <w:highlight w:val="none"/>
              </w:rPr>
            </w:pPr>
            <w:bookmarkStart w:id="530" w:name="EBc587cbcd9346491e98e8a17df9000481"/>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0"/>
          </w:p>
        </w:tc>
        <w:tc>
          <w:tcPr>
            <w:tcW w:w="1335" w:type="dxa"/>
            <w:tcBorders>
              <w:top w:val="single" w:color="auto" w:sz="4" w:space="0"/>
              <w:left w:val="single" w:color="auto" w:sz="4" w:space="0"/>
              <w:bottom w:val="single" w:color="auto" w:sz="4" w:space="0"/>
              <w:right w:val="single" w:color="auto" w:sz="4" w:space="0"/>
            </w:tcBorders>
            <w:noWrap w:val="0"/>
            <w:vAlign w:val="center"/>
          </w:tcPr>
          <w:p w14:paraId="045B32F5">
            <w:pPr>
              <w:jc w:val="center"/>
              <w:rPr>
                <w:rFonts w:ascii="宋体" w:hAnsi="宋体"/>
                <w:color w:val="auto"/>
                <w:szCs w:val="21"/>
                <w:highlight w:val="none"/>
              </w:rPr>
            </w:pPr>
            <w:bookmarkStart w:id="531" w:name="EBc8165a75aaf74ae6b6fb5e4d0dc31bd3"/>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1"/>
          </w:p>
        </w:tc>
        <w:tc>
          <w:tcPr>
            <w:tcW w:w="1802" w:type="dxa"/>
            <w:tcBorders>
              <w:top w:val="single" w:color="auto" w:sz="4" w:space="0"/>
              <w:left w:val="single" w:color="auto" w:sz="4" w:space="0"/>
              <w:bottom w:val="single" w:color="auto" w:sz="4" w:space="0"/>
              <w:right w:val="single" w:color="auto" w:sz="4" w:space="0"/>
            </w:tcBorders>
            <w:noWrap w:val="0"/>
            <w:vAlign w:val="center"/>
          </w:tcPr>
          <w:p w14:paraId="64E952A0">
            <w:pPr>
              <w:jc w:val="center"/>
              <w:rPr>
                <w:rFonts w:ascii="宋体" w:hAnsi="宋体"/>
                <w:color w:val="auto"/>
                <w:szCs w:val="21"/>
                <w:highlight w:val="none"/>
              </w:rPr>
            </w:pPr>
            <w:bookmarkStart w:id="532" w:name="EBe6eff819e856456e9e224fee4137a98d"/>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2"/>
          </w:p>
        </w:tc>
      </w:tr>
      <w:tr w14:paraId="33D5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536E741C">
            <w:pPr>
              <w:jc w:val="center"/>
              <w:rPr>
                <w:rFonts w:ascii="宋体" w:hAnsi="宋体"/>
                <w:color w:val="auto"/>
                <w:szCs w:val="21"/>
                <w:highlight w:val="none"/>
              </w:rPr>
            </w:pPr>
            <w:r>
              <w:rPr>
                <w:rFonts w:hint="eastAsia" w:ascii="宋体" w:hAnsi="宋体"/>
                <w:color w:val="auto"/>
                <w:szCs w:val="21"/>
                <w:highlight w:val="none"/>
              </w:rPr>
              <w:t>４</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BABBF57">
            <w:pPr>
              <w:jc w:val="center"/>
              <w:rPr>
                <w:rFonts w:hint="eastAsia" w:ascii="宋体" w:hAnsi="宋体" w:eastAsia="宋体"/>
                <w:color w:val="auto"/>
                <w:szCs w:val="21"/>
                <w:highlight w:val="none"/>
                <w:lang w:val="en-US" w:eastAsia="zh-CN"/>
              </w:rPr>
            </w:pPr>
            <w:bookmarkStart w:id="533" w:name="EBb37ad92789774db481c16a16252b1bbe"/>
            <w:r>
              <w:rPr>
                <w:rFonts w:hint="eastAsia" w:ascii="宋体" w:hAnsi="宋体"/>
                <w:color w:val="auto"/>
                <w:szCs w:val="21"/>
                <w:highlight w:val="none"/>
              </w:rPr>
              <w:t xml:space="preserve"> </w:t>
            </w:r>
            <w:bookmarkEnd w:id="533"/>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421C76CA">
            <w:pPr>
              <w:jc w:val="center"/>
              <w:rPr>
                <w:rFonts w:ascii="宋体" w:hAnsi="宋体"/>
                <w:color w:val="auto"/>
                <w:szCs w:val="21"/>
                <w:highlight w:val="none"/>
              </w:rPr>
            </w:pPr>
            <w:bookmarkStart w:id="534" w:name="EB982e9f786f834faf92780c24f3ee4469"/>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4"/>
          </w:p>
        </w:tc>
        <w:tc>
          <w:tcPr>
            <w:tcW w:w="1335" w:type="dxa"/>
            <w:tcBorders>
              <w:top w:val="single" w:color="auto" w:sz="4" w:space="0"/>
              <w:left w:val="single" w:color="auto" w:sz="4" w:space="0"/>
              <w:bottom w:val="single" w:color="auto" w:sz="4" w:space="0"/>
              <w:right w:val="single" w:color="auto" w:sz="4" w:space="0"/>
            </w:tcBorders>
            <w:noWrap w:val="0"/>
            <w:vAlign w:val="center"/>
          </w:tcPr>
          <w:p w14:paraId="390AAD58">
            <w:pPr>
              <w:jc w:val="center"/>
              <w:rPr>
                <w:rFonts w:ascii="宋体" w:hAnsi="宋体"/>
                <w:color w:val="auto"/>
                <w:szCs w:val="21"/>
                <w:highlight w:val="none"/>
              </w:rPr>
            </w:pPr>
            <w:bookmarkStart w:id="535" w:name="EB0871387b83c7451eb978df7bfbae3d48"/>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5"/>
          </w:p>
        </w:tc>
        <w:tc>
          <w:tcPr>
            <w:tcW w:w="1802" w:type="dxa"/>
            <w:tcBorders>
              <w:top w:val="single" w:color="auto" w:sz="4" w:space="0"/>
              <w:left w:val="single" w:color="auto" w:sz="4" w:space="0"/>
              <w:bottom w:val="single" w:color="auto" w:sz="4" w:space="0"/>
              <w:right w:val="single" w:color="auto" w:sz="4" w:space="0"/>
            </w:tcBorders>
            <w:noWrap w:val="0"/>
            <w:vAlign w:val="center"/>
          </w:tcPr>
          <w:p w14:paraId="7622CF6B">
            <w:pPr>
              <w:jc w:val="center"/>
              <w:rPr>
                <w:rFonts w:ascii="宋体" w:hAnsi="宋体"/>
                <w:color w:val="auto"/>
                <w:szCs w:val="21"/>
                <w:highlight w:val="none"/>
              </w:rPr>
            </w:pPr>
            <w:bookmarkStart w:id="536" w:name="EB7f7ddb9969e24b56b9115d019c458e4f"/>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6"/>
          </w:p>
        </w:tc>
      </w:tr>
      <w:tr w14:paraId="2F4F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707D0F3F">
            <w:pPr>
              <w:jc w:val="center"/>
              <w:rPr>
                <w:rFonts w:ascii="宋体" w:hAnsi="宋体"/>
                <w:color w:val="auto"/>
                <w:szCs w:val="21"/>
                <w:highlight w:val="none"/>
              </w:rPr>
            </w:pPr>
            <w:r>
              <w:rPr>
                <w:rFonts w:hint="eastAsia" w:ascii="宋体" w:hAnsi="宋体"/>
                <w:color w:val="auto"/>
                <w:szCs w:val="21"/>
                <w:highlight w:val="none"/>
              </w:rPr>
              <w:t>５</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3C3405E1">
            <w:pPr>
              <w:jc w:val="center"/>
              <w:rPr>
                <w:rFonts w:ascii="宋体" w:hAnsi="宋体"/>
                <w:color w:val="auto"/>
                <w:szCs w:val="21"/>
                <w:highlight w:val="none"/>
              </w:rPr>
            </w:pPr>
            <w:bookmarkStart w:id="537" w:name="EB013023591bb44ff6af89e2e55e1b0baf"/>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7"/>
          </w:p>
        </w:tc>
        <w:tc>
          <w:tcPr>
            <w:tcW w:w="1425" w:type="dxa"/>
            <w:tcBorders>
              <w:top w:val="single" w:color="auto" w:sz="4" w:space="0"/>
              <w:left w:val="single" w:color="auto" w:sz="4" w:space="0"/>
              <w:bottom w:val="single" w:color="auto" w:sz="4" w:space="0"/>
              <w:right w:val="single" w:color="auto" w:sz="4" w:space="0"/>
            </w:tcBorders>
            <w:noWrap w:val="0"/>
            <w:vAlign w:val="center"/>
          </w:tcPr>
          <w:p w14:paraId="334C94FF">
            <w:pPr>
              <w:jc w:val="center"/>
              <w:rPr>
                <w:rFonts w:hint="eastAsia" w:ascii="宋体" w:hAnsi="宋体" w:eastAsia="宋体"/>
                <w:color w:val="auto"/>
                <w:szCs w:val="21"/>
                <w:highlight w:val="none"/>
                <w:lang w:val="en-US" w:eastAsia="zh-CN"/>
              </w:rPr>
            </w:pPr>
            <w:bookmarkStart w:id="538" w:name="EBef23f4e6743d462d861b60bf463cf675"/>
            <w:r>
              <w:rPr>
                <w:rFonts w:hint="eastAsia" w:ascii="宋体" w:hAnsi="宋体"/>
                <w:color w:val="auto"/>
                <w:szCs w:val="21"/>
                <w:highlight w:val="none"/>
              </w:rPr>
              <w:t xml:space="preserve"> </w:t>
            </w:r>
            <w:bookmarkEnd w:id="538"/>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04333942">
            <w:pPr>
              <w:jc w:val="center"/>
              <w:rPr>
                <w:rFonts w:ascii="宋体" w:hAnsi="宋体"/>
                <w:color w:val="auto"/>
                <w:szCs w:val="21"/>
                <w:highlight w:val="none"/>
              </w:rPr>
            </w:pPr>
            <w:bookmarkStart w:id="539" w:name="EB472cb68c640f4867aeadb7c443390b5c"/>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39"/>
          </w:p>
        </w:tc>
        <w:tc>
          <w:tcPr>
            <w:tcW w:w="1802" w:type="dxa"/>
            <w:tcBorders>
              <w:top w:val="single" w:color="auto" w:sz="4" w:space="0"/>
              <w:left w:val="single" w:color="auto" w:sz="4" w:space="0"/>
              <w:bottom w:val="single" w:color="auto" w:sz="4" w:space="0"/>
              <w:right w:val="single" w:color="auto" w:sz="4" w:space="0"/>
            </w:tcBorders>
            <w:noWrap w:val="0"/>
            <w:vAlign w:val="center"/>
          </w:tcPr>
          <w:p w14:paraId="1558CA4C">
            <w:pPr>
              <w:jc w:val="center"/>
              <w:rPr>
                <w:rFonts w:ascii="宋体" w:hAnsi="宋体"/>
                <w:color w:val="auto"/>
                <w:szCs w:val="21"/>
                <w:highlight w:val="none"/>
              </w:rPr>
            </w:pPr>
            <w:bookmarkStart w:id="540" w:name="EB8cb5c8ba31e645c1a3173eb65df52637"/>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40"/>
          </w:p>
        </w:tc>
      </w:tr>
      <w:tr w14:paraId="5F17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1977935C">
            <w:pPr>
              <w:jc w:val="center"/>
              <w:rPr>
                <w:rFonts w:ascii="宋体" w:hAnsi="宋体"/>
                <w:color w:val="auto"/>
                <w:szCs w:val="21"/>
                <w:highlight w:val="none"/>
              </w:rPr>
            </w:pPr>
            <w:r>
              <w:rPr>
                <w:rFonts w:hint="eastAsia" w:ascii="宋体" w:hAnsi="宋体"/>
                <w:color w:val="auto"/>
                <w:szCs w:val="21"/>
                <w:highlight w:val="none"/>
              </w:rPr>
              <w:t>６</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3D8E2ADE">
            <w:pPr>
              <w:jc w:val="center"/>
              <w:rPr>
                <w:rFonts w:hint="eastAsia" w:ascii="宋体" w:hAnsi="宋体" w:eastAsia="宋体"/>
                <w:color w:val="auto"/>
                <w:szCs w:val="21"/>
                <w:highlight w:val="none"/>
                <w:lang w:val="en-US" w:eastAsia="zh-CN"/>
              </w:rPr>
            </w:pPr>
            <w:bookmarkStart w:id="541" w:name="EB44b0642b27d44fa0a00eee21adae0ffe"/>
            <w:r>
              <w:rPr>
                <w:rFonts w:hint="eastAsia" w:ascii="宋体" w:hAnsi="宋体"/>
                <w:color w:val="auto"/>
                <w:szCs w:val="21"/>
                <w:highlight w:val="none"/>
              </w:rPr>
              <w:t xml:space="preserve"> </w:t>
            </w:r>
            <w:bookmarkEnd w:id="541"/>
            <w:r>
              <w:rPr>
                <w:rFonts w:hint="eastAsia" w:ascii="宋体" w:hAnsi="宋体"/>
                <w:color w:val="auto"/>
                <w:szCs w:val="21"/>
                <w:highlight w:val="none"/>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91B3827">
            <w:pPr>
              <w:jc w:val="center"/>
              <w:rPr>
                <w:rFonts w:hint="eastAsia" w:ascii="宋体" w:hAnsi="宋体" w:eastAsia="宋体"/>
                <w:color w:val="auto"/>
                <w:szCs w:val="21"/>
                <w:highlight w:val="none"/>
                <w:lang w:val="en-US" w:eastAsia="zh-CN"/>
              </w:rPr>
            </w:pPr>
            <w:bookmarkStart w:id="542" w:name="EB21f2be2801b8461683e875b669a9574f"/>
            <w:r>
              <w:rPr>
                <w:rFonts w:hint="eastAsia" w:ascii="宋体" w:hAnsi="宋体"/>
                <w:color w:val="auto"/>
                <w:szCs w:val="21"/>
                <w:highlight w:val="none"/>
              </w:rPr>
              <w:t xml:space="preserve"> </w:t>
            </w:r>
            <w:bookmarkEnd w:id="542"/>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273C7995">
            <w:pPr>
              <w:jc w:val="center"/>
              <w:rPr>
                <w:rFonts w:ascii="宋体" w:hAnsi="宋体"/>
                <w:color w:val="auto"/>
                <w:szCs w:val="21"/>
                <w:highlight w:val="none"/>
              </w:rPr>
            </w:pPr>
            <w:bookmarkStart w:id="543" w:name="EBb72ee7de2a6743229dcc8875c4deb8b2"/>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43"/>
          </w:p>
        </w:tc>
        <w:tc>
          <w:tcPr>
            <w:tcW w:w="1802" w:type="dxa"/>
            <w:tcBorders>
              <w:top w:val="single" w:color="auto" w:sz="4" w:space="0"/>
              <w:left w:val="single" w:color="auto" w:sz="4" w:space="0"/>
              <w:bottom w:val="single" w:color="auto" w:sz="4" w:space="0"/>
              <w:right w:val="single" w:color="auto" w:sz="4" w:space="0"/>
            </w:tcBorders>
            <w:noWrap w:val="0"/>
            <w:vAlign w:val="center"/>
          </w:tcPr>
          <w:p w14:paraId="23F4A93D">
            <w:pPr>
              <w:jc w:val="center"/>
              <w:rPr>
                <w:rFonts w:ascii="宋体" w:hAnsi="宋体"/>
                <w:color w:val="auto"/>
                <w:szCs w:val="21"/>
                <w:highlight w:val="none"/>
              </w:rPr>
            </w:pPr>
            <w:bookmarkStart w:id="544" w:name="EBef5a88e9c2694f5f919e2a79a627fc93"/>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44"/>
          </w:p>
        </w:tc>
      </w:tr>
      <w:tr w14:paraId="2DBDA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4E69AA08">
            <w:pPr>
              <w:jc w:val="center"/>
              <w:rPr>
                <w:rFonts w:ascii="宋体" w:hAnsi="宋体"/>
                <w:color w:val="auto"/>
                <w:szCs w:val="21"/>
                <w:highlight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0C962B56">
            <w:pPr>
              <w:jc w:val="center"/>
              <w:rPr>
                <w:rFonts w:ascii="宋体" w:hAnsi="宋体"/>
                <w:color w:val="auto"/>
                <w:szCs w:val="21"/>
                <w:highlight w:val="none"/>
              </w:rPr>
            </w:pPr>
            <w:r>
              <w:rPr>
                <w:rFonts w:hint="eastAsia" w:ascii="宋体" w:hAnsi="宋体"/>
                <w:color w:val="auto"/>
                <w:szCs w:val="21"/>
                <w:highlight w:val="none"/>
              </w:rPr>
              <w:t>合计</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F152A8E">
            <w:pPr>
              <w:jc w:val="center"/>
              <w:rPr>
                <w:rFonts w:hint="eastAsia" w:ascii="宋体" w:hAnsi="宋体" w:eastAsia="宋体"/>
                <w:color w:val="auto"/>
                <w:szCs w:val="21"/>
                <w:highlight w:val="none"/>
                <w:lang w:val="en-US" w:eastAsia="zh-CN"/>
              </w:rPr>
            </w:pPr>
            <w:bookmarkStart w:id="545" w:name="EB87a4b9bf7093426693851c48d9e63e25"/>
            <w:r>
              <w:rPr>
                <w:rFonts w:hint="eastAsia" w:ascii="宋体" w:hAnsi="宋体"/>
                <w:color w:val="auto"/>
                <w:szCs w:val="21"/>
                <w:highlight w:val="none"/>
              </w:rPr>
              <w:t xml:space="preserve"> </w:t>
            </w:r>
            <w:bookmarkEnd w:id="545"/>
            <w:r>
              <w:rPr>
                <w:rFonts w:hint="eastAsia" w:ascii="宋体" w:hAnsi="宋体"/>
                <w:color w:val="auto"/>
                <w:szCs w:val="21"/>
                <w:highlight w:val="none"/>
                <w:lang w:val="en-US"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2B0A6C4B">
            <w:pPr>
              <w:jc w:val="center"/>
              <w:rPr>
                <w:rFonts w:ascii="宋体" w:hAnsi="宋体"/>
                <w:color w:val="auto"/>
                <w:szCs w:val="21"/>
                <w:highlight w:val="none"/>
              </w:rPr>
            </w:pPr>
            <w:bookmarkStart w:id="546" w:name="EB0a6ac36554014972a6b53af4c88ae3c8"/>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46"/>
          </w:p>
        </w:tc>
        <w:tc>
          <w:tcPr>
            <w:tcW w:w="1802" w:type="dxa"/>
            <w:tcBorders>
              <w:top w:val="single" w:color="auto" w:sz="4" w:space="0"/>
              <w:left w:val="single" w:color="auto" w:sz="4" w:space="0"/>
              <w:bottom w:val="single" w:color="auto" w:sz="4" w:space="0"/>
              <w:right w:val="single" w:color="auto" w:sz="4" w:space="0"/>
            </w:tcBorders>
            <w:noWrap w:val="0"/>
            <w:vAlign w:val="center"/>
          </w:tcPr>
          <w:p w14:paraId="2F78F306">
            <w:pPr>
              <w:jc w:val="center"/>
              <w:rPr>
                <w:rFonts w:ascii="宋体" w:hAnsi="宋体"/>
                <w:color w:val="auto"/>
                <w:szCs w:val="21"/>
                <w:highlight w:val="none"/>
              </w:rPr>
            </w:pPr>
            <w:bookmarkStart w:id="547" w:name="EBf5be5b4db9454a299b5456ac5e53c2b8"/>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47"/>
          </w:p>
        </w:tc>
      </w:tr>
      <w:tr w14:paraId="34A7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5E587226">
            <w:pPr>
              <w:jc w:val="center"/>
              <w:rPr>
                <w:rFonts w:ascii="宋体" w:hAnsi="宋体"/>
                <w:color w:val="auto"/>
                <w:szCs w:val="21"/>
                <w:highlight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271D973">
            <w:pPr>
              <w:jc w:val="center"/>
              <w:rPr>
                <w:rFonts w:ascii="宋体" w:hAnsi="宋体"/>
                <w:color w:val="auto"/>
                <w:szCs w:val="21"/>
                <w:highlight w:val="none"/>
              </w:rPr>
            </w:pPr>
            <w:r>
              <w:rPr>
                <w:rFonts w:hint="eastAsia" w:ascii="宋体" w:hAnsi="宋体"/>
                <w:color w:val="auto"/>
                <w:szCs w:val="21"/>
                <w:highlight w:val="none"/>
              </w:rPr>
              <w:t>本项目合同估算价（万元）</w:t>
            </w:r>
          </w:p>
        </w:tc>
        <w:tc>
          <w:tcPr>
            <w:tcW w:w="2760" w:type="dxa"/>
            <w:gridSpan w:val="2"/>
            <w:tcBorders>
              <w:top w:val="single" w:color="auto" w:sz="4" w:space="0"/>
              <w:left w:val="single" w:color="auto" w:sz="4" w:space="0"/>
              <w:bottom w:val="single" w:color="auto" w:sz="4" w:space="0"/>
              <w:right w:val="single" w:color="auto" w:sz="4" w:space="0"/>
            </w:tcBorders>
            <w:noWrap w:val="0"/>
            <w:vAlign w:val="center"/>
          </w:tcPr>
          <w:p w14:paraId="6518CE91">
            <w:pPr>
              <w:jc w:val="center"/>
              <w:rPr>
                <w:rFonts w:hint="eastAsia" w:ascii="宋体" w:hAnsi="宋体" w:eastAsia="宋体"/>
                <w:color w:val="auto"/>
                <w:szCs w:val="21"/>
                <w:highlight w:val="none"/>
                <w:lang w:val="en-US" w:eastAsia="zh-CN"/>
              </w:rPr>
            </w:pPr>
            <w:bookmarkStart w:id="548" w:name="EB48046a33ff4e462bb6eaf227cd488bc6"/>
            <w:r>
              <w:rPr>
                <w:rFonts w:hint="eastAsia" w:ascii="宋体" w:hAnsi="宋体"/>
                <w:color w:val="auto"/>
                <w:szCs w:val="21"/>
                <w:highlight w:val="none"/>
              </w:rPr>
              <w:t xml:space="preserve"> </w:t>
            </w:r>
            <w:bookmarkEnd w:id="548"/>
            <w:r>
              <w:rPr>
                <w:rFonts w:hint="eastAsia" w:ascii="宋体" w:hAnsi="宋体"/>
                <w:color w:val="auto"/>
                <w:szCs w:val="21"/>
                <w:highlight w:val="none"/>
                <w:lang w:val="en-US" w:eastAsia="zh-CN"/>
              </w:rPr>
              <w:t>/</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57184027">
            <w:pPr>
              <w:jc w:val="center"/>
              <w:rPr>
                <w:rFonts w:ascii="宋体" w:hAnsi="宋体"/>
                <w:color w:val="auto"/>
                <w:szCs w:val="21"/>
                <w:highlight w:val="none"/>
              </w:rPr>
            </w:pPr>
            <w:bookmarkStart w:id="549" w:name="EBb8c5299249864f5199c2434558c8c83e"/>
            <w:r>
              <w:rPr>
                <w:rFonts w:hint="eastAsia" w:ascii="宋体" w:hAnsi="宋体"/>
                <w:color w:val="auto"/>
                <w:szCs w:val="21"/>
                <w:highlight w:val="none"/>
                <w:lang w:val="en-US" w:eastAsia="zh-CN"/>
              </w:rPr>
              <w:t>/</w:t>
            </w:r>
            <w:r>
              <w:rPr>
                <w:rFonts w:hint="eastAsia" w:ascii="宋体" w:hAnsi="宋体"/>
                <w:color w:val="auto"/>
                <w:szCs w:val="21"/>
                <w:highlight w:val="none"/>
              </w:rPr>
              <w:t xml:space="preserve"> </w:t>
            </w:r>
            <w:bookmarkEnd w:id="549"/>
          </w:p>
        </w:tc>
      </w:tr>
    </w:tbl>
    <w:p w14:paraId="0CADFA0E">
      <w:pPr>
        <w:spacing w:line="400" w:lineRule="exact"/>
        <w:rPr>
          <w:rFonts w:ascii="Times New Roman" w:hAnsi="Times New Roman"/>
          <w:color w:val="auto"/>
          <w:highlight w:val="none"/>
        </w:rPr>
      </w:pPr>
    </w:p>
    <w:p w14:paraId="2B22FBEC">
      <w:pPr>
        <w:ind w:left="945" w:hanging="945" w:hangingChars="450"/>
        <w:jc w:val="left"/>
        <w:rPr>
          <w:color w:val="auto"/>
          <w:highlight w:val="none"/>
        </w:rPr>
      </w:pPr>
      <w:r>
        <w:rPr>
          <w:rFonts w:hint="eastAsia"/>
          <w:color w:val="auto"/>
          <w:highlight w:val="none"/>
        </w:rPr>
        <w:t>备注：</w:t>
      </w:r>
      <w:r>
        <w:rPr>
          <w:color w:val="auto"/>
          <w:highlight w:val="none"/>
        </w:rPr>
        <w:t xml:space="preserve">1. </w:t>
      </w:r>
      <w:r>
        <w:rPr>
          <w:rFonts w:hint="eastAsia"/>
          <w:color w:val="auto"/>
          <w:highlight w:val="none"/>
        </w:rPr>
        <w:t>政府采购工程</w:t>
      </w:r>
      <w:r>
        <w:rPr>
          <w:rFonts w:hint="eastAsia" w:ascii="宋体" w:hAnsi="宋体"/>
          <w:color w:val="auto"/>
          <w:szCs w:val="21"/>
          <w:highlight w:val="none"/>
        </w:rPr>
        <w:t>未预留份额面向中小企业采购的</w:t>
      </w:r>
      <w:r>
        <w:rPr>
          <w:rFonts w:hint="eastAsia"/>
          <w:color w:val="auto"/>
          <w:highlight w:val="none"/>
        </w:rPr>
        <w:t>，如果招标人</w:t>
      </w:r>
      <w:r>
        <w:rPr>
          <w:rFonts w:hint="eastAsia" w:ascii="宋体" w:hAnsi="宋体"/>
          <w:color w:val="auto"/>
          <w:szCs w:val="21"/>
          <w:highlight w:val="none"/>
        </w:rPr>
        <w:t>接受大中型企业与小微企业组成联合体或允许大中型企业向一家或者多家小微企业分包，</w:t>
      </w:r>
      <w:r>
        <w:rPr>
          <w:rFonts w:hint="eastAsia"/>
          <w:color w:val="auto"/>
          <w:highlight w:val="none"/>
        </w:rPr>
        <w:t>招标人宜明确适合</w:t>
      </w:r>
      <w:r>
        <w:rPr>
          <w:rFonts w:hint="eastAsia" w:ascii="宋体" w:hAnsi="宋体"/>
          <w:color w:val="auto"/>
          <w:szCs w:val="21"/>
          <w:highlight w:val="none"/>
        </w:rPr>
        <w:t>联合体中的小微企业或适合接受分包的小微企业承担的</w:t>
      </w:r>
      <w:r>
        <w:rPr>
          <w:rFonts w:hint="eastAsia"/>
          <w:color w:val="auto"/>
          <w:highlight w:val="none"/>
        </w:rPr>
        <w:t>工作、适合工作的合同估算价及适合工作的合同估算价与项目合同估算价的占比，以供投标人组建联合体或签订</w:t>
      </w:r>
      <w:r>
        <w:rPr>
          <w:rFonts w:hint="eastAsia" w:ascii="宋体" w:hAnsi="宋体"/>
          <w:color w:val="auto"/>
          <w:szCs w:val="21"/>
          <w:highlight w:val="none"/>
        </w:rPr>
        <w:t>分包意向</w:t>
      </w:r>
      <w:r>
        <w:rPr>
          <w:rFonts w:hint="eastAsia"/>
          <w:color w:val="auto"/>
          <w:highlight w:val="none"/>
        </w:rPr>
        <w:t>协议时参考。</w:t>
      </w:r>
    </w:p>
    <w:p w14:paraId="0835E033">
      <w:pPr>
        <w:ind w:left="945" w:leftChars="300" w:hanging="315" w:hangingChars="150"/>
        <w:jc w:val="left"/>
        <w:rPr>
          <w:color w:val="auto"/>
          <w:highlight w:val="none"/>
        </w:rPr>
      </w:pPr>
      <w:r>
        <w:rPr>
          <w:color w:val="auto"/>
          <w:highlight w:val="none"/>
        </w:rPr>
        <w:t xml:space="preserve">2. </w:t>
      </w:r>
      <w:r>
        <w:rPr>
          <w:rFonts w:hint="eastAsia"/>
          <w:color w:val="auto"/>
          <w:highlight w:val="none"/>
        </w:rPr>
        <w:t>适合工作中包含专业工程暂估价的，则在备注栏中标注采用工程招标或政府采购方式专门面向中小（小微）企业。</w:t>
      </w:r>
    </w:p>
    <w:p w14:paraId="1CD00D25">
      <w:pPr>
        <w:spacing w:line="400" w:lineRule="exact"/>
        <w:rPr>
          <w:color w:val="auto"/>
          <w:highlight w:val="none"/>
        </w:rPr>
      </w:pPr>
    </w:p>
    <w:p w14:paraId="75F3FCD2">
      <w:pPr>
        <w:spacing w:line="400" w:lineRule="exact"/>
        <w:rPr>
          <w:color w:val="auto"/>
          <w:highlight w:val="none"/>
        </w:rPr>
      </w:pPr>
    </w:p>
    <w:p w14:paraId="2AE25E54">
      <w:pPr>
        <w:pStyle w:val="3"/>
        <w:pageBreakBefore/>
        <w:spacing w:line="415" w:lineRule="auto"/>
        <w:rPr>
          <w:rFonts w:hint="eastAsia" w:ascii="仿宋_GB2312" w:hAnsi="黑体" w:eastAsia="仿宋_GB2312"/>
          <w:b w:val="0"/>
          <w:bCs w:val="0"/>
          <w:color w:val="auto"/>
          <w:spacing w:val="12"/>
          <w:sz w:val="24"/>
          <w:highlight w:val="none"/>
        </w:rPr>
      </w:pPr>
      <w:bookmarkStart w:id="550" w:name="_Toc18263"/>
      <w:r>
        <w:rPr>
          <w:rFonts w:hint="eastAsia"/>
          <w:b w:val="0"/>
          <w:color w:val="auto"/>
          <w:sz w:val="24"/>
          <w:szCs w:val="24"/>
          <w:highlight w:val="none"/>
        </w:rPr>
        <w:t>附表一：招标文件澄清申请函</w:t>
      </w:r>
      <w:bookmarkEnd w:id="485"/>
      <w:bookmarkEnd w:id="486"/>
      <w:bookmarkEnd w:id="550"/>
    </w:p>
    <w:p w14:paraId="2D0678BB">
      <w:pPr>
        <w:rPr>
          <w:rFonts w:hint="eastAsia" w:ascii="仿宋_GB2312" w:eastAsia="仿宋_GB2312"/>
          <w:color w:val="auto"/>
          <w:highlight w:val="none"/>
        </w:rPr>
      </w:pPr>
    </w:p>
    <w:p w14:paraId="554EF0BC">
      <w:pPr>
        <w:spacing w:before="156" w:beforeLines="50" w:after="156" w:afterLines="50"/>
        <w:jc w:val="center"/>
        <w:rPr>
          <w:rFonts w:ascii="仿宋_GB2312" w:eastAsia="仿宋_GB2312"/>
          <w:color w:val="auto"/>
          <w:sz w:val="28"/>
          <w:szCs w:val="28"/>
          <w:highlight w:val="none"/>
        </w:rPr>
      </w:pPr>
    </w:p>
    <w:p w14:paraId="58A71DB0">
      <w:pPr>
        <w:spacing w:before="312" w:beforeLines="100" w:after="312"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招标文件澄清申请函</w:t>
      </w:r>
    </w:p>
    <w:p w14:paraId="5CB7E686">
      <w:pPr>
        <w:rPr>
          <w:rFonts w:hint="eastAsia" w:ascii="宋体" w:hAnsi="宋体"/>
          <w:color w:val="auto"/>
          <w:szCs w:val="24"/>
          <w:highlight w:val="none"/>
        </w:rPr>
      </w:pPr>
    </w:p>
    <w:p w14:paraId="568C1EE2">
      <w:pPr>
        <w:ind w:firstLine="6195" w:firstLineChars="2950"/>
        <w:rPr>
          <w:rFonts w:hint="eastAsia" w:ascii="宋体" w:hAnsi="宋体"/>
          <w:color w:val="auto"/>
          <w:szCs w:val="21"/>
          <w:highlight w:val="none"/>
        </w:rPr>
      </w:pPr>
      <w:r>
        <w:rPr>
          <w:rFonts w:hint="eastAsia" w:ascii="宋体" w:hAnsi="宋体"/>
          <w:color w:val="auto"/>
          <w:szCs w:val="21"/>
          <w:highlight w:val="none"/>
        </w:rPr>
        <w:t>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6A76542C">
      <w:pPr>
        <w:spacing w:line="560" w:lineRule="exact"/>
        <w:ind w:firstLine="420" w:firstLineChars="200"/>
        <w:rPr>
          <w:rFonts w:hint="eastAsia" w:ascii="宋体" w:hAnsi="宋体"/>
          <w:color w:val="auto"/>
          <w:szCs w:val="21"/>
          <w:highlight w:val="none"/>
          <w:u w:val="single"/>
        </w:rPr>
      </w:pPr>
    </w:p>
    <w:p w14:paraId="377FE3A5">
      <w:pPr>
        <w:spacing w:line="560" w:lineRule="exact"/>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rPr>
        <w:t>(招标人名称)：</w:t>
      </w:r>
    </w:p>
    <w:p w14:paraId="3E839473">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经过仔细阅读</w:t>
      </w:r>
      <w:r>
        <w:rPr>
          <w:rFonts w:hint="eastAsia" w:ascii="宋体" w:hAnsi="宋体"/>
          <w:color w:val="auto"/>
          <w:szCs w:val="21"/>
          <w:highlight w:val="none"/>
          <w:u w:val="single"/>
        </w:rPr>
        <w:t>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（标段名称）施工招标文件后，我方申请对以下问题予以澄清：</w:t>
      </w:r>
    </w:p>
    <w:p w14:paraId="1A0FE9E7">
      <w:pPr>
        <w:spacing w:line="560" w:lineRule="exact"/>
        <w:ind w:firstLine="105" w:firstLineChars="50"/>
        <w:rPr>
          <w:rFonts w:hint="eastAsia" w:ascii="宋体" w:hAnsi="宋体"/>
          <w:color w:val="auto"/>
          <w:szCs w:val="21"/>
          <w:highlight w:val="none"/>
        </w:rPr>
      </w:pPr>
      <w:r>
        <w:rPr>
          <w:rFonts w:hint="eastAsia" w:ascii="宋体" w:hAnsi="宋体"/>
          <w:color w:val="auto"/>
          <w:szCs w:val="21"/>
          <w:highlight w:val="none"/>
        </w:rPr>
        <w:t>　1.……</w:t>
      </w:r>
    </w:p>
    <w:p w14:paraId="4EA1FD95">
      <w:pPr>
        <w:spacing w:line="560" w:lineRule="exact"/>
        <w:ind w:firstLine="315" w:firstLineChars="150"/>
        <w:rPr>
          <w:rFonts w:hint="eastAsia" w:ascii="宋体" w:hAnsi="宋体"/>
          <w:color w:val="auto"/>
          <w:szCs w:val="21"/>
          <w:highlight w:val="none"/>
        </w:rPr>
      </w:pPr>
      <w:r>
        <w:rPr>
          <w:rFonts w:hint="eastAsia" w:ascii="宋体" w:hAnsi="宋体"/>
          <w:color w:val="auto"/>
          <w:szCs w:val="21"/>
          <w:highlight w:val="none"/>
        </w:rPr>
        <w:t>2.……</w:t>
      </w:r>
    </w:p>
    <w:p w14:paraId="4DE09CEC">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p>
    <w:p w14:paraId="3DE5C64F">
      <w:pPr>
        <w:spacing w:line="560" w:lineRule="exact"/>
        <w:ind w:firstLine="420" w:firstLineChars="200"/>
        <w:rPr>
          <w:rFonts w:hint="eastAsia" w:ascii="宋体" w:hAnsi="宋体"/>
          <w:color w:val="auto"/>
          <w:szCs w:val="21"/>
          <w:highlight w:val="none"/>
        </w:rPr>
      </w:pPr>
    </w:p>
    <w:p w14:paraId="1696B116">
      <w:pPr>
        <w:spacing w:line="560" w:lineRule="exact"/>
        <w:ind w:firstLine="420" w:firstLineChars="200"/>
        <w:rPr>
          <w:rFonts w:hint="eastAsia" w:ascii="宋体" w:hAnsi="宋体"/>
          <w:color w:val="auto"/>
          <w:szCs w:val="21"/>
          <w:highlight w:val="none"/>
        </w:rPr>
      </w:pPr>
    </w:p>
    <w:p w14:paraId="539276C3">
      <w:pPr>
        <w:wordWrap w:val="0"/>
        <w:jc w:val="right"/>
        <w:rPr>
          <w:rFonts w:hint="eastAsia" w:ascii="宋体" w:hAnsi="宋体"/>
          <w:color w:val="auto"/>
          <w:szCs w:val="24"/>
          <w:highlight w:val="none"/>
        </w:rPr>
      </w:pPr>
      <w:r>
        <w:rPr>
          <w:rFonts w:hint="eastAsia" w:ascii="宋体" w:hAnsi="宋体"/>
          <w:color w:val="auto"/>
          <w:szCs w:val="21"/>
          <w:highlight w:val="none"/>
        </w:rPr>
        <w:t xml:space="preserve">　　　　　　　　　　　　　　　  </w:t>
      </w: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 xml:space="preserve"> （盖单位章）</w:t>
      </w:r>
    </w:p>
    <w:p w14:paraId="76F38641">
      <w:pPr>
        <w:jc w:val="right"/>
        <w:rPr>
          <w:rFonts w:hint="eastAsia" w:ascii="宋体" w:hAnsi="宋体"/>
          <w:color w:val="auto"/>
          <w:highlight w:val="none"/>
        </w:rPr>
      </w:pPr>
    </w:p>
    <w:p w14:paraId="0E017AEC">
      <w:pPr>
        <w:spacing w:line="560" w:lineRule="exact"/>
        <w:ind w:firstLine="420" w:firstLineChars="200"/>
        <w:rPr>
          <w:rFonts w:hint="eastAsia" w:ascii="宋体" w:hAnsi="宋体"/>
          <w:color w:val="auto"/>
          <w:szCs w:val="21"/>
          <w:highlight w:val="none"/>
        </w:rPr>
      </w:pPr>
      <w:r>
        <w:rPr>
          <w:rFonts w:hint="eastAsia" w:ascii="宋体" w:hAnsi="宋体"/>
          <w:color w:val="auto"/>
          <w:highlight w:val="none"/>
        </w:rPr>
        <w:t xml:space="preserve">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0ECB11DE">
      <w:pPr>
        <w:spacing w:line="560" w:lineRule="exact"/>
        <w:ind w:firstLine="420" w:firstLineChars="200"/>
        <w:rPr>
          <w:rFonts w:hint="eastAsia" w:ascii="宋体" w:hAnsi="宋体"/>
          <w:color w:val="auto"/>
          <w:szCs w:val="21"/>
          <w:highlight w:val="none"/>
        </w:rPr>
      </w:pPr>
    </w:p>
    <w:p w14:paraId="04B770F8">
      <w:pPr>
        <w:spacing w:line="560" w:lineRule="exact"/>
        <w:ind w:firstLine="420" w:firstLineChars="200"/>
        <w:rPr>
          <w:rFonts w:hint="eastAsia" w:ascii="宋体" w:hAnsi="宋体"/>
          <w:color w:val="auto"/>
          <w:szCs w:val="21"/>
          <w:highlight w:val="none"/>
        </w:rPr>
      </w:pPr>
    </w:p>
    <w:p w14:paraId="5047EB68">
      <w:pPr>
        <w:spacing w:line="560" w:lineRule="exact"/>
        <w:ind w:firstLine="420" w:firstLineChars="200"/>
        <w:rPr>
          <w:rFonts w:hint="eastAsia" w:ascii="宋体" w:hAnsi="宋体"/>
          <w:color w:val="auto"/>
          <w:szCs w:val="21"/>
          <w:highlight w:val="none"/>
        </w:rPr>
      </w:pPr>
    </w:p>
    <w:p w14:paraId="1B8BB973">
      <w:pPr>
        <w:spacing w:line="560" w:lineRule="exact"/>
        <w:ind w:firstLine="420" w:firstLineChars="200"/>
        <w:rPr>
          <w:rFonts w:hint="eastAsia" w:ascii="宋体" w:hAnsi="宋体"/>
          <w:color w:val="auto"/>
          <w:szCs w:val="21"/>
          <w:highlight w:val="none"/>
        </w:rPr>
      </w:pPr>
    </w:p>
    <w:p w14:paraId="09B9BF04">
      <w:pPr>
        <w:spacing w:line="560" w:lineRule="exact"/>
        <w:rPr>
          <w:rFonts w:hint="eastAsia" w:ascii="宋体" w:hAnsi="宋体"/>
          <w:color w:val="auto"/>
          <w:szCs w:val="21"/>
          <w:highlight w:val="none"/>
        </w:rPr>
      </w:pPr>
      <w:r>
        <w:rPr>
          <w:rFonts w:hint="eastAsia" w:ascii="宋体" w:hAnsi="宋体"/>
          <w:color w:val="auto"/>
          <w:szCs w:val="21"/>
          <w:highlight w:val="none"/>
        </w:rPr>
        <w:t>备注：投标人要求招标人澄清招标文件有关问题时，适用于本格式。</w:t>
      </w:r>
    </w:p>
    <w:p w14:paraId="795B6912">
      <w:pPr>
        <w:spacing w:line="560" w:lineRule="exact"/>
        <w:ind w:right="840" w:rightChars="400"/>
        <w:rPr>
          <w:rFonts w:hint="eastAsia" w:ascii="宋体" w:hAnsi="宋体"/>
          <w:color w:val="auto"/>
          <w:sz w:val="24"/>
          <w:szCs w:val="24"/>
          <w:highlight w:val="none"/>
        </w:rPr>
      </w:pPr>
    </w:p>
    <w:p w14:paraId="484D7946">
      <w:pPr>
        <w:pStyle w:val="3"/>
        <w:rPr>
          <w:rFonts w:hint="eastAsia"/>
          <w:b w:val="0"/>
          <w:color w:val="auto"/>
          <w:sz w:val="24"/>
          <w:szCs w:val="24"/>
          <w:highlight w:val="none"/>
        </w:rPr>
      </w:pPr>
      <w:bookmarkStart w:id="551" w:name="_Toc353544001"/>
      <w:bookmarkStart w:id="552" w:name="_Toc28531750"/>
      <w:bookmarkStart w:id="553" w:name="_Toc12781"/>
      <w:r>
        <w:rPr>
          <w:rFonts w:hint="eastAsia"/>
          <w:b w:val="0"/>
          <w:color w:val="auto"/>
          <w:sz w:val="24"/>
          <w:szCs w:val="24"/>
          <w:highlight w:val="none"/>
        </w:rPr>
        <w:t>附表二：招标文件文件澄清通知</w:t>
      </w:r>
      <w:bookmarkEnd w:id="551"/>
      <w:bookmarkEnd w:id="552"/>
      <w:bookmarkEnd w:id="553"/>
    </w:p>
    <w:p w14:paraId="0EE2CC74">
      <w:pPr>
        <w:spacing w:line="560" w:lineRule="exact"/>
        <w:ind w:right="840" w:rightChars="400"/>
        <w:rPr>
          <w:rFonts w:ascii="仿宋_GB2312" w:eastAsia="仿宋_GB2312"/>
          <w:color w:val="auto"/>
          <w:sz w:val="24"/>
          <w:szCs w:val="24"/>
          <w:highlight w:val="none"/>
        </w:rPr>
      </w:pPr>
    </w:p>
    <w:p w14:paraId="5A16B67E">
      <w:pPr>
        <w:rPr>
          <w:rFonts w:hint="eastAsia" w:ascii="仿宋_GB2312" w:eastAsia="仿宋_GB2312"/>
          <w:color w:val="auto"/>
          <w:highlight w:val="none"/>
        </w:rPr>
      </w:pPr>
    </w:p>
    <w:p w14:paraId="7D7ABE9E">
      <w:pPr>
        <w:spacing w:before="312" w:beforeLines="100" w:after="312"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招标文件澄清通知</w:t>
      </w:r>
    </w:p>
    <w:p w14:paraId="5FBBE24B">
      <w:pPr>
        <w:rPr>
          <w:rFonts w:hint="eastAsia" w:ascii="宋体" w:hAnsi="宋体"/>
          <w:color w:val="auto"/>
          <w:szCs w:val="24"/>
          <w:highlight w:val="none"/>
        </w:rPr>
      </w:pPr>
    </w:p>
    <w:p w14:paraId="40C2B250">
      <w:pPr>
        <w:ind w:firstLine="5985" w:firstLineChars="2850"/>
        <w:rPr>
          <w:rFonts w:hint="eastAsia" w:ascii="宋体" w:hAnsi="宋体"/>
          <w:color w:val="auto"/>
          <w:highlight w:val="none"/>
        </w:rPr>
      </w:pPr>
      <w:r>
        <w:rPr>
          <w:rFonts w:hint="eastAsia" w:ascii="宋体" w:hAnsi="宋体"/>
          <w:color w:val="auto"/>
          <w:highlight w:val="none"/>
        </w:rPr>
        <w:t>编号：</w:t>
      </w:r>
      <w:r>
        <w:rPr>
          <w:rFonts w:hint="eastAsia" w:ascii="宋体" w:hAnsi="宋体"/>
          <w:color w:val="auto"/>
          <w:highlight w:val="none"/>
          <w:u w:val="single"/>
        </w:rPr>
        <w:t>　        　</w:t>
      </w:r>
    </w:p>
    <w:p w14:paraId="3D694EC2">
      <w:pPr>
        <w:rPr>
          <w:rFonts w:hint="eastAsia" w:ascii="宋体" w:hAnsi="宋体"/>
          <w:color w:val="auto"/>
          <w:highlight w:val="none"/>
        </w:rPr>
      </w:pPr>
    </w:p>
    <w:p w14:paraId="348577CD">
      <w:pPr>
        <w:spacing w:line="560" w:lineRule="exact"/>
        <w:rPr>
          <w:rFonts w:hint="eastAsia" w:ascii="宋体" w:hAnsi="宋体"/>
          <w:color w:val="auto"/>
          <w:szCs w:val="21"/>
          <w:highlight w:val="none"/>
        </w:rPr>
      </w:pPr>
      <w:r>
        <w:rPr>
          <w:rFonts w:hint="eastAsia" w:ascii="宋体" w:hAnsi="宋体"/>
          <w:color w:val="auto"/>
          <w:highlight w:val="none"/>
        </w:rPr>
        <w:t>各</w:t>
      </w:r>
      <w:r>
        <w:rPr>
          <w:rFonts w:hint="eastAsia" w:ascii="宋体" w:hAnsi="宋体"/>
          <w:color w:val="auto"/>
          <w:szCs w:val="21"/>
          <w:highlight w:val="none"/>
        </w:rPr>
        <w:t>投标人：</w:t>
      </w:r>
    </w:p>
    <w:p w14:paraId="56A94EA2">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经研究，对</w:t>
      </w:r>
      <w:r>
        <w:rPr>
          <w:rFonts w:hint="eastAsia" w:ascii="宋体" w:hAnsi="宋体"/>
          <w:color w:val="auto"/>
          <w:szCs w:val="21"/>
          <w:highlight w:val="none"/>
          <w:u w:val="single"/>
        </w:rPr>
        <w:t>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（标段名称）施工招标文件，作如下澄清：</w:t>
      </w:r>
    </w:p>
    <w:p w14:paraId="573AE874">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w:t>
      </w:r>
    </w:p>
    <w:p w14:paraId="20E88B51">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p>
    <w:p w14:paraId="5B84821F">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p>
    <w:p w14:paraId="6F4453DC">
      <w:pPr>
        <w:spacing w:line="560" w:lineRule="exact"/>
        <w:rPr>
          <w:rFonts w:hint="eastAsia" w:ascii="宋体" w:hAnsi="宋体"/>
          <w:color w:val="auto"/>
          <w:szCs w:val="21"/>
          <w:highlight w:val="none"/>
        </w:rPr>
      </w:pPr>
    </w:p>
    <w:p w14:paraId="561CA6DD">
      <w:pPr>
        <w:spacing w:line="560" w:lineRule="exact"/>
        <w:ind w:firstLine="420" w:firstLineChars="200"/>
        <w:rPr>
          <w:rFonts w:hint="eastAsia" w:ascii="宋体" w:hAnsi="宋体"/>
          <w:color w:val="auto"/>
          <w:szCs w:val="21"/>
          <w:highlight w:val="none"/>
        </w:rPr>
      </w:pPr>
    </w:p>
    <w:p w14:paraId="233431C2">
      <w:pPr>
        <w:spacing w:line="560" w:lineRule="exact"/>
        <w:ind w:firstLine="420" w:firstLineChars="200"/>
        <w:rPr>
          <w:rFonts w:hint="eastAsia" w:ascii="宋体" w:hAnsi="宋体"/>
          <w:color w:val="auto"/>
          <w:szCs w:val="21"/>
          <w:highlight w:val="none"/>
        </w:rPr>
      </w:pPr>
    </w:p>
    <w:p w14:paraId="4741B100">
      <w:pPr>
        <w:spacing w:line="560" w:lineRule="exact"/>
        <w:ind w:firstLine="420" w:firstLineChars="200"/>
        <w:rPr>
          <w:rFonts w:hint="eastAsia" w:ascii="宋体" w:hAnsi="宋体"/>
          <w:color w:val="auto"/>
          <w:szCs w:val="21"/>
          <w:highlight w:val="none"/>
        </w:rPr>
      </w:pPr>
    </w:p>
    <w:p w14:paraId="4CB7F91B">
      <w:pPr>
        <w:wordWrap w:val="0"/>
        <w:jc w:val="right"/>
        <w:rPr>
          <w:rFonts w:hint="eastAsia" w:ascii="宋体" w:hAnsi="宋体"/>
          <w:color w:val="auto"/>
          <w:szCs w:val="24"/>
          <w:highlight w:val="none"/>
        </w:rPr>
      </w:pPr>
      <w:r>
        <w:rPr>
          <w:rFonts w:hint="eastAsia" w:ascii="宋体" w:hAnsi="宋体"/>
          <w:color w:val="auto"/>
          <w:szCs w:val="21"/>
          <w:highlight w:val="none"/>
        </w:rPr>
        <w:t>　　　　　　　　　　　　　　　　</w:t>
      </w:r>
      <w:r>
        <w:rPr>
          <w:rFonts w:hint="eastAsia" w:ascii="宋体" w:hAnsi="宋体"/>
          <w:color w:val="auto"/>
          <w:highlight w:val="none"/>
        </w:rPr>
        <w:t>招标人：</w:t>
      </w:r>
      <w:r>
        <w:rPr>
          <w:rFonts w:hint="eastAsia" w:ascii="宋体" w:hAnsi="宋体"/>
          <w:color w:val="auto"/>
          <w:highlight w:val="none"/>
          <w:u w:val="single"/>
        </w:rPr>
        <w:t xml:space="preserve">                  </w:t>
      </w:r>
      <w:r>
        <w:rPr>
          <w:rFonts w:hint="eastAsia" w:ascii="宋体" w:hAnsi="宋体"/>
          <w:color w:val="auto"/>
          <w:highlight w:val="none"/>
        </w:rPr>
        <w:t xml:space="preserve"> （盖单位章）</w:t>
      </w:r>
    </w:p>
    <w:p w14:paraId="511454BA">
      <w:pPr>
        <w:spacing w:line="560" w:lineRule="exact"/>
        <w:ind w:firstLine="420" w:firstLineChars="200"/>
        <w:rPr>
          <w:rFonts w:hint="eastAsia" w:ascii="宋体" w:hAnsi="宋体"/>
          <w:color w:val="auto"/>
          <w:highlight w:val="none"/>
        </w:rPr>
      </w:pPr>
    </w:p>
    <w:p w14:paraId="4433713A">
      <w:pPr>
        <w:spacing w:line="560" w:lineRule="exact"/>
        <w:ind w:firstLine="420" w:firstLineChars="200"/>
        <w:rPr>
          <w:rFonts w:hint="eastAsia" w:ascii="宋体" w:hAnsi="宋体"/>
          <w:color w:val="auto"/>
          <w:szCs w:val="21"/>
          <w:highlight w:val="none"/>
        </w:rPr>
      </w:pPr>
      <w:r>
        <w:rPr>
          <w:rFonts w:hint="eastAsia" w:ascii="宋体" w:hAnsi="宋体"/>
          <w:color w:val="auto"/>
          <w:highlight w:val="none"/>
        </w:rPr>
        <w:t xml:space="preserve">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5D4EC624">
      <w:pPr>
        <w:spacing w:line="560" w:lineRule="exact"/>
        <w:rPr>
          <w:rFonts w:hint="eastAsia" w:ascii="宋体" w:hAnsi="宋体"/>
          <w:color w:val="auto"/>
          <w:szCs w:val="21"/>
          <w:highlight w:val="none"/>
        </w:rPr>
      </w:pPr>
    </w:p>
    <w:p w14:paraId="51C7C948">
      <w:pPr>
        <w:spacing w:line="560" w:lineRule="exact"/>
        <w:rPr>
          <w:rFonts w:hint="eastAsia" w:ascii="宋体" w:hAnsi="宋体"/>
          <w:color w:val="auto"/>
          <w:szCs w:val="21"/>
          <w:highlight w:val="none"/>
        </w:rPr>
      </w:pPr>
    </w:p>
    <w:p w14:paraId="42CA3144">
      <w:pPr>
        <w:spacing w:line="560" w:lineRule="exact"/>
        <w:ind w:left="630" w:hanging="630" w:hangingChars="300"/>
        <w:rPr>
          <w:rFonts w:hint="eastAsia" w:ascii="宋体" w:hAnsi="宋体"/>
          <w:color w:val="auto"/>
          <w:szCs w:val="21"/>
          <w:highlight w:val="none"/>
        </w:rPr>
      </w:pPr>
      <w:r>
        <w:rPr>
          <w:rFonts w:hint="eastAsia" w:ascii="宋体" w:hAnsi="宋体"/>
          <w:color w:val="auto"/>
          <w:szCs w:val="21"/>
          <w:highlight w:val="none"/>
        </w:rPr>
        <w:t>备注：招标人对招标文件有关问题澄清时，适用本格式。招标人可根据需要将附表二与附表三内容合并发出。</w:t>
      </w:r>
    </w:p>
    <w:p w14:paraId="537CEACB">
      <w:pPr>
        <w:spacing w:line="560" w:lineRule="exact"/>
        <w:ind w:firstLine="420" w:firstLineChars="200"/>
        <w:rPr>
          <w:rFonts w:hint="eastAsia" w:ascii="仿宋_GB2312" w:hAnsi="Times New Roman" w:eastAsia="仿宋_GB2312"/>
          <w:color w:val="auto"/>
          <w:szCs w:val="21"/>
          <w:highlight w:val="none"/>
        </w:rPr>
      </w:pPr>
    </w:p>
    <w:p w14:paraId="53BE9C99">
      <w:pPr>
        <w:pStyle w:val="3"/>
        <w:rPr>
          <w:rFonts w:hint="eastAsia"/>
          <w:b w:val="0"/>
          <w:color w:val="auto"/>
          <w:sz w:val="24"/>
          <w:szCs w:val="24"/>
          <w:highlight w:val="none"/>
        </w:rPr>
      </w:pPr>
      <w:bookmarkStart w:id="554" w:name="_Toc28531751"/>
      <w:bookmarkStart w:id="555" w:name="_Toc9914"/>
      <w:bookmarkStart w:id="556" w:name="_Toc353544002"/>
      <w:r>
        <w:rPr>
          <w:rFonts w:hint="eastAsia"/>
          <w:b w:val="0"/>
          <w:color w:val="auto"/>
          <w:sz w:val="24"/>
          <w:szCs w:val="24"/>
          <w:highlight w:val="none"/>
        </w:rPr>
        <w:t>附表三：招标文件文件修改通知</w:t>
      </w:r>
      <w:bookmarkEnd w:id="554"/>
      <w:bookmarkEnd w:id="555"/>
      <w:bookmarkEnd w:id="556"/>
    </w:p>
    <w:p w14:paraId="1182D405">
      <w:pPr>
        <w:spacing w:line="560" w:lineRule="exact"/>
        <w:ind w:right="840" w:rightChars="400"/>
        <w:rPr>
          <w:rFonts w:ascii="仿宋_GB2312" w:eastAsia="仿宋_GB2312"/>
          <w:color w:val="auto"/>
          <w:sz w:val="24"/>
          <w:szCs w:val="24"/>
          <w:highlight w:val="none"/>
        </w:rPr>
      </w:pPr>
    </w:p>
    <w:p w14:paraId="3187EB11">
      <w:pPr>
        <w:rPr>
          <w:rFonts w:hint="eastAsia" w:ascii="仿宋_GB2312" w:eastAsia="仿宋_GB2312"/>
          <w:color w:val="auto"/>
          <w:highlight w:val="none"/>
        </w:rPr>
      </w:pPr>
    </w:p>
    <w:p w14:paraId="7518688A">
      <w:pPr>
        <w:spacing w:before="312" w:beforeLines="100" w:after="312"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招标文件修改通知</w:t>
      </w:r>
    </w:p>
    <w:p w14:paraId="5797AC1F">
      <w:pPr>
        <w:rPr>
          <w:rFonts w:hint="eastAsia" w:ascii="宋体" w:hAnsi="宋体"/>
          <w:color w:val="auto"/>
          <w:szCs w:val="24"/>
          <w:highlight w:val="none"/>
        </w:rPr>
      </w:pPr>
    </w:p>
    <w:p w14:paraId="234AD01B">
      <w:pPr>
        <w:ind w:left="5985" w:leftChars="2850"/>
        <w:rPr>
          <w:rFonts w:hint="eastAsia" w:ascii="宋体" w:hAnsi="宋体"/>
          <w:color w:val="auto"/>
          <w:highlight w:val="none"/>
        </w:rPr>
      </w:pPr>
      <w:r>
        <w:rPr>
          <w:rFonts w:hint="eastAsia" w:ascii="宋体" w:hAnsi="宋体"/>
          <w:color w:val="auto"/>
          <w:highlight w:val="none"/>
        </w:rPr>
        <w:t xml:space="preserve">                                   编号：</w:t>
      </w:r>
      <w:r>
        <w:rPr>
          <w:rFonts w:hint="eastAsia" w:ascii="宋体" w:hAnsi="宋体"/>
          <w:color w:val="auto"/>
          <w:highlight w:val="none"/>
          <w:u w:val="single"/>
        </w:rPr>
        <w:t>　        　</w:t>
      </w:r>
    </w:p>
    <w:p w14:paraId="70E37FD9">
      <w:pPr>
        <w:rPr>
          <w:rFonts w:hint="eastAsia" w:ascii="宋体" w:hAnsi="宋体"/>
          <w:color w:val="auto"/>
          <w:highlight w:val="none"/>
        </w:rPr>
      </w:pPr>
    </w:p>
    <w:p w14:paraId="0F7B9153">
      <w:pPr>
        <w:spacing w:line="560" w:lineRule="exact"/>
        <w:rPr>
          <w:rFonts w:hint="eastAsia" w:ascii="宋体" w:hAnsi="宋体"/>
          <w:color w:val="auto"/>
          <w:szCs w:val="21"/>
          <w:highlight w:val="none"/>
        </w:rPr>
      </w:pPr>
      <w:r>
        <w:rPr>
          <w:rFonts w:hint="eastAsia" w:ascii="宋体" w:hAnsi="宋体"/>
          <w:color w:val="auto"/>
          <w:highlight w:val="none"/>
        </w:rPr>
        <w:t>各</w:t>
      </w:r>
      <w:r>
        <w:rPr>
          <w:rFonts w:hint="eastAsia" w:ascii="宋体" w:hAnsi="宋体"/>
          <w:color w:val="auto"/>
          <w:szCs w:val="21"/>
          <w:highlight w:val="none"/>
        </w:rPr>
        <w:t>投标人：</w:t>
      </w:r>
    </w:p>
    <w:p w14:paraId="1E866D7F">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经研究，对</w:t>
      </w:r>
      <w:r>
        <w:rPr>
          <w:rFonts w:hint="eastAsia" w:ascii="宋体" w:hAnsi="宋体"/>
          <w:color w:val="auto"/>
          <w:szCs w:val="21"/>
          <w:highlight w:val="none"/>
          <w:u w:val="single"/>
        </w:rPr>
        <w:t>　　     　　</w:t>
      </w:r>
      <w:r>
        <w:rPr>
          <w:rFonts w:hint="eastAsia" w:ascii="宋体" w:hAnsi="宋体"/>
          <w:color w:val="auto"/>
          <w:szCs w:val="21"/>
          <w:highlight w:val="none"/>
        </w:rPr>
        <w:t>(项目名称)</w:t>
      </w:r>
      <w:r>
        <w:rPr>
          <w:rFonts w:hint="eastAsia" w:ascii="宋体" w:hAnsi="宋体"/>
          <w:color w:val="auto"/>
          <w:szCs w:val="21"/>
          <w:highlight w:val="none"/>
          <w:u w:val="single"/>
        </w:rPr>
        <w:t>　　 　</w:t>
      </w:r>
      <w:r>
        <w:rPr>
          <w:rFonts w:hint="eastAsia" w:ascii="宋体" w:hAnsi="宋体"/>
          <w:color w:val="auto"/>
          <w:szCs w:val="21"/>
          <w:highlight w:val="none"/>
        </w:rPr>
        <w:t xml:space="preserve"> （标段名称）施工招标文件，作如下修改：</w:t>
      </w:r>
    </w:p>
    <w:p w14:paraId="38A94762">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w:t>
      </w:r>
    </w:p>
    <w:p w14:paraId="4486953C">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p>
    <w:p w14:paraId="1C44BA13">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p>
    <w:p w14:paraId="51D176AA">
      <w:pPr>
        <w:spacing w:line="560" w:lineRule="exact"/>
        <w:ind w:firstLine="420" w:firstLineChars="200"/>
        <w:rPr>
          <w:rFonts w:hint="eastAsia" w:ascii="宋体" w:hAnsi="宋体"/>
          <w:color w:val="auto"/>
          <w:szCs w:val="21"/>
          <w:highlight w:val="none"/>
          <w:bdr w:val="single" w:color="auto" w:sz="4" w:space="0"/>
        </w:rPr>
      </w:pPr>
    </w:p>
    <w:p w14:paraId="36A0A691">
      <w:pPr>
        <w:spacing w:line="560" w:lineRule="exact"/>
        <w:ind w:firstLine="420" w:firstLineChars="200"/>
        <w:rPr>
          <w:rFonts w:hint="eastAsia" w:ascii="宋体" w:hAnsi="宋体"/>
          <w:color w:val="auto"/>
          <w:szCs w:val="21"/>
          <w:highlight w:val="none"/>
        </w:rPr>
      </w:pPr>
    </w:p>
    <w:p w14:paraId="3178047A">
      <w:pPr>
        <w:spacing w:line="560" w:lineRule="exact"/>
        <w:ind w:firstLine="420" w:firstLineChars="200"/>
        <w:rPr>
          <w:rFonts w:hint="eastAsia" w:ascii="宋体" w:hAnsi="宋体"/>
          <w:color w:val="auto"/>
          <w:szCs w:val="21"/>
          <w:highlight w:val="none"/>
        </w:rPr>
      </w:pPr>
    </w:p>
    <w:p w14:paraId="65569C15">
      <w:pPr>
        <w:wordWrap w:val="0"/>
        <w:jc w:val="right"/>
        <w:rPr>
          <w:rFonts w:hint="eastAsia" w:ascii="宋体" w:hAnsi="宋体"/>
          <w:color w:val="auto"/>
          <w:szCs w:val="24"/>
          <w:highlight w:val="none"/>
        </w:rPr>
      </w:pPr>
      <w:r>
        <w:rPr>
          <w:rFonts w:hint="eastAsia" w:ascii="宋体" w:hAnsi="宋体"/>
          <w:color w:val="auto"/>
          <w:szCs w:val="21"/>
          <w:highlight w:val="none"/>
        </w:rPr>
        <w:t>　　　　　　　　　　　　　　　　</w:t>
      </w:r>
      <w:r>
        <w:rPr>
          <w:rFonts w:hint="eastAsia" w:ascii="宋体" w:hAnsi="宋体"/>
          <w:color w:val="auto"/>
          <w:highlight w:val="none"/>
        </w:rPr>
        <w:t>招标人：</w:t>
      </w:r>
      <w:r>
        <w:rPr>
          <w:rFonts w:hint="eastAsia" w:ascii="宋体" w:hAnsi="宋体"/>
          <w:color w:val="auto"/>
          <w:highlight w:val="none"/>
          <w:u w:val="single"/>
        </w:rPr>
        <w:t xml:space="preserve">                  </w:t>
      </w:r>
      <w:r>
        <w:rPr>
          <w:rFonts w:hint="eastAsia" w:ascii="宋体" w:hAnsi="宋体"/>
          <w:color w:val="auto"/>
          <w:highlight w:val="none"/>
        </w:rPr>
        <w:t xml:space="preserve"> （盖单位章）</w:t>
      </w:r>
    </w:p>
    <w:p w14:paraId="40E2126D">
      <w:pPr>
        <w:spacing w:line="560" w:lineRule="exact"/>
        <w:ind w:firstLine="420" w:firstLineChars="200"/>
        <w:rPr>
          <w:rFonts w:hint="eastAsia" w:ascii="宋体" w:hAnsi="宋体"/>
          <w:color w:val="auto"/>
          <w:highlight w:val="none"/>
        </w:rPr>
      </w:pPr>
    </w:p>
    <w:p w14:paraId="3622CB8D">
      <w:pPr>
        <w:spacing w:line="560" w:lineRule="exact"/>
        <w:ind w:firstLine="420" w:firstLineChars="200"/>
        <w:rPr>
          <w:rFonts w:hint="eastAsia" w:ascii="宋体" w:hAnsi="宋体"/>
          <w:color w:val="auto"/>
          <w:szCs w:val="21"/>
          <w:highlight w:val="none"/>
        </w:rPr>
      </w:pPr>
      <w:r>
        <w:rPr>
          <w:rFonts w:hint="eastAsia" w:ascii="宋体" w:hAnsi="宋体"/>
          <w:color w:val="auto"/>
          <w:highlight w:val="none"/>
        </w:rPr>
        <w:t xml:space="preserve">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504F2241">
      <w:pPr>
        <w:spacing w:line="560" w:lineRule="exact"/>
        <w:rPr>
          <w:rFonts w:hint="eastAsia" w:ascii="宋体" w:hAnsi="宋体"/>
          <w:color w:val="auto"/>
          <w:szCs w:val="21"/>
          <w:highlight w:val="none"/>
        </w:rPr>
      </w:pPr>
    </w:p>
    <w:p w14:paraId="00BD285E">
      <w:pPr>
        <w:spacing w:line="560" w:lineRule="exact"/>
        <w:rPr>
          <w:rFonts w:hint="eastAsia" w:ascii="宋体" w:hAnsi="宋体"/>
          <w:color w:val="auto"/>
          <w:szCs w:val="21"/>
          <w:highlight w:val="none"/>
        </w:rPr>
      </w:pPr>
    </w:p>
    <w:p w14:paraId="77814475">
      <w:pPr>
        <w:spacing w:line="560" w:lineRule="exact"/>
        <w:rPr>
          <w:rFonts w:hint="eastAsia" w:ascii="仿宋_GB2312" w:hAnsi="Times New Roman" w:eastAsia="仿宋_GB2312"/>
          <w:color w:val="auto"/>
          <w:szCs w:val="21"/>
          <w:highlight w:val="none"/>
        </w:rPr>
      </w:pPr>
      <w:r>
        <w:rPr>
          <w:rFonts w:hint="eastAsia" w:ascii="宋体" w:hAnsi="宋体"/>
          <w:color w:val="auto"/>
          <w:szCs w:val="21"/>
          <w:highlight w:val="none"/>
        </w:rPr>
        <w:t>备注：招标人对招标文件有关问题修改时，适用本格式。</w:t>
      </w:r>
    </w:p>
    <w:p w14:paraId="1229F57F">
      <w:pPr>
        <w:spacing w:after="468" w:afterLines="150"/>
        <w:rPr>
          <w:rFonts w:hint="eastAsia" w:ascii="仿宋_GB2312" w:eastAsia="仿宋_GB2312"/>
          <w:color w:val="auto"/>
          <w:sz w:val="24"/>
          <w:szCs w:val="24"/>
          <w:highlight w:val="none"/>
        </w:rPr>
      </w:pPr>
    </w:p>
    <w:p w14:paraId="79BE2817">
      <w:pPr>
        <w:pStyle w:val="3"/>
        <w:rPr>
          <w:rFonts w:hint="eastAsia"/>
          <w:b w:val="0"/>
          <w:color w:val="auto"/>
          <w:sz w:val="24"/>
          <w:szCs w:val="24"/>
          <w:highlight w:val="none"/>
        </w:rPr>
      </w:pPr>
      <w:bookmarkStart w:id="557" w:name="_Toc353544004"/>
      <w:bookmarkStart w:id="558" w:name="_Toc32658"/>
      <w:bookmarkStart w:id="559" w:name="_Toc28531752"/>
      <w:r>
        <w:rPr>
          <w:rFonts w:hint="eastAsia"/>
          <w:b w:val="0"/>
          <w:color w:val="auto"/>
          <w:sz w:val="24"/>
          <w:szCs w:val="24"/>
          <w:highlight w:val="none"/>
        </w:rPr>
        <w:t>附表四：投标文件递交签收凭证</w:t>
      </w:r>
      <w:bookmarkEnd w:id="557"/>
      <w:bookmarkEnd w:id="558"/>
      <w:bookmarkEnd w:id="559"/>
    </w:p>
    <w:p w14:paraId="1015F916">
      <w:pPr>
        <w:spacing w:before="312" w:beforeLines="100" w:after="312" w:afterLines="100" w:line="480" w:lineRule="exact"/>
        <w:jc w:val="center"/>
        <w:rPr>
          <w:rFonts w:ascii="黑体" w:eastAsia="黑体"/>
          <w:color w:val="auto"/>
          <w:sz w:val="28"/>
          <w:szCs w:val="28"/>
          <w:highlight w:val="none"/>
        </w:rPr>
      </w:pPr>
    </w:p>
    <w:p w14:paraId="20B1718C">
      <w:pPr>
        <w:spacing w:before="312" w:beforeLines="100" w:after="312"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投标文件递交签收凭证</w:t>
      </w:r>
    </w:p>
    <w:p w14:paraId="2B72B4F0">
      <w:pPr>
        <w:rPr>
          <w:rFonts w:hint="eastAsia" w:ascii="宋体" w:hAnsi="宋体" w:cs="宋体"/>
          <w:color w:val="auto"/>
          <w:kern w:val="0"/>
          <w:szCs w:val="21"/>
          <w:highlight w:val="none"/>
        </w:rPr>
      </w:pPr>
    </w:p>
    <w:p w14:paraId="3E96D271">
      <w:pPr>
        <w:ind w:firstLine="6405" w:firstLineChars="3050"/>
        <w:rPr>
          <w:rFonts w:hint="eastAsia" w:ascii="宋体" w:hAnsi="宋体"/>
          <w:color w:val="auto"/>
          <w:sz w:val="28"/>
          <w:szCs w:val="28"/>
          <w:highlight w:val="none"/>
        </w:rPr>
      </w:pPr>
      <w:r>
        <w:rPr>
          <w:rFonts w:hint="eastAsia" w:ascii="宋体" w:hAnsi="宋体"/>
          <w:color w:val="auto"/>
          <w:highlight w:val="none"/>
        </w:rPr>
        <w:t>编号：</w:t>
      </w:r>
      <w:r>
        <w:rPr>
          <w:rFonts w:hint="eastAsia" w:ascii="宋体" w:hAnsi="宋体"/>
          <w:color w:val="auto"/>
          <w:highlight w:val="none"/>
          <w:u w:val="single"/>
        </w:rPr>
        <w:t xml:space="preserve">           </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6"/>
        <w:gridCol w:w="6380"/>
      </w:tblGrid>
      <w:tr w14:paraId="41B92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0F240D73">
            <w:pPr>
              <w:jc w:val="center"/>
              <w:rPr>
                <w:rFonts w:ascii="宋体" w:hAnsi="宋体"/>
                <w:color w:val="auto"/>
                <w:szCs w:val="24"/>
                <w:highlight w:val="none"/>
              </w:rPr>
            </w:pPr>
            <w:r>
              <w:rPr>
                <w:rFonts w:hint="eastAsia" w:ascii="宋体" w:hAnsi="宋体"/>
                <w:color w:val="auto"/>
                <w:highlight w:val="none"/>
              </w:rPr>
              <w:t>工程名称</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628C9797">
            <w:pPr>
              <w:rPr>
                <w:rFonts w:ascii="宋体" w:hAnsi="宋体"/>
                <w:color w:val="auto"/>
                <w:szCs w:val="24"/>
                <w:highlight w:val="none"/>
              </w:rPr>
            </w:pPr>
            <w:r>
              <w:rPr>
                <w:rFonts w:hint="eastAsia" w:ascii="宋体" w:hAnsi="宋体"/>
                <w:color w:val="auto"/>
                <w:highlight w:val="none"/>
                <w:u w:val="single"/>
              </w:rPr>
              <w:t xml:space="preserve">             </w:t>
            </w:r>
            <w:r>
              <w:rPr>
                <w:rFonts w:hint="eastAsia" w:ascii="宋体" w:hAnsi="宋体"/>
                <w:color w:val="auto"/>
                <w:highlight w:val="none"/>
              </w:rPr>
              <w:t xml:space="preserve"> （项目名称）</w:t>
            </w:r>
            <w:r>
              <w:rPr>
                <w:rFonts w:hint="eastAsia" w:ascii="宋体" w:hAnsi="宋体"/>
                <w:color w:val="auto"/>
                <w:highlight w:val="none"/>
                <w:u w:val="single"/>
              </w:rPr>
              <w:t xml:space="preserve">       </w:t>
            </w:r>
            <w:r>
              <w:rPr>
                <w:rFonts w:hint="eastAsia" w:ascii="宋体" w:hAnsi="宋体"/>
                <w:color w:val="auto"/>
                <w:highlight w:val="none"/>
              </w:rPr>
              <w:t xml:space="preserve"> </w:t>
            </w:r>
            <w:r>
              <w:rPr>
                <w:rFonts w:hint="eastAsia"/>
                <w:color w:val="auto"/>
                <w:highlight w:val="none"/>
              </w:rPr>
              <w:t>（标段名称）</w:t>
            </w:r>
          </w:p>
        </w:tc>
      </w:tr>
      <w:tr w14:paraId="0E27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56B02C6D">
            <w:pPr>
              <w:jc w:val="center"/>
              <w:rPr>
                <w:rFonts w:ascii="宋体" w:hAnsi="宋体"/>
                <w:color w:val="auto"/>
                <w:szCs w:val="24"/>
                <w:highlight w:val="none"/>
              </w:rPr>
            </w:pPr>
            <w:r>
              <w:rPr>
                <w:rFonts w:hint="eastAsia" w:ascii="宋体" w:hAnsi="宋体"/>
                <w:color w:val="auto"/>
                <w:highlight w:val="none"/>
              </w:rPr>
              <w:t>招标人</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02565224">
            <w:pPr>
              <w:jc w:val="center"/>
              <w:rPr>
                <w:rFonts w:ascii="宋体" w:hAnsi="宋体"/>
                <w:color w:val="auto"/>
                <w:szCs w:val="24"/>
                <w:highlight w:val="none"/>
              </w:rPr>
            </w:pPr>
          </w:p>
        </w:tc>
      </w:tr>
      <w:tr w14:paraId="5D22F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714FA2F8">
            <w:pPr>
              <w:jc w:val="center"/>
              <w:rPr>
                <w:rFonts w:ascii="宋体" w:hAnsi="宋体"/>
                <w:color w:val="auto"/>
                <w:szCs w:val="24"/>
                <w:highlight w:val="none"/>
              </w:rPr>
            </w:pPr>
            <w:r>
              <w:rPr>
                <w:rFonts w:hint="eastAsia" w:ascii="宋体" w:hAnsi="宋体"/>
                <w:color w:val="auto"/>
                <w:highlight w:val="none"/>
              </w:rPr>
              <w:t>招标代理机构</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7585D182">
            <w:pPr>
              <w:jc w:val="center"/>
              <w:rPr>
                <w:rFonts w:ascii="宋体" w:hAnsi="宋体"/>
                <w:color w:val="auto"/>
                <w:szCs w:val="24"/>
                <w:highlight w:val="none"/>
              </w:rPr>
            </w:pPr>
          </w:p>
        </w:tc>
      </w:tr>
      <w:tr w14:paraId="72E7E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6D98D1F9">
            <w:pPr>
              <w:jc w:val="center"/>
              <w:rPr>
                <w:rFonts w:ascii="宋体" w:hAnsi="宋体"/>
                <w:color w:val="auto"/>
                <w:szCs w:val="24"/>
                <w:highlight w:val="none"/>
              </w:rPr>
            </w:pPr>
            <w:r>
              <w:rPr>
                <w:rFonts w:hint="eastAsia" w:ascii="宋体" w:hAnsi="宋体"/>
                <w:color w:val="auto"/>
                <w:highlight w:val="none"/>
              </w:rPr>
              <w:t>投标人</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4EE6A4FC">
            <w:pPr>
              <w:jc w:val="center"/>
              <w:rPr>
                <w:rFonts w:ascii="宋体" w:hAnsi="宋体"/>
                <w:color w:val="auto"/>
                <w:szCs w:val="24"/>
                <w:highlight w:val="none"/>
              </w:rPr>
            </w:pPr>
          </w:p>
        </w:tc>
      </w:tr>
      <w:tr w14:paraId="2E1D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389CB379">
            <w:pPr>
              <w:jc w:val="center"/>
              <w:rPr>
                <w:rFonts w:ascii="宋体" w:hAnsi="宋体"/>
                <w:color w:val="auto"/>
                <w:szCs w:val="24"/>
                <w:highlight w:val="none"/>
              </w:rPr>
            </w:pPr>
            <w:r>
              <w:rPr>
                <w:rFonts w:hint="eastAsia" w:ascii="宋体" w:hAnsi="宋体"/>
                <w:color w:val="auto"/>
                <w:highlight w:val="none"/>
              </w:rPr>
              <w:t>投标文件递交时间</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4A06E08A">
            <w:pPr>
              <w:rPr>
                <w:rFonts w:ascii="宋体" w:hAnsi="宋体"/>
                <w:color w:val="auto"/>
                <w:szCs w:val="24"/>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r>
              <w:rPr>
                <w:rFonts w:hint="eastAsia" w:ascii="宋体" w:hAnsi="宋体"/>
                <w:color w:val="auto"/>
                <w:highlight w:val="none"/>
                <w:u w:val="single"/>
              </w:rPr>
              <w:t xml:space="preserve">    </w:t>
            </w:r>
            <w:r>
              <w:rPr>
                <w:rFonts w:hint="eastAsia" w:ascii="宋体" w:hAnsi="宋体"/>
                <w:color w:val="auto"/>
                <w:highlight w:val="none"/>
              </w:rPr>
              <w:t>时</w:t>
            </w:r>
            <w:r>
              <w:rPr>
                <w:rFonts w:hint="eastAsia" w:ascii="宋体" w:hAnsi="宋体"/>
                <w:color w:val="auto"/>
                <w:highlight w:val="none"/>
                <w:u w:val="single"/>
              </w:rPr>
              <w:t xml:space="preserve">    </w:t>
            </w:r>
            <w:r>
              <w:rPr>
                <w:rFonts w:hint="eastAsia" w:ascii="宋体" w:hAnsi="宋体"/>
                <w:color w:val="auto"/>
                <w:highlight w:val="none"/>
              </w:rPr>
              <w:t>分</w:t>
            </w:r>
          </w:p>
        </w:tc>
      </w:tr>
      <w:tr w14:paraId="79825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2B9F0114">
            <w:pPr>
              <w:jc w:val="center"/>
              <w:rPr>
                <w:rFonts w:ascii="宋体" w:hAnsi="宋体"/>
                <w:color w:val="auto"/>
                <w:szCs w:val="24"/>
                <w:highlight w:val="none"/>
              </w:rPr>
            </w:pPr>
            <w:r>
              <w:rPr>
                <w:rFonts w:hint="eastAsia" w:ascii="宋体" w:hAnsi="宋体"/>
                <w:color w:val="auto"/>
                <w:highlight w:val="none"/>
              </w:rPr>
              <w:t>投标文件是否加密</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6587D20C">
            <w:pPr>
              <w:jc w:val="center"/>
              <w:rPr>
                <w:rFonts w:ascii="宋体" w:hAnsi="宋体"/>
                <w:color w:val="auto"/>
                <w:szCs w:val="24"/>
                <w:highlight w:val="none"/>
              </w:rPr>
            </w:pPr>
          </w:p>
        </w:tc>
      </w:tr>
    </w:tbl>
    <w:p w14:paraId="7DA1AB5E">
      <w:pPr>
        <w:spacing w:before="93" w:beforeLines="30"/>
        <w:jc w:val="right"/>
        <w:rPr>
          <w:rFonts w:hint="eastAsia" w:ascii="宋体" w:hAnsi="宋体" w:cs="宋体"/>
          <w:color w:val="auto"/>
          <w:kern w:val="0"/>
          <w:szCs w:val="21"/>
          <w:highlight w:val="none"/>
        </w:rPr>
      </w:pPr>
    </w:p>
    <w:p w14:paraId="320F28A7">
      <w:pPr>
        <w:spacing w:before="93" w:beforeLines="30"/>
        <w:ind w:firstLine="4305" w:firstLineChars="2050"/>
        <w:rPr>
          <w:rFonts w:hint="eastAsia" w:ascii="宋体" w:hAnsi="宋体" w:cs="宋体"/>
          <w:color w:val="auto"/>
          <w:kern w:val="0"/>
          <w:szCs w:val="21"/>
          <w:highlight w:val="none"/>
        </w:rPr>
      </w:pPr>
    </w:p>
    <w:p w14:paraId="03C2B210">
      <w:pPr>
        <w:spacing w:before="93" w:beforeLines="30"/>
        <w:ind w:firstLine="4305" w:firstLineChars="2050"/>
        <w:rPr>
          <w:rFonts w:hint="eastAsia" w:ascii="宋体" w:hAnsi="宋体"/>
          <w:color w:val="auto"/>
          <w:szCs w:val="24"/>
          <w:highlight w:val="none"/>
        </w:rPr>
      </w:pPr>
    </w:p>
    <w:p w14:paraId="6F03053E">
      <w:pPr>
        <w:spacing w:line="400" w:lineRule="exact"/>
        <w:rPr>
          <w:rFonts w:hint="eastAsia" w:ascii="宋体" w:hAnsi="宋体"/>
          <w:color w:val="auto"/>
          <w:highlight w:val="none"/>
        </w:rPr>
      </w:pPr>
    </w:p>
    <w:p w14:paraId="190975C8">
      <w:pPr>
        <w:spacing w:line="400" w:lineRule="exact"/>
        <w:rPr>
          <w:rFonts w:hint="eastAsia" w:ascii="Times New Roman" w:hAnsi="Times New Roman"/>
          <w:color w:val="auto"/>
          <w:sz w:val="24"/>
          <w:highlight w:val="none"/>
        </w:rPr>
      </w:pPr>
    </w:p>
    <w:p w14:paraId="475B9183">
      <w:pPr>
        <w:widowControl/>
        <w:spacing w:line="415" w:lineRule="auto"/>
        <w:jc w:val="left"/>
        <w:rPr>
          <w:rFonts w:ascii="Arial" w:hAnsi="Arial" w:eastAsia="黑体"/>
          <w:bCs/>
          <w:color w:val="auto"/>
          <w:sz w:val="24"/>
          <w:highlight w:val="none"/>
        </w:rPr>
        <w:sectPr>
          <w:footerReference r:id="rId3" w:type="default"/>
          <w:pgSz w:w="11906" w:h="16838"/>
          <w:pgMar w:top="1440" w:right="1808" w:bottom="1440" w:left="1808" w:header="851" w:footer="992" w:gutter="0"/>
          <w:pgNumType w:fmt="decimal" w:start="1"/>
          <w:cols w:space="720" w:num="1"/>
          <w:docGrid w:type="lines" w:linePitch="312" w:charSpace="0"/>
        </w:sectPr>
      </w:pPr>
    </w:p>
    <w:p w14:paraId="2EF2F317">
      <w:pPr>
        <w:pStyle w:val="3"/>
        <w:rPr>
          <w:b w:val="0"/>
          <w:color w:val="auto"/>
          <w:sz w:val="24"/>
          <w:szCs w:val="24"/>
          <w:highlight w:val="none"/>
        </w:rPr>
      </w:pPr>
      <w:bookmarkStart w:id="560" w:name="_Toc28531753"/>
      <w:bookmarkStart w:id="561" w:name="_Toc4222"/>
      <w:r>
        <w:rPr>
          <w:rFonts w:hint="eastAsia"/>
          <w:b w:val="0"/>
          <w:color w:val="auto"/>
          <w:sz w:val="24"/>
          <w:szCs w:val="24"/>
          <w:highlight w:val="none"/>
        </w:rPr>
        <w:t>附表五：开标记录表</w:t>
      </w:r>
      <w:bookmarkEnd w:id="560"/>
      <w:bookmarkEnd w:id="561"/>
    </w:p>
    <w:p w14:paraId="7FC65DE3">
      <w:pPr>
        <w:spacing w:before="240" w:beforeLines="100" w:after="240" w:afterLines="100" w:line="400" w:lineRule="exact"/>
        <w:ind w:firstLine="3465" w:firstLineChars="1650"/>
        <w:rPr>
          <w:rFonts w:ascii="黑体" w:eastAsia="黑体"/>
          <w:color w:val="auto"/>
          <w:sz w:val="28"/>
          <w:szCs w:val="28"/>
          <w:highlight w:val="none"/>
        </w:rPr>
      </w:pPr>
      <w:r>
        <w:rPr>
          <w:color w:val="auto"/>
          <w:highlight w:val="none"/>
          <w:u w:val="single"/>
        </w:rPr>
        <w:t xml:space="preserve">             </w:t>
      </w:r>
      <w:r>
        <w:rPr>
          <w:rFonts w:hint="eastAsia" w:ascii="黑体" w:eastAsia="黑体"/>
          <w:color w:val="auto"/>
          <w:sz w:val="28"/>
          <w:szCs w:val="28"/>
          <w:highlight w:val="none"/>
        </w:rPr>
        <w:t>（项目名称）</w:t>
      </w: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（标段名称）施工开标记录表</w:t>
      </w:r>
    </w:p>
    <w:p w14:paraId="4AAD29C3">
      <w:pPr>
        <w:spacing w:line="400" w:lineRule="exact"/>
        <w:ind w:firstLine="105" w:firstLineChars="50"/>
        <w:rPr>
          <w:rFonts w:hint="eastAsia" w:ascii="宋体" w:hAnsi="宋体"/>
          <w:color w:val="auto"/>
          <w:szCs w:val="24"/>
          <w:highlight w:val="none"/>
        </w:rPr>
      </w:pPr>
      <w:r>
        <w:rPr>
          <w:rFonts w:hint="eastAsia" w:ascii="宋体" w:hAnsi="宋体"/>
          <w:color w:val="auto"/>
          <w:highlight w:val="none"/>
        </w:rPr>
        <w:t>开标时间：</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r>
        <w:rPr>
          <w:rFonts w:hint="eastAsia" w:ascii="宋体" w:hAnsi="宋体"/>
          <w:color w:val="auto"/>
          <w:highlight w:val="none"/>
          <w:u w:val="single"/>
        </w:rPr>
        <w:t xml:space="preserve">    </w:t>
      </w:r>
      <w:r>
        <w:rPr>
          <w:rFonts w:hint="eastAsia" w:ascii="宋体" w:hAnsi="宋体"/>
          <w:color w:val="auto"/>
          <w:highlight w:val="none"/>
        </w:rPr>
        <w:t>时</w:t>
      </w:r>
      <w:r>
        <w:rPr>
          <w:rFonts w:hint="eastAsia" w:ascii="宋体" w:hAnsi="宋体"/>
          <w:color w:val="auto"/>
          <w:highlight w:val="none"/>
          <w:u w:val="single"/>
        </w:rPr>
        <w:t xml:space="preserve">    </w:t>
      </w:r>
      <w:r>
        <w:rPr>
          <w:rFonts w:hint="eastAsia" w:ascii="宋体" w:hAnsi="宋体"/>
          <w:color w:val="auto"/>
          <w:highlight w:val="none"/>
        </w:rPr>
        <w:t>分                                          开标地点：</w:t>
      </w:r>
      <w:r>
        <w:rPr>
          <w:rFonts w:hint="eastAsia" w:ascii="宋体" w:hAnsi="宋体"/>
          <w:color w:val="auto"/>
          <w:highlight w:val="none"/>
          <w:u w:val="single"/>
        </w:rPr>
        <w:t xml:space="preserve">                                </w:t>
      </w:r>
    </w:p>
    <w:tbl>
      <w:tblPr>
        <w:tblStyle w:val="15"/>
        <w:tblW w:w="142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482"/>
        <w:gridCol w:w="850"/>
        <w:gridCol w:w="1418"/>
        <w:gridCol w:w="1134"/>
        <w:gridCol w:w="1134"/>
        <w:gridCol w:w="850"/>
        <w:gridCol w:w="1985"/>
        <w:gridCol w:w="1417"/>
        <w:gridCol w:w="851"/>
        <w:gridCol w:w="1417"/>
      </w:tblGrid>
      <w:tr w14:paraId="1C85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6"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6788FA5">
            <w:pPr>
              <w:jc w:val="center"/>
              <w:rPr>
                <w:rFonts w:ascii="宋体" w:hAnsi="宋体"/>
                <w:color w:val="auto"/>
                <w:szCs w:val="24"/>
                <w:highlight w:val="none"/>
              </w:rPr>
            </w:pPr>
            <w:r>
              <w:rPr>
                <w:rFonts w:hint="eastAsia" w:ascii="宋体" w:hAnsi="宋体"/>
                <w:color w:val="auto"/>
                <w:highlight w:val="none"/>
              </w:rPr>
              <w:t>序号</w:t>
            </w:r>
          </w:p>
        </w:tc>
        <w:tc>
          <w:tcPr>
            <w:tcW w:w="2481"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097ADC1">
            <w:pPr>
              <w:jc w:val="center"/>
              <w:rPr>
                <w:rFonts w:ascii="宋体" w:hAnsi="宋体"/>
                <w:color w:val="auto"/>
                <w:szCs w:val="24"/>
                <w:highlight w:val="none"/>
              </w:rPr>
            </w:pPr>
            <w:r>
              <w:rPr>
                <w:rFonts w:hint="eastAsia" w:ascii="宋体" w:hAnsi="宋体"/>
                <w:color w:val="auto"/>
                <w:highlight w:val="none"/>
              </w:rPr>
              <w:t>投标人名称</w:t>
            </w:r>
          </w:p>
        </w:tc>
        <w:tc>
          <w:tcPr>
            <w:tcW w:w="850"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6F633B">
            <w:pPr>
              <w:jc w:val="center"/>
              <w:rPr>
                <w:rFonts w:ascii="宋体" w:hAnsi="宋体"/>
                <w:color w:val="auto"/>
                <w:szCs w:val="24"/>
                <w:highlight w:val="none"/>
              </w:rPr>
            </w:pPr>
            <w:r>
              <w:rPr>
                <w:rFonts w:hint="eastAsia" w:ascii="宋体" w:hAnsi="宋体"/>
                <w:color w:val="auto"/>
                <w:highlight w:val="none"/>
              </w:rPr>
              <w:t>投标</w:t>
            </w:r>
          </w:p>
          <w:p w14:paraId="413C960D">
            <w:pPr>
              <w:jc w:val="center"/>
              <w:rPr>
                <w:rFonts w:ascii="宋体" w:hAnsi="宋体"/>
                <w:color w:val="auto"/>
                <w:szCs w:val="24"/>
                <w:highlight w:val="none"/>
              </w:rPr>
            </w:pPr>
            <w:r>
              <w:rPr>
                <w:rFonts w:hint="eastAsia" w:ascii="宋体" w:hAnsi="宋体"/>
                <w:color w:val="auto"/>
                <w:highlight w:val="none"/>
              </w:rPr>
              <w:t>保证金</w:t>
            </w:r>
          </w:p>
        </w:tc>
        <w:tc>
          <w:tcPr>
            <w:tcW w:w="1418"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7775B87">
            <w:pPr>
              <w:jc w:val="center"/>
              <w:rPr>
                <w:rFonts w:ascii="宋体" w:hAnsi="宋体"/>
                <w:color w:val="auto"/>
                <w:szCs w:val="24"/>
                <w:highlight w:val="none"/>
              </w:rPr>
            </w:pPr>
            <w:r>
              <w:rPr>
                <w:rFonts w:hint="eastAsia" w:ascii="宋体" w:hAnsi="宋体"/>
                <w:color w:val="auto"/>
                <w:highlight w:val="none"/>
              </w:rPr>
              <w:t>投标报价（元）</w:t>
            </w:r>
          </w:p>
        </w:tc>
        <w:tc>
          <w:tcPr>
            <w:tcW w:w="113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9825944">
            <w:pPr>
              <w:jc w:val="center"/>
              <w:rPr>
                <w:rFonts w:ascii="宋体" w:hAnsi="宋体"/>
                <w:color w:val="auto"/>
                <w:szCs w:val="24"/>
                <w:highlight w:val="none"/>
              </w:rPr>
            </w:pPr>
            <w:r>
              <w:rPr>
                <w:rFonts w:hint="eastAsia" w:ascii="宋体" w:hAnsi="宋体"/>
                <w:color w:val="auto"/>
                <w:highlight w:val="none"/>
              </w:rPr>
              <w:t>工期</w:t>
            </w:r>
          </w:p>
          <w:p w14:paraId="5D807C8C">
            <w:pPr>
              <w:jc w:val="center"/>
              <w:rPr>
                <w:rFonts w:ascii="宋体" w:hAnsi="宋体"/>
                <w:color w:val="auto"/>
                <w:szCs w:val="24"/>
                <w:highlight w:val="none"/>
              </w:rPr>
            </w:pPr>
            <w:r>
              <w:rPr>
                <w:rFonts w:hint="eastAsia" w:ascii="宋体" w:hAnsi="宋体"/>
                <w:color w:val="auto"/>
                <w:highlight w:val="none"/>
              </w:rPr>
              <w:t>（日历天）</w:t>
            </w:r>
          </w:p>
        </w:tc>
        <w:tc>
          <w:tcPr>
            <w:tcW w:w="113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E33447">
            <w:pPr>
              <w:jc w:val="center"/>
              <w:rPr>
                <w:rFonts w:ascii="宋体" w:hAnsi="宋体"/>
                <w:color w:val="auto"/>
                <w:szCs w:val="24"/>
                <w:highlight w:val="none"/>
              </w:rPr>
            </w:pPr>
            <w:r>
              <w:rPr>
                <w:rFonts w:hint="eastAsia" w:ascii="宋体" w:hAnsi="宋体"/>
                <w:color w:val="auto"/>
                <w:highlight w:val="none"/>
              </w:rPr>
              <w:t>质量目标</w:t>
            </w:r>
          </w:p>
        </w:tc>
        <w:tc>
          <w:tcPr>
            <w:tcW w:w="4252" w:type="dxa"/>
            <w:gridSpan w:val="3"/>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8E79AF">
            <w:pPr>
              <w:jc w:val="center"/>
              <w:rPr>
                <w:rFonts w:ascii="宋体" w:hAnsi="宋体"/>
                <w:color w:val="auto"/>
                <w:szCs w:val="24"/>
                <w:highlight w:val="none"/>
              </w:rPr>
            </w:pPr>
            <w:r>
              <w:rPr>
                <w:rFonts w:hint="eastAsia" w:ascii="宋体" w:hAnsi="宋体"/>
                <w:color w:val="auto"/>
                <w:highlight w:val="none"/>
              </w:rPr>
              <w:t>项目经理</w:t>
            </w:r>
          </w:p>
        </w:tc>
        <w:tc>
          <w:tcPr>
            <w:tcW w:w="851"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3A5D82D">
            <w:pPr>
              <w:jc w:val="center"/>
              <w:rPr>
                <w:rFonts w:ascii="宋体" w:hAnsi="宋体"/>
                <w:color w:val="auto"/>
                <w:szCs w:val="24"/>
                <w:highlight w:val="none"/>
              </w:rPr>
            </w:pPr>
            <w:r>
              <w:rPr>
                <w:rFonts w:hint="eastAsia" w:ascii="宋体" w:hAnsi="宋体"/>
                <w:color w:val="auto"/>
                <w:highlight w:val="none"/>
              </w:rPr>
              <w:t>投标人</w:t>
            </w:r>
          </w:p>
          <w:p w14:paraId="34D29F2E">
            <w:pPr>
              <w:jc w:val="center"/>
              <w:rPr>
                <w:rFonts w:ascii="宋体" w:hAnsi="宋体"/>
                <w:color w:val="auto"/>
                <w:szCs w:val="24"/>
                <w:highlight w:val="none"/>
              </w:rPr>
            </w:pPr>
            <w:r>
              <w:rPr>
                <w:rFonts w:hint="eastAsia" w:ascii="宋体" w:hAnsi="宋体"/>
                <w:color w:val="auto"/>
                <w:highlight w:val="none"/>
              </w:rPr>
              <w:t>代表</w:t>
            </w:r>
          </w:p>
        </w:tc>
        <w:tc>
          <w:tcPr>
            <w:tcW w:w="1417" w:type="dxa"/>
            <w:vMerge w:val="restart"/>
            <w:tcBorders>
              <w:top w:val="single" w:color="auto" w:sz="4" w:space="0"/>
              <w:left w:val="single" w:color="auto" w:sz="4" w:space="0"/>
              <w:bottom w:val="single" w:color="auto" w:sz="4" w:space="0"/>
              <w:right w:val="single" w:color="auto" w:sz="4" w:space="0"/>
            </w:tcBorders>
            <w:noWrap w:val="0"/>
            <w:vAlign w:val="center"/>
          </w:tcPr>
          <w:p w14:paraId="000E3384">
            <w:pPr>
              <w:jc w:val="center"/>
              <w:rPr>
                <w:rFonts w:ascii="宋体" w:hAnsi="宋体"/>
                <w:color w:val="auto"/>
                <w:szCs w:val="24"/>
                <w:highlight w:val="none"/>
              </w:rPr>
            </w:pPr>
            <w:r>
              <w:rPr>
                <w:rFonts w:hint="eastAsia" w:ascii="宋体" w:hAnsi="宋体"/>
                <w:color w:val="auto"/>
                <w:highlight w:val="none"/>
              </w:rPr>
              <w:t>联系电话</w:t>
            </w:r>
          </w:p>
        </w:tc>
      </w:tr>
      <w:tr w14:paraId="268B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47" w:type="dxa"/>
            <w:vMerge w:val="continue"/>
            <w:tcBorders>
              <w:top w:val="single" w:color="auto" w:sz="4" w:space="0"/>
              <w:left w:val="single" w:color="auto" w:sz="4" w:space="0"/>
              <w:bottom w:val="single" w:color="auto" w:sz="4" w:space="0"/>
              <w:right w:val="single" w:color="auto" w:sz="4" w:space="0"/>
            </w:tcBorders>
            <w:noWrap w:val="0"/>
            <w:vAlign w:val="center"/>
          </w:tcPr>
          <w:p w14:paraId="5A9401E5">
            <w:pPr>
              <w:widowControl/>
              <w:jc w:val="left"/>
              <w:rPr>
                <w:rFonts w:ascii="宋体" w:hAnsi="宋体"/>
                <w:color w:val="auto"/>
                <w:szCs w:val="24"/>
                <w:highlight w:val="none"/>
              </w:rPr>
            </w:pPr>
          </w:p>
        </w:tc>
        <w:tc>
          <w:tcPr>
            <w:tcW w:w="2481" w:type="dxa"/>
            <w:vMerge w:val="continue"/>
            <w:tcBorders>
              <w:top w:val="single" w:color="auto" w:sz="4" w:space="0"/>
              <w:left w:val="single" w:color="auto" w:sz="4" w:space="0"/>
              <w:bottom w:val="single" w:color="auto" w:sz="4" w:space="0"/>
              <w:right w:val="single" w:color="auto" w:sz="4" w:space="0"/>
            </w:tcBorders>
            <w:noWrap w:val="0"/>
            <w:vAlign w:val="center"/>
          </w:tcPr>
          <w:p w14:paraId="39BE9AE3">
            <w:pPr>
              <w:widowControl/>
              <w:jc w:val="left"/>
              <w:rPr>
                <w:rFonts w:ascii="宋体" w:hAnsi="宋体"/>
                <w:color w:val="auto"/>
                <w:szCs w:val="24"/>
                <w:highlight w:val="none"/>
              </w:rPr>
            </w:pPr>
          </w:p>
        </w:tc>
        <w:tc>
          <w:tcPr>
            <w:tcW w:w="11056" w:type="dxa"/>
            <w:vMerge w:val="continue"/>
            <w:tcBorders>
              <w:top w:val="single" w:color="auto" w:sz="4" w:space="0"/>
              <w:left w:val="single" w:color="auto" w:sz="4" w:space="0"/>
              <w:bottom w:val="single" w:color="auto" w:sz="4" w:space="0"/>
              <w:right w:val="single" w:color="auto" w:sz="4" w:space="0"/>
            </w:tcBorders>
            <w:noWrap w:val="0"/>
            <w:vAlign w:val="center"/>
          </w:tcPr>
          <w:p w14:paraId="16129EFC">
            <w:pPr>
              <w:widowControl/>
              <w:jc w:val="left"/>
              <w:rPr>
                <w:rFonts w:ascii="宋体" w:hAnsi="宋体"/>
                <w:color w:val="auto"/>
                <w:szCs w:val="24"/>
                <w:highlight w:val="none"/>
              </w:rPr>
            </w:pPr>
          </w:p>
        </w:tc>
        <w:tc>
          <w:tcPr>
            <w:tcW w:w="1418" w:type="dxa"/>
            <w:vMerge w:val="continue"/>
            <w:tcBorders>
              <w:top w:val="single" w:color="auto" w:sz="4" w:space="0"/>
              <w:left w:val="single" w:color="auto" w:sz="4" w:space="0"/>
              <w:bottom w:val="single" w:color="auto" w:sz="4" w:space="0"/>
              <w:right w:val="single" w:color="auto" w:sz="4" w:space="0"/>
            </w:tcBorders>
            <w:noWrap w:val="0"/>
            <w:vAlign w:val="center"/>
          </w:tcPr>
          <w:p w14:paraId="5B329A52">
            <w:pPr>
              <w:widowControl/>
              <w:jc w:val="left"/>
              <w:rPr>
                <w:rFonts w:ascii="宋体" w:hAnsi="宋体"/>
                <w:color w:val="auto"/>
                <w:szCs w:val="24"/>
                <w:highlight w:val="none"/>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6BD034EA">
            <w:pPr>
              <w:widowControl/>
              <w:jc w:val="left"/>
              <w:rPr>
                <w:rFonts w:ascii="宋体" w:hAnsi="宋体"/>
                <w:color w:val="auto"/>
                <w:szCs w:val="24"/>
                <w:highlight w:val="none"/>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01C6D551">
            <w:pPr>
              <w:widowControl/>
              <w:jc w:val="left"/>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1C9279">
            <w:pPr>
              <w:jc w:val="center"/>
              <w:rPr>
                <w:rFonts w:ascii="宋体" w:hAnsi="宋体"/>
                <w:color w:val="auto"/>
                <w:szCs w:val="24"/>
                <w:highlight w:val="none"/>
              </w:rPr>
            </w:pPr>
            <w:r>
              <w:rPr>
                <w:rFonts w:hint="eastAsia" w:ascii="宋体" w:hAnsi="宋体"/>
                <w:color w:val="auto"/>
                <w:highlight w:val="none"/>
              </w:rPr>
              <w:t>姓名</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AE8FE60">
            <w:pPr>
              <w:jc w:val="center"/>
              <w:rPr>
                <w:rFonts w:ascii="宋体" w:hAnsi="宋体"/>
                <w:color w:val="auto"/>
                <w:szCs w:val="24"/>
                <w:highlight w:val="none"/>
              </w:rPr>
            </w:pPr>
            <w:r>
              <w:rPr>
                <w:rFonts w:hint="eastAsia" w:ascii="宋体" w:hAnsi="宋体"/>
                <w:color w:val="auto"/>
                <w:highlight w:val="none"/>
              </w:rPr>
              <w:t>证书名称</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9903EDB">
            <w:pPr>
              <w:jc w:val="center"/>
              <w:rPr>
                <w:rFonts w:ascii="宋体" w:hAnsi="宋体"/>
                <w:color w:val="auto"/>
                <w:szCs w:val="24"/>
                <w:highlight w:val="none"/>
              </w:rPr>
            </w:pPr>
            <w:r>
              <w:rPr>
                <w:rFonts w:hint="eastAsia" w:ascii="宋体" w:hAnsi="宋体"/>
                <w:color w:val="auto"/>
                <w:highlight w:val="none"/>
              </w:rPr>
              <w:t>证书编号</w:t>
            </w:r>
          </w:p>
        </w:tc>
        <w:tc>
          <w:tcPr>
            <w:tcW w:w="851" w:type="dxa"/>
            <w:vMerge w:val="continue"/>
            <w:tcBorders>
              <w:top w:val="single" w:color="auto" w:sz="4" w:space="0"/>
              <w:left w:val="single" w:color="auto" w:sz="4" w:space="0"/>
              <w:bottom w:val="single" w:color="auto" w:sz="4" w:space="0"/>
              <w:right w:val="single" w:color="auto" w:sz="4" w:space="0"/>
            </w:tcBorders>
            <w:noWrap w:val="0"/>
            <w:vAlign w:val="center"/>
          </w:tcPr>
          <w:p w14:paraId="177CE840">
            <w:pPr>
              <w:widowControl/>
              <w:jc w:val="left"/>
              <w:rPr>
                <w:rFonts w:ascii="宋体" w:hAnsi="宋体"/>
                <w:color w:val="auto"/>
                <w:szCs w:val="24"/>
                <w:highlight w:val="none"/>
              </w:rPr>
            </w:pPr>
          </w:p>
        </w:tc>
        <w:tc>
          <w:tcPr>
            <w:tcW w:w="1417" w:type="dxa"/>
            <w:vMerge w:val="continue"/>
            <w:tcBorders>
              <w:top w:val="single" w:color="auto" w:sz="4" w:space="0"/>
              <w:left w:val="single" w:color="auto" w:sz="4" w:space="0"/>
              <w:bottom w:val="single" w:color="auto" w:sz="4" w:space="0"/>
              <w:right w:val="single" w:color="auto" w:sz="4" w:space="0"/>
            </w:tcBorders>
            <w:noWrap w:val="0"/>
            <w:vAlign w:val="center"/>
          </w:tcPr>
          <w:p w14:paraId="3590DE94">
            <w:pPr>
              <w:widowControl/>
              <w:jc w:val="left"/>
              <w:rPr>
                <w:rFonts w:ascii="宋体" w:hAnsi="宋体"/>
                <w:color w:val="auto"/>
                <w:szCs w:val="24"/>
                <w:highlight w:val="none"/>
              </w:rPr>
            </w:pPr>
          </w:p>
        </w:tc>
      </w:tr>
      <w:tr w14:paraId="3DA2E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012D101">
            <w:pPr>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48FD783">
            <w:pPr>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70EFFDB">
            <w:pPr>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B29FD55">
            <w:pPr>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261333F">
            <w:pPr>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1F5317">
            <w:pPr>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B3BC46">
            <w:pPr>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5BD7B70">
            <w:pPr>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354DC4F">
            <w:pPr>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4456D59">
            <w:pPr>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AF68B4B">
            <w:pPr>
              <w:jc w:val="center"/>
              <w:rPr>
                <w:rFonts w:ascii="宋体" w:hAnsi="宋体"/>
                <w:color w:val="auto"/>
                <w:szCs w:val="24"/>
                <w:highlight w:val="none"/>
              </w:rPr>
            </w:pPr>
          </w:p>
        </w:tc>
      </w:tr>
      <w:tr w14:paraId="1A0E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0D1D5F">
            <w:pPr>
              <w:spacing w:line="400" w:lineRule="exact"/>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FFAEF31">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2B5BA5A">
            <w:pPr>
              <w:spacing w:line="400" w:lineRule="exact"/>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71C9307">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D5A11CE">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BEE2449">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ED2AB88">
            <w:pPr>
              <w:spacing w:line="400" w:lineRule="exact"/>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3789722">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E62035F">
            <w:pPr>
              <w:spacing w:line="400" w:lineRule="exact"/>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9C2F2EF">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0D1388C">
            <w:pPr>
              <w:spacing w:line="400" w:lineRule="exact"/>
              <w:jc w:val="center"/>
              <w:rPr>
                <w:rFonts w:ascii="宋体" w:hAnsi="宋体"/>
                <w:color w:val="auto"/>
                <w:szCs w:val="24"/>
                <w:highlight w:val="none"/>
              </w:rPr>
            </w:pPr>
          </w:p>
        </w:tc>
      </w:tr>
      <w:tr w14:paraId="4CFE0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821685">
            <w:pPr>
              <w:spacing w:line="400" w:lineRule="exact"/>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0C96FF">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F59C773">
            <w:pPr>
              <w:spacing w:line="400" w:lineRule="exact"/>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C8E0C3">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3684173">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8D25A5C">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F04918E">
            <w:pPr>
              <w:spacing w:line="400" w:lineRule="exact"/>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074BC1A">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4B0F54B">
            <w:pPr>
              <w:spacing w:line="400" w:lineRule="exact"/>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AF494E2">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2D694E1">
            <w:pPr>
              <w:spacing w:line="400" w:lineRule="exact"/>
              <w:jc w:val="center"/>
              <w:rPr>
                <w:rFonts w:ascii="宋体" w:hAnsi="宋体"/>
                <w:color w:val="auto"/>
                <w:szCs w:val="24"/>
                <w:highlight w:val="none"/>
              </w:rPr>
            </w:pPr>
          </w:p>
        </w:tc>
      </w:tr>
      <w:tr w14:paraId="0FF5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ABD336">
            <w:pPr>
              <w:spacing w:line="400" w:lineRule="exact"/>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9D5A86D">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0AE4CF9">
            <w:pPr>
              <w:spacing w:line="400" w:lineRule="exact"/>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DF7679">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751A486">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6D85619">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D9FEC8D">
            <w:pPr>
              <w:spacing w:line="400" w:lineRule="exact"/>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6BB87CB3">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3BABBB5">
            <w:pPr>
              <w:spacing w:line="400" w:lineRule="exact"/>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B272D5C">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EE890DE">
            <w:pPr>
              <w:spacing w:line="400" w:lineRule="exact"/>
              <w:jc w:val="center"/>
              <w:rPr>
                <w:rFonts w:ascii="宋体" w:hAnsi="宋体"/>
                <w:color w:val="auto"/>
                <w:szCs w:val="24"/>
                <w:highlight w:val="none"/>
              </w:rPr>
            </w:pPr>
          </w:p>
        </w:tc>
      </w:tr>
      <w:tr w14:paraId="1A94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CA97F3C">
            <w:pPr>
              <w:spacing w:line="400" w:lineRule="exact"/>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C2C1DD">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7343288">
            <w:pPr>
              <w:spacing w:line="400" w:lineRule="exact"/>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B308BBF">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D46003">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C156DC">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F6B67E2">
            <w:pPr>
              <w:spacing w:line="400" w:lineRule="exact"/>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25C953A">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297425A3">
            <w:pPr>
              <w:spacing w:line="400" w:lineRule="exact"/>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676D4F">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2E6DB356">
            <w:pPr>
              <w:spacing w:line="400" w:lineRule="exact"/>
              <w:jc w:val="center"/>
              <w:rPr>
                <w:rFonts w:ascii="宋体" w:hAnsi="宋体"/>
                <w:color w:val="auto"/>
                <w:szCs w:val="24"/>
                <w:highlight w:val="none"/>
              </w:rPr>
            </w:pPr>
          </w:p>
        </w:tc>
      </w:tr>
      <w:tr w14:paraId="79235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80361D4">
            <w:pPr>
              <w:spacing w:line="400" w:lineRule="exact"/>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067861">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5595DA5">
            <w:pPr>
              <w:spacing w:line="400" w:lineRule="exact"/>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4888E3A">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F6ED5FB">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D5DB73F">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A1B5E2A">
            <w:pPr>
              <w:spacing w:line="400" w:lineRule="exact"/>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DED90D2">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2D63188">
            <w:pPr>
              <w:spacing w:line="400" w:lineRule="exact"/>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12EC366">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C16884B">
            <w:pPr>
              <w:spacing w:line="400" w:lineRule="exact"/>
              <w:jc w:val="center"/>
              <w:rPr>
                <w:rFonts w:ascii="宋体" w:hAnsi="宋体"/>
                <w:color w:val="auto"/>
                <w:szCs w:val="24"/>
                <w:highlight w:val="none"/>
              </w:rPr>
            </w:pPr>
          </w:p>
        </w:tc>
      </w:tr>
      <w:tr w14:paraId="6B9A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707137D">
            <w:pPr>
              <w:spacing w:line="400" w:lineRule="exact"/>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6FE7D7C">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65FBA74">
            <w:pPr>
              <w:spacing w:line="400" w:lineRule="exact"/>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822A051">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BD39342">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FF259">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90171AD">
            <w:pPr>
              <w:spacing w:line="400" w:lineRule="exact"/>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868DD8B">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A87C36E">
            <w:pPr>
              <w:spacing w:line="400" w:lineRule="exact"/>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E57D0F">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A262DBD">
            <w:pPr>
              <w:spacing w:line="400" w:lineRule="exact"/>
              <w:jc w:val="center"/>
              <w:rPr>
                <w:rFonts w:ascii="宋体" w:hAnsi="宋体"/>
                <w:color w:val="auto"/>
                <w:szCs w:val="24"/>
                <w:highlight w:val="none"/>
              </w:rPr>
            </w:pPr>
          </w:p>
        </w:tc>
      </w:tr>
      <w:tr w14:paraId="2E56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4DC01EA">
            <w:pPr>
              <w:spacing w:line="400" w:lineRule="exact"/>
              <w:jc w:val="center"/>
              <w:rPr>
                <w:rFonts w:ascii="宋体" w:hAnsi="宋体"/>
                <w:color w:val="auto"/>
                <w:szCs w:val="24"/>
                <w:highlight w:val="none"/>
              </w:rPr>
            </w:pPr>
          </w:p>
        </w:tc>
        <w:tc>
          <w:tcPr>
            <w:tcW w:w="248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25396F">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A5A116">
            <w:pPr>
              <w:spacing w:line="400" w:lineRule="exact"/>
              <w:jc w:val="center"/>
              <w:rPr>
                <w:rFonts w:ascii="宋体" w:hAnsi="宋体"/>
                <w:color w:val="auto"/>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00D03C0">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2EA35F3">
            <w:pPr>
              <w:spacing w:line="400" w:lineRule="exact"/>
              <w:jc w:val="center"/>
              <w:rPr>
                <w:rFonts w:ascii="宋体" w:hAnsi="宋体"/>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0B8558">
            <w:pPr>
              <w:spacing w:line="400" w:lineRule="exact"/>
              <w:jc w:val="center"/>
              <w:rPr>
                <w:rFonts w:ascii="宋体" w:hAnsi="宋体"/>
                <w:color w:val="auto"/>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C0DFC64">
            <w:pPr>
              <w:spacing w:line="400" w:lineRule="exact"/>
              <w:jc w:val="center"/>
              <w:rPr>
                <w:rFonts w:ascii="宋体" w:hAnsi="宋体"/>
                <w:color w:val="auto"/>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AC8FC5E">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140C1EE">
            <w:pPr>
              <w:spacing w:line="400" w:lineRule="exact"/>
              <w:jc w:val="center"/>
              <w:rPr>
                <w:rFonts w:ascii="宋体" w:hAnsi="宋体"/>
                <w:color w:val="auto"/>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AA279C">
            <w:pPr>
              <w:spacing w:line="400" w:lineRule="exact"/>
              <w:jc w:val="center"/>
              <w:rPr>
                <w:rFonts w:ascii="宋体" w:hAnsi="宋体"/>
                <w:color w:val="auto"/>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B6C0E57">
            <w:pPr>
              <w:spacing w:line="400" w:lineRule="exact"/>
              <w:jc w:val="center"/>
              <w:rPr>
                <w:rFonts w:ascii="宋体" w:hAnsi="宋体"/>
                <w:color w:val="auto"/>
                <w:szCs w:val="24"/>
                <w:highlight w:val="none"/>
              </w:rPr>
            </w:pPr>
          </w:p>
        </w:tc>
      </w:tr>
      <w:tr w14:paraId="783E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02E7522">
            <w:pPr>
              <w:spacing w:line="400" w:lineRule="exact"/>
              <w:jc w:val="center"/>
              <w:rPr>
                <w:rFonts w:ascii="宋体" w:hAnsi="宋体"/>
                <w:color w:val="auto"/>
                <w:szCs w:val="24"/>
                <w:highlight w:val="none"/>
              </w:rPr>
            </w:pPr>
            <w:r>
              <w:rPr>
                <w:rFonts w:hint="eastAsia" w:ascii="宋体" w:hAnsi="宋体"/>
                <w:color w:val="auto"/>
                <w:highlight w:val="none"/>
              </w:rPr>
              <w:t>招标控制价总价（元）</w:t>
            </w:r>
          </w:p>
        </w:tc>
        <w:tc>
          <w:tcPr>
            <w:tcW w:w="11056" w:type="dxa"/>
            <w:gridSpan w:val="9"/>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93DE329">
            <w:pPr>
              <w:spacing w:line="400" w:lineRule="exact"/>
              <w:rPr>
                <w:rFonts w:ascii="宋体" w:hAnsi="宋体"/>
                <w:color w:val="auto"/>
                <w:szCs w:val="24"/>
                <w:highlight w:val="none"/>
              </w:rPr>
            </w:pPr>
          </w:p>
        </w:tc>
      </w:tr>
      <w:tr w14:paraId="7350A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4C5A70A">
            <w:pPr>
              <w:spacing w:line="400" w:lineRule="exact"/>
              <w:jc w:val="center"/>
              <w:rPr>
                <w:rFonts w:ascii="宋体" w:hAnsi="宋体"/>
                <w:color w:val="auto"/>
                <w:szCs w:val="24"/>
                <w:highlight w:val="none"/>
              </w:rPr>
            </w:pPr>
            <w:r>
              <w:rPr>
                <w:rFonts w:hint="eastAsia"/>
                <w:color w:val="auto"/>
                <w:szCs w:val="21"/>
                <w:highlight w:val="none"/>
              </w:rPr>
              <w:t>开标过程需记录的其他事项</w:t>
            </w:r>
          </w:p>
        </w:tc>
        <w:tc>
          <w:tcPr>
            <w:tcW w:w="11056" w:type="dxa"/>
            <w:gridSpan w:val="9"/>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67471D2">
            <w:pPr>
              <w:spacing w:line="400" w:lineRule="exact"/>
              <w:rPr>
                <w:rFonts w:ascii="宋体" w:hAnsi="宋体"/>
                <w:color w:val="auto"/>
                <w:szCs w:val="24"/>
                <w:highlight w:val="none"/>
              </w:rPr>
            </w:pPr>
          </w:p>
          <w:p w14:paraId="54938641">
            <w:pPr>
              <w:spacing w:line="400" w:lineRule="exact"/>
              <w:rPr>
                <w:rFonts w:ascii="宋体" w:hAnsi="宋体"/>
                <w:color w:val="auto"/>
                <w:szCs w:val="24"/>
                <w:highlight w:val="none"/>
              </w:rPr>
            </w:pPr>
          </w:p>
        </w:tc>
      </w:tr>
    </w:tbl>
    <w:p w14:paraId="43851299">
      <w:pPr>
        <w:spacing w:line="400" w:lineRule="exact"/>
        <w:rPr>
          <w:rFonts w:hint="eastAsia" w:ascii="宋体" w:hAnsi="宋体"/>
          <w:color w:val="auto"/>
          <w:highlight w:val="none"/>
          <w:u w:val="single"/>
        </w:rPr>
      </w:pPr>
      <w:r>
        <w:rPr>
          <w:rFonts w:hint="eastAsia" w:ascii="宋体" w:hAnsi="宋体"/>
          <w:color w:val="auto"/>
          <w:highlight w:val="none"/>
        </w:rPr>
        <w:t xml:space="preserve">                                                     </w:t>
      </w:r>
      <w:r>
        <w:rPr>
          <w:rFonts w:hint="eastAsia"/>
          <w:color w:val="auto"/>
          <w:highlight w:val="none"/>
        </w:rPr>
        <w:t>主持人</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招标人代表：</w:t>
      </w:r>
      <w:r>
        <w:rPr>
          <w:rFonts w:hint="eastAsia" w:ascii="宋体" w:hAnsi="宋体"/>
          <w:color w:val="auto"/>
          <w:highlight w:val="none"/>
          <w:u w:val="single"/>
        </w:rPr>
        <w:t xml:space="preserve">                </w:t>
      </w:r>
      <w:r>
        <w:rPr>
          <w:rFonts w:hint="eastAsia" w:ascii="宋体" w:hAnsi="宋体"/>
          <w:color w:val="auto"/>
          <w:highlight w:val="none"/>
        </w:rPr>
        <w:t>监标人：</w:t>
      </w:r>
      <w:r>
        <w:rPr>
          <w:rFonts w:hint="eastAsia" w:ascii="宋体" w:hAnsi="宋体"/>
          <w:color w:val="auto"/>
          <w:highlight w:val="none"/>
          <w:u w:val="single"/>
        </w:rPr>
        <w:t xml:space="preserve">               </w:t>
      </w:r>
    </w:p>
    <w:p w14:paraId="6D309945">
      <w:pPr>
        <w:widowControl/>
        <w:jc w:val="left"/>
        <w:rPr>
          <w:rFonts w:ascii="宋体" w:hAnsi="宋体"/>
          <w:color w:val="auto"/>
          <w:highlight w:val="none"/>
        </w:rPr>
        <w:sectPr>
          <w:pgSz w:w="16838" w:h="11906" w:orient="landscape"/>
          <w:pgMar w:top="1800" w:right="1440" w:bottom="1800" w:left="1440" w:header="851" w:footer="992" w:gutter="0"/>
          <w:pgNumType w:fmt="decimal"/>
          <w:cols w:space="720" w:num="1"/>
        </w:sectPr>
      </w:pPr>
    </w:p>
    <w:p w14:paraId="3B9FAA2D">
      <w:pPr>
        <w:pStyle w:val="3"/>
        <w:rPr>
          <w:rFonts w:hint="eastAsia"/>
          <w:b w:val="0"/>
          <w:color w:val="auto"/>
          <w:sz w:val="24"/>
          <w:szCs w:val="24"/>
          <w:highlight w:val="none"/>
        </w:rPr>
      </w:pPr>
      <w:bookmarkStart w:id="562" w:name="_Toc1998"/>
      <w:bookmarkStart w:id="563" w:name="_Toc28531754"/>
      <w:r>
        <w:rPr>
          <w:rFonts w:hint="eastAsia"/>
          <w:b w:val="0"/>
          <w:color w:val="auto"/>
          <w:sz w:val="24"/>
          <w:szCs w:val="24"/>
          <w:highlight w:val="none"/>
        </w:rPr>
        <w:t>附表六：投标文件问题澄清通知</w:t>
      </w:r>
      <w:bookmarkEnd w:id="562"/>
      <w:bookmarkEnd w:id="563"/>
    </w:p>
    <w:p w14:paraId="00246AB2">
      <w:pPr>
        <w:rPr>
          <w:color w:val="auto"/>
          <w:szCs w:val="24"/>
          <w:highlight w:val="none"/>
        </w:rPr>
      </w:pPr>
    </w:p>
    <w:p w14:paraId="79D1D748">
      <w:pPr>
        <w:spacing w:before="240" w:beforeLines="100" w:after="240" w:afterLines="100" w:line="400" w:lineRule="exact"/>
        <w:jc w:val="center"/>
        <w:rPr>
          <w:rFonts w:ascii="黑体" w:eastAsia="黑体"/>
          <w:color w:val="auto"/>
          <w:sz w:val="28"/>
          <w:szCs w:val="28"/>
          <w:highlight w:val="none"/>
        </w:rPr>
      </w:pPr>
      <w:r>
        <w:rPr>
          <w:rFonts w:hint="eastAsia" w:ascii="黑体" w:eastAsia="黑体"/>
          <w:color w:val="auto"/>
          <w:sz w:val="28"/>
          <w:szCs w:val="28"/>
          <w:highlight w:val="none"/>
        </w:rPr>
        <w:t>投标文件问题澄清通知</w:t>
      </w:r>
    </w:p>
    <w:p w14:paraId="5AED78D9">
      <w:pPr>
        <w:spacing w:line="400" w:lineRule="exact"/>
        <w:ind w:firstLine="5355" w:firstLineChars="2550"/>
        <w:rPr>
          <w:rFonts w:hint="eastAsia" w:ascii="Times New Roman"/>
          <w:color w:val="auto"/>
          <w:szCs w:val="24"/>
          <w:highlight w:val="none"/>
          <w:u w:val="single"/>
        </w:rPr>
      </w:pPr>
      <w:r>
        <w:rPr>
          <w:rFonts w:hint="eastAsia"/>
          <w:color w:val="auto"/>
          <w:highlight w:val="none"/>
        </w:rPr>
        <w:t>编号：</w:t>
      </w:r>
      <w:r>
        <w:rPr>
          <w:color w:val="auto"/>
          <w:highlight w:val="none"/>
          <w:u w:val="single"/>
        </w:rPr>
        <w:t xml:space="preserve">                  </w:t>
      </w:r>
    </w:p>
    <w:p w14:paraId="17DDBDAE">
      <w:pPr>
        <w:spacing w:line="480" w:lineRule="exact"/>
        <w:rPr>
          <w:color w:val="auto"/>
          <w:highlight w:val="none"/>
        </w:rPr>
      </w:pPr>
      <w:r>
        <w:rPr>
          <w:color w:val="auto"/>
          <w:highlight w:val="none"/>
          <w:u w:val="single"/>
        </w:rPr>
        <w:t xml:space="preserve">            </w:t>
      </w:r>
      <w:r>
        <w:rPr>
          <w:rFonts w:hint="eastAsia" w:ascii="宋体" w:hAnsi="宋体"/>
          <w:color w:val="auto"/>
          <w:highlight w:val="none"/>
          <w:u w:val="single"/>
        </w:rPr>
        <w:t xml:space="preserve">         </w:t>
      </w:r>
      <w:r>
        <w:rPr>
          <w:color w:val="auto"/>
          <w:highlight w:val="none"/>
          <w:u w:val="single"/>
        </w:rPr>
        <w:t xml:space="preserve">      </w:t>
      </w:r>
      <w:r>
        <w:rPr>
          <w:rFonts w:hint="eastAsia"/>
          <w:color w:val="auto"/>
          <w:highlight w:val="none"/>
        </w:rPr>
        <w:t>（投标人名称）：</w:t>
      </w:r>
    </w:p>
    <w:p w14:paraId="17512F87">
      <w:pPr>
        <w:spacing w:line="480" w:lineRule="exact"/>
        <w:ind w:firstLine="420" w:firstLineChars="200"/>
        <w:rPr>
          <w:color w:val="auto"/>
          <w:highlight w:val="none"/>
          <w:u w:val="single"/>
        </w:rPr>
      </w:pPr>
    </w:p>
    <w:p w14:paraId="6A34EECA">
      <w:pPr>
        <w:spacing w:line="480" w:lineRule="exact"/>
        <w:ind w:firstLine="525" w:firstLineChars="250"/>
        <w:rPr>
          <w:color w:val="auto"/>
          <w:highlight w:val="none"/>
        </w:rPr>
      </w:pPr>
      <w:r>
        <w:rPr>
          <w:color w:val="auto"/>
          <w:highlight w:val="none"/>
          <w:u w:val="single"/>
        </w:rPr>
        <w:t xml:space="preserve">             </w:t>
      </w:r>
      <w:r>
        <w:rPr>
          <w:rFonts w:hint="eastAsia"/>
          <w:color w:val="auto"/>
          <w:highlight w:val="none"/>
        </w:rPr>
        <w:t>（项目名称）</w:t>
      </w:r>
      <w:r>
        <w:rPr>
          <w:color w:val="auto"/>
          <w:highlight w:val="none"/>
          <w:u w:val="single"/>
        </w:rPr>
        <w:t xml:space="preserve">        </w:t>
      </w:r>
      <w:r>
        <w:rPr>
          <w:rFonts w:hint="eastAsia"/>
          <w:color w:val="auto"/>
          <w:highlight w:val="none"/>
        </w:rPr>
        <w:t>（标段名称）施工招标的评标委员会，对你方的投标文件进行了仔细的审查，现需你方对下列问题以书面形式予以澄清、说明或者补正，并将投标文件的澄清、说明或者补正于</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r>
        <w:rPr>
          <w:color w:val="auto"/>
          <w:highlight w:val="none"/>
          <w:u w:val="single"/>
        </w:rPr>
        <w:t xml:space="preserve">   </w:t>
      </w:r>
      <w:r>
        <w:rPr>
          <w:rFonts w:hint="eastAsia"/>
          <w:color w:val="auto"/>
          <w:highlight w:val="none"/>
        </w:rPr>
        <w:t>时前，通过“电子交易平台”“投标文件澄清”菜单提交给本评标委员会。</w:t>
      </w:r>
    </w:p>
    <w:p w14:paraId="71A55150">
      <w:pPr>
        <w:spacing w:line="440" w:lineRule="exact"/>
        <w:ind w:firstLine="420" w:firstLineChars="200"/>
        <w:rPr>
          <w:color w:val="auto"/>
          <w:highlight w:val="none"/>
        </w:rPr>
      </w:pPr>
      <w:r>
        <w:rPr>
          <w:color w:val="auto"/>
          <w:highlight w:val="none"/>
        </w:rPr>
        <w:t>1</w:t>
      </w:r>
      <w:r>
        <w:rPr>
          <w:rFonts w:hint="eastAsia"/>
          <w:color w:val="auto"/>
          <w:highlight w:val="none"/>
        </w:rPr>
        <w:t>、</w:t>
      </w:r>
      <w:r>
        <w:rPr>
          <w:color w:val="auto"/>
          <w:highlight w:val="none"/>
        </w:rPr>
        <w:t xml:space="preserve"> ......</w:t>
      </w:r>
    </w:p>
    <w:p w14:paraId="028241CC">
      <w:pPr>
        <w:spacing w:line="440" w:lineRule="exact"/>
        <w:rPr>
          <w:color w:val="auto"/>
          <w:highlight w:val="none"/>
        </w:rPr>
      </w:pPr>
      <w:r>
        <w:rPr>
          <w:color w:val="auto"/>
          <w:highlight w:val="none"/>
        </w:rPr>
        <w:t xml:space="preserve">    2</w:t>
      </w:r>
      <w:r>
        <w:rPr>
          <w:rFonts w:hint="eastAsia"/>
          <w:color w:val="auto"/>
          <w:highlight w:val="none"/>
        </w:rPr>
        <w:t>、</w:t>
      </w:r>
      <w:r>
        <w:rPr>
          <w:color w:val="auto"/>
          <w:highlight w:val="none"/>
        </w:rPr>
        <w:t xml:space="preserve"> ......</w:t>
      </w:r>
    </w:p>
    <w:p w14:paraId="1EDD0E6B">
      <w:pPr>
        <w:spacing w:line="440" w:lineRule="exact"/>
        <w:rPr>
          <w:color w:val="auto"/>
          <w:highlight w:val="none"/>
        </w:rPr>
      </w:pPr>
      <w:r>
        <w:rPr>
          <w:color w:val="auto"/>
          <w:highlight w:val="none"/>
        </w:rPr>
        <w:t xml:space="preserve">     ......   </w:t>
      </w:r>
    </w:p>
    <w:p w14:paraId="60A91A19">
      <w:pPr>
        <w:spacing w:line="480" w:lineRule="exact"/>
        <w:rPr>
          <w:color w:val="auto"/>
          <w:highlight w:val="none"/>
        </w:rPr>
      </w:pPr>
    </w:p>
    <w:p w14:paraId="70D85C40">
      <w:pPr>
        <w:spacing w:line="480" w:lineRule="exact"/>
        <w:ind w:firstLine="2730" w:firstLineChars="1300"/>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color w:val="auto"/>
          <w:highlight w:val="none"/>
        </w:rPr>
        <w:t>（标段名称）</w:t>
      </w:r>
      <w:r>
        <w:rPr>
          <w:rFonts w:hint="eastAsia" w:ascii="宋体" w:hAnsi="宋体"/>
          <w:color w:val="auto"/>
          <w:highlight w:val="none"/>
        </w:rPr>
        <w:t>施工招标评标委员会</w:t>
      </w:r>
    </w:p>
    <w:p w14:paraId="099482FA">
      <w:pPr>
        <w:spacing w:line="480" w:lineRule="exact"/>
        <w:ind w:firstLine="945" w:firstLineChars="450"/>
        <w:rPr>
          <w:rFonts w:hint="eastAsia" w:ascii="Times New Roman" w:hAnsi="Times New Roman"/>
          <w:color w:val="auto"/>
          <w:highlight w:val="none"/>
        </w:rPr>
      </w:pPr>
      <w:r>
        <w:rPr>
          <w:rFonts w:hint="eastAsia"/>
          <w:color w:val="auto"/>
          <w:highlight w:val="none"/>
        </w:rPr>
        <w:t>（经评标委员会授权的招标人代表签字或招标人盖单位章）：</w:t>
      </w:r>
      <w:r>
        <w:rPr>
          <w:color w:val="auto"/>
          <w:highlight w:val="none"/>
          <w:u w:val="single"/>
        </w:rPr>
        <w:t xml:space="preserve">               </w:t>
      </w:r>
    </w:p>
    <w:p w14:paraId="669A110E">
      <w:pPr>
        <w:spacing w:line="480" w:lineRule="exact"/>
        <w:ind w:firstLine="5565" w:firstLineChars="2650"/>
        <w:rPr>
          <w:color w:val="auto"/>
          <w:highlight w:val="none"/>
          <w:u w:val="single"/>
        </w:rPr>
      </w:pPr>
    </w:p>
    <w:p w14:paraId="58CAB81F">
      <w:pPr>
        <w:spacing w:line="480" w:lineRule="exact"/>
        <w:ind w:firstLine="5565" w:firstLineChars="2650"/>
        <w:rPr>
          <w:color w:val="auto"/>
          <w:highlight w:val="none"/>
        </w:rPr>
      </w:pP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1D8BB27B">
      <w:pPr>
        <w:spacing w:line="480" w:lineRule="exact"/>
        <w:ind w:firstLine="5565" w:firstLineChars="2650"/>
        <w:rPr>
          <w:color w:val="auto"/>
          <w:highlight w:val="none"/>
        </w:rPr>
      </w:pPr>
    </w:p>
    <w:p w14:paraId="617FD6A3">
      <w:pPr>
        <w:spacing w:line="480" w:lineRule="exact"/>
        <w:ind w:firstLine="5565" w:firstLineChars="2650"/>
        <w:rPr>
          <w:color w:val="auto"/>
          <w:highlight w:val="none"/>
        </w:rPr>
      </w:pPr>
    </w:p>
    <w:p w14:paraId="3E80BFC2">
      <w:pPr>
        <w:spacing w:line="480" w:lineRule="exact"/>
        <w:ind w:firstLine="5565" w:firstLineChars="2650"/>
        <w:rPr>
          <w:color w:val="auto"/>
          <w:highlight w:val="none"/>
        </w:rPr>
      </w:pPr>
    </w:p>
    <w:p w14:paraId="335436D2">
      <w:pPr>
        <w:spacing w:line="480" w:lineRule="exact"/>
        <w:ind w:firstLine="5565" w:firstLineChars="2650"/>
        <w:rPr>
          <w:color w:val="auto"/>
          <w:highlight w:val="none"/>
        </w:rPr>
      </w:pPr>
    </w:p>
    <w:p w14:paraId="0D0637ED">
      <w:pPr>
        <w:spacing w:line="480" w:lineRule="exact"/>
        <w:ind w:firstLine="5565" w:firstLineChars="2650"/>
        <w:rPr>
          <w:color w:val="auto"/>
          <w:highlight w:val="none"/>
        </w:rPr>
      </w:pPr>
    </w:p>
    <w:p w14:paraId="74063465">
      <w:pPr>
        <w:spacing w:line="480" w:lineRule="exact"/>
        <w:ind w:firstLine="5565" w:firstLineChars="2650"/>
        <w:rPr>
          <w:color w:val="auto"/>
          <w:highlight w:val="none"/>
        </w:rPr>
      </w:pPr>
    </w:p>
    <w:p w14:paraId="144D99B7">
      <w:pPr>
        <w:spacing w:line="480" w:lineRule="exact"/>
        <w:ind w:firstLine="5565" w:firstLineChars="2650"/>
        <w:rPr>
          <w:color w:val="auto"/>
          <w:highlight w:val="none"/>
        </w:rPr>
      </w:pPr>
    </w:p>
    <w:p w14:paraId="177FC08D">
      <w:pPr>
        <w:spacing w:line="480" w:lineRule="exact"/>
        <w:ind w:firstLine="5565" w:firstLineChars="2650"/>
        <w:rPr>
          <w:color w:val="auto"/>
          <w:highlight w:val="none"/>
        </w:rPr>
      </w:pPr>
    </w:p>
    <w:p w14:paraId="19C41EB2">
      <w:pPr>
        <w:spacing w:line="480" w:lineRule="exact"/>
        <w:ind w:firstLine="5565" w:firstLineChars="2650"/>
        <w:rPr>
          <w:color w:val="auto"/>
          <w:highlight w:val="none"/>
        </w:rPr>
      </w:pPr>
    </w:p>
    <w:p w14:paraId="0EFF7531">
      <w:pPr>
        <w:pStyle w:val="3"/>
        <w:rPr>
          <w:rFonts w:ascii="黑体"/>
          <w:color w:val="auto"/>
          <w:sz w:val="24"/>
          <w:highlight w:val="none"/>
        </w:rPr>
      </w:pPr>
      <w:bookmarkStart w:id="564" w:name="_Toc28246"/>
      <w:bookmarkStart w:id="565" w:name="_Toc28531755"/>
      <w:r>
        <w:rPr>
          <w:rFonts w:hint="eastAsia"/>
          <w:b w:val="0"/>
          <w:color w:val="auto"/>
          <w:sz w:val="24"/>
          <w:szCs w:val="24"/>
          <w:highlight w:val="none"/>
        </w:rPr>
        <w:t>附表七：投标文件问题的澄清</w:t>
      </w:r>
      <w:bookmarkEnd w:id="564"/>
      <w:bookmarkEnd w:id="565"/>
    </w:p>
    <w:p w14:paraId="2F922E89">
      <w:pPr>
        <w:spacing w:line="480" w:lineRule="exact"/>
        <w:rPr>
          <w:rFonts w:hint="eastAsia" w:ascii="黑体" w:eastAsia="黑体"/>
          <w:color w:val="auto"/>
          <w:sz w:val="24"/>
          <w:highlight w:val="none"/>
        </w:rPr>
      </w:pPr>
    </w:p>
    <w:p w14:paraId="795AA25D">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投标文件问题的澄清、说明或补正</w:t>
      </w:r>
    </w:p>
    <w:p w14:paraId="031A7219">
      <w:pPr>
        <w:spacing w:line="400" w:lineRule="exact"/>
        <w:ind w:firstLine="5355" w:firstLineChars="2550"/>
        <w:rPr>
          <w:rFonts w:hint="eastAsia" w:ascii="Times New Roman"/>
          <w:color w:val="auto"/>
          <w:szCs w:val="24"/>
          <w:highlight w:val="none"/>
          <w:u w:val="single"/>
        </w:rPr>
      </w:pPr>
      <w:r>
        <w:rPr>
          <w:rFonts w:hint="eastAsia"/>
          <w:color w:val="auto"/>
          <w:highlight w:val="none"/>
        </w:rPr>
        <w:t>编号：</w:t>
      </w:r>
      <w:r>
        <w:rPr>
          <w:color w:val="auto"/>
          <w:highlight w:val="none"/>
          <w:u w:val="single"/>
        </w:rPr>
        <w:t xml:space="preserve">                  </w:t>
      </w:r>
    </w:p>
    <w:p w14:paraId="0A926E66">
      <w:pPr>
        <w:spacing w:line="480" w:lineRule="exact"/>
        <w:rPr>
          <w:color w:val="auto"/>
          <w:highlight w:val="none"/>
        </w:rPr>
      </w:pPr>
      <w:r>
        <w:rPr>
          <w:color w:val="auto"/>
          <w:highlight w:val="none"/>
        </w:rPr>
        <w:t xml:space="preserve">  </w:t>
      </w:r>
      <w:r>
        <w:rPr>
          <w:color w:val="auto"/>
          <w:highlight w:val="none"/>
          <w:u w:val="single"/>
        </w:rPr>
        <w:t xml:space="preserve">            </w:t>
      </w:r>
      <w:r>
        <w:rPr>
          <w:rFonts w:hint="eastAsia"/>
          <w:color w:val="auto"/>
          <w:highlight w:val="none"/>
        </w:rPr>
        <w:t>（项目名称）</w:t>
      </w:r>
      <w:r>
        <w:rPr>
          <w:color w:val="auto"/>
          <w:highlight w:val="none"/>
          <w:u w:val="single"/>
        </w:rPr>
        <w:t xml:space="preserve">      </w:t>
      </w:r>
      <w:r>
        <w:rPr>
          <w:rFonts w:hint="eastAsia"/>
          <w:color w:val="auto"/>
          <w:highlight w:val="none"/>
        </w:rPr>
        <w:t>（标段名称）施工招标评标委员会：</w:t>
      </w:r>
    </w:p>
    <w:p w14:paraId="5138C96B">
      <w:pPr>
        <w:spacing w:line="480" w:lineRule="exact"/>
        <w:ind w:firstLine="420" w:firstLineChars="200"/>
        <w:rPr>
          <w:color w:val="auto"/>
          <w:highlight w:val="none"/>
        </w:rPr>
      </w:pPr>
      <w:r>
        <w:rPr>
          <w:rFonts w:hint="eastAsia"/>
          <w:color w:val="auto"/>
          <w:highlight w:val="none"/>
        </w:rPr>
        <w:t>投标文件问题澄清通知（编号：</w:t>
      </w:r>
      <w:r>
        <w:rPr>
          <w:color w:val="auto"/>
          <w:highlight w:val="none"/>
          <w:u w:val="single"/>
        </w:rPr>
        <w:t xml:space="preserve">      </w:t>
      </w:r>
      <w:r>
        <w:rPr>
          <w:rFonts w:hint="eastAsia"/>
          <w:color w:val="auto"/>
          <w:highlight w:val="none"/>
        </w:rPr>
        <w:t>）已收悉，现澄清、说明或者补正如下：</w:t>
      </w:r>
    </w:p>
    <w:p w14:paraId="255936FA">
      <w:pPr>
        <w:spacing w:line="480" w:lineRule="exact"/>
        <w:ind w:firstLine="420" w:firstLineChars="200"/>
        <w:rPr>
          <w:color w:val="auto"/>
          <w:highlight w:val="none"/>
        </w:rPr>
      </w:pPr>
      <w:r>
        <w:rPr>
          <w:color w:val="auto"/>
          <w:highlight w:val="none"/>
        </w:rPr>
        <w:t>1.</w:t>
      </w:r>
    </w:p>
    <w:p w14:paraId="76B52439">
      <w:pPr>
        <w:spacing w:line="480" w:lineRule="exact"/>
        <w:ind w:firstLine="420" w:firstLineChars="200"/>
        <w:rPr>
          <w:color w:val="auto"/>
          <w:highlight w:val="none"/>
        </w:rPr>
      </w:pPr>
      <w:r>
        <w:rPr>
          <w:color w:val="auto"/>
          <w:highlight w:val="none"/>
        </w:rPr>
        <w:t>2.</w:t>
      </w:r>
    </w:p>
    <w:p w14:paraId="177F6066">
      <w:pPr>
        <w:spacing w:line="480" w:lineRule="exact"/>
        <w:ind w:firstLine="420" w:firstLineChars="200"/>
        <w:rPr>
          <w:color w:val="auto"/>
          <w:highlight w:val="none"/>
        </w:rPr>
      </w:pPr>
    </w:p>
    <w:p w14:paraId="18165EB7">
      <w:pPr>
        <w:spacing w:line="480" w:lineRule="exact"/>
        <w:ind w:firstLine="420" w:firstLineChars="200"/>
        <w:rPr>
          <w:color w:val="auto"/>
          <w:highlight w:val="none"/>
        </w:rPr>
      </w:pPr>
      <w:r>
        <w:rPr>
          <w:rFonts w:hint="eastAsia"/>
          <w:color w:val="auto"/>
          <w:highlight w:val="none"/>
        </w:rPr>
        <w:t>……</w:t>
      </w:r>
    </w:p>
    <w:p w14:paraId="66DF2AA1">
      <w:pPr>
        <w:spacing w:line="480" w:lineRule="exact"/>
        <w:ind w:firstLine="420" w:firstLineChars="200"/>
        <w:rPr>
          <w:color w:val="auto"/>
          <w:highlight w:val="none"/>
        </w:rPr>
      </w:pPr>
    </w:p>
    <w:p w14:paraId="1BD958D5">
      <w:pPr>
        <w:spacing w:line="480" w:lineRule="exact"/>
        <w:ind w:firstLine="420" w:firstLineChars="200"/>
        <w:rPr>
          <w:color w:val="auto"/>
          <w:highlight w:val="none"/>
        </w:rPr>
      </w:pPr>
    </w:p>
    <w:p w14:paraId="72C35638">
      <w:pPr>
        <w:spacing w:line="480" w:lineRule="exact"/>
        <w:ind w:firstLine="420" w:firstLineChars="200"/>
        <w:rPr>
          <w:color w:val="auto"/>
          <w:highlight w:val="none"/>
        </w:rPr>
      </w:pPr>
    </w:p>
    <w:p w14:paraId="5DC7407F">
      <w:pPr>
        <w:spacing w:line="480" w:lineRule="exact"/>
        <w:ind w:firstLine="420" w:firstLineChars="200"/>
        <w:rPr>
          <w:color w:val="auto"/>
          <w:highlight w:val="none"/>
        </w:rPr>
      </w:pPr>
    </w:p>
    <w:p w14:paraId="27625C66">
      <w:pPr>
        <w:spacing w:line="480" w:lineRule="exact"/>
        <w:ind w:firstLine="420" w:firstLineChars="200"/>
        <w:rPr>
          <w:color w:val="auto"/>
          <w:highlight w:val="none"/>
        </w:rPr>
      </w:pPr>
    </w:p>
    <w:p w14:paraId="7ADF5FED">
      <w:pPr>
        <w:spacing w:line="480" w:lineRule="exact"/>
        <w:ind w:firstLine="420" w:firstLineChars="200"/>
        <w:rPr>
          <w:color w:val="auto"/>
          <w:highlight w:val="none"/>
        </w:rPr>
      </w:pPr>
    </w:p>
    <w:p w14:paraId="573D3502">
      <w:pPr>
        <w:wordWrap w:val="0"/>
        <w:spacing w:line="480" w:lineRule="exact"/>
        <w:ind w:right="105" w:firstLine="420" w:firstLineChars="200"/>
        <w:jc w:val="right"/>
        <w:rPr>
          <w:rFonts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（盖单位章）</w:t>
      </w:r>
    </w:p>
    <w:p w14:paraId="22038118">
      <w:pPr>
        <w:wordWrap w:val="0"/>
        <w:spacing w:before="120" w:beforeLines="50" w:after="120" w:afterLines="50" w:line="480" w:lineRule="exact"/>
        <w:ind w:right="105"/>
        <w:jc w:val="right"/>
        <w:rPr>
          <w:rFonts w:hint="eastAsia" w:ascii="宋体" w:hAnsi="宋体"/>
          <w:color w:val="auto"/>
          <w:highlight w:val="none"/>
        </w:rPr>
      </w:pPr>
      <w:r>
        <w:rPr>
          <w:rFonts w:hint="eastAsia" w:ascii="宋体" w:hAnsi="宋体"/>
          <w:color w:val="auto"/>
          <w:highlight w:val="none"/>
        </w:rPr>
        <w:t>法定代表人：</w:t>
      </w:r>
      <w:r>
        <w:rPr>
          <w:rFonts w:hint="eastAsia" w:ascii="宋体" w:hAnsi="宋体"/>
          <w:color w:val="auto"/>
          <w:highlight w:val="none"/>
          <w:u w:val="single"/>
        </w:rPr>
        <w:t xml:space="preserve">                            </w:t>
      </w:r>
      <w:r>
        <w:rPr>
          <w:rFonts w:hint="eastAsia" w:ascii="宋体" w:hAnsi="宋体"/>
          <w:color w:val="auto"/>
          <w:highlight w:val="none"/>
        </w:rPr>
        <w:t>（签字）</w:t>
      </w:r>
    </w:p>
    <w:p w14:paraId="76C204BC">
      <w:pPr>
        <w:spacing w:line="480" w:lineRule="exact"/>
        <w:ind w:firstLine="5775" w:firstLineChars="275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2457B3B3">
      <w:pPr>
        <w:spacing w:line="480" w:lineRule="exact"/>
        <w:ind w:firstLine="5775" w:firstLineChars="2750"/>
        <w:rPr>
          <w:rFonts w:hint="eastAsia" w:ascii="Times New Roman" w:hAnsi="Times New Roman"/>
          <w:color w:val="auto"/>
          <w:highlight w:val="none"/>
        </w:rPr>
      </w:pPr>
    </w:p>
    <w:p w14:paraId="3DBA5DCE">
      <w:pPr>
        <w:spacing w:line="480" w:lineRule="exact"/>
        <w:ind w:firstLine="5775" w:firstLineChars="2750"/>
        <w:rPr>
          <w:color w:val="auto"/>
          <w:highlight w:val="none"/>
        </w:rPr>
      </w:pPr>
    </w:p>
    <w:p w14:paraId="1E4945B6">
      <w:pPr>
        <w:spacing w:line="480" w:lineRule="exact"/>
        <w:ind w:firstLine="5775" w:firstLineChars="2750"/>
        <w:rPr>
          <w:color w:val="auto"/>
          <w:highlight w:val="none"/>
        </w:rPr>
      </w:pPr>
    </w:p>
    <w:p w14:paraId="734D98D8">
      <w:pPr>
        <w:spacing w:line="480" w:lineRule="exact"/>
        <w:ind w:firstLine="5775" w:firstLineChars="2750"/>
        <w:rPr>
          <w:color w:val="auto"/>
          <w:highlight w:val="none"/>
        </w:rPr>
      </w:pPr>
    </w:p>
    <w:p w14:paraId="60DDB82A">
      <w:pPr>
        <w:spacing w:line="480" w:lineRule="exact"/>
        <w:ind w:firstLine="5775" w:firstLineChars="2750"/>
        <w:rPr>
          <w:color w:val="auto"/>
          <w:highlight w:val="none"/>
        </w:rPr>
      </w:pPr>
    </w:p>
    <w:p w14:paraId="0A15FAE2">
      <w:pPr>
        <w:pStyle w:val="3"/>
        <w:rPr>
          <w:b w:val="0"/>
          <w:color w:val="auto"/>
          <w:sz w:val="24"/>
          <w:szCs w:val="24"/>
          <w:highlight w:val="none"/>
        </w:rPr>
      </w:pPr>
      <w:bookmarkStart w:id="566" w:name="_Toc13641"/>
      <w:bookmarkStart w:id="567" w:name="_Toc28531756"/>
      <w:r>
        <w:rPr>
          <w:rFonts w:hint="eastAsia"/>
          <w:b w:val="0"/>
          <w:color w:val="auto"/>
          <w:sz w:val="24"/>
          <w:szCs w:val="24"/>
          <w:highlight w:val="none"/>
        </w:rPr>
        <w:t>附表八：中标通知书</w:t>
      </w:r>
      <w:bookmarkEnd w:id="566"/>
      <w:bookmarkEnd w:id="567"/>
    </w:p>
    <w:p w14:paraId="243EC618">
      <w:pPr>
        <w:spacing w:before="240" w:beforeLines="100" w:after="240" w:afterLines="100" w:line="480" w:lineRule="exact"/>
        <w:jc w:val="center"/>
        <w:rPr>
          <w:rFonts w:ascii="黑体" w:eastAsia="黑体"/>
          <w:color w:val="auto"/>
          <w:sz w:val="28"/>
          <w:szCs w:val="28"/>
          <w:highlight w:val="none"/>
        </w:rPr>
      </w:pPr>
      <w:r>
        <w:rPr>
          <w:rFonts w:hint="eastAsia" w:ascii="黑体" w:eastAsia="黑体"/>
          <w:color w:val="auto"/>
          <w:sz w:val="28"/>
          <w:szCs w:val="28"/>
          <w:highlight w:val="none"/>
        </w:rPr>
        <w:t>中标通知书</w:t>
      </w:r>
    </w:p>
    <w:p w14:paraId="146E16AC">
      <w:pPr>
        <w:spacing w:before="240" w:beforeLines="100" w:after="240" w:afterLines="100" w:line="480" w:lineRule="exact"/>
        <w:jc w:val="center"/>
        <w:rPr>
          <w:rFonts w:hint="eastAsia" w:ascii="黑体" w:eastAsia="黑体"/>
          <w:color w:val="auto"/>
          <w:sz w:val="28"/>
          <w:szCs w:val="28"/>
          <w:highlight w:val="none"/>
        </w:rPr>
      </w:pPr>
      <w:r>
        <w:rPr>
          <w:rFonts w:hint="eastAsia" w:ascii="仿宋_GB2312" w:eastAsia="仿宋_GB2312"/>
          <w:color w:val="auto"/>
          <w:szCs w:val="21"/>
          <w:highlight w:val="none"/>
        </w:rPr>
        <w:t xml:space="preserve">                                      招标编号：</w:t>
      </w:r>
      <w:r>
        <w:rPr>
          <w:rFonts w:hint="eastAsia" w:ascii="仿宋_GB2312" w:eastAsia="仿宋_GB2312"/>
          <w:color w:val="auto"/>
          <w:szCs w:val="21"/>
          <w:highlight w:val="none"/>
          <w:u w:val="single"/>
        </w:rPr>
        <w:t xml:space="preserve">    </w:t>
      </w:r>
      <w:r>
        <w:rPr>
          <w:rFonts w:hint="eastAsia" w:ascii="仿宋_GB2312" w:eastAsia="仿宋_GB2312"/>
          <w:b/>
          <w:color w:val="auto"/>
          <w:sz w:val="28"/>
          <w:szCs w:val="28"/>
          <w:highlight w:val="none"/>
          <w:u w:val="single"/>
        </w:rPr>
        <w:t xml:space="preserve">       </w:t>
      </w:r>
    </w:p>
    <w:p w14:paraId="794E2AC9">
      <w:pPr>
        <w:spacing w:line="480" w:lineRule="exact"/>
        <w:rPr>
          <w:rFonts w:hint="eastAsia" w:ascii="Times New Roman"/>
          <w:color w:val="auto"/>
          <w:szCs w:val="24"/>
          <w:highlight w:val="none"/>
        </w:rPr>
      </w:pPr>
      <w:r>
        <w:rPr>
          <w:color w:val="auto"/>
          <w:highlight w:val="none"/>
          <w:u w:val="single"/>
        </w:rPr>
        <w:t xml:space="preserve">               </w:t>
      </w:r>
      <w:r>
        <w:rPr>
          <w:rFonts w:hint="eastAsia"/>
          <w:color w:val="auto"/>
          <w:highlight w:val="none"/>
        </w:rPr>
        <w:t>（中标人名称）：</w:t>
      </w:r>
    </w:p>
    <w:p w14:paraId="32A7FBC3">
      <w:pPr>
        <w:spacing w:line="480" w:lineRule="exact"/>
        <w:rPr>
          <w:color w:val="auto"/>
          <w:highlight w:val="none"/>
        </w:rPr>
      </w:pPr>
    </w:p>
    <w:p w14:paraId="4380598E">
      <w:pPr>
        <w:spacing w:line="480" w:lineRule="exact"/>
        <w:ind w:firstLine="420" w:firstLineChars="200"/>
        <w:rPr>
          <w:color w:val="auto"/>
          <w:highlight w:val="none"/>
        </w:rPr>
      </w:pPr>
      <w:r>
        <w:rPr>
          <w:rFonts w:hint="eastAsia"/>
          <w:color w:val="auto"/>
          <w:highlight w:val="none"/>
        </w:rPr>
        <w:t>你方于</w:t>
      </w:r>
      <w:r>
        <w:rPr>
          <w:color w:val="auto"/>
          <w:highlight w:val="none"/>
          <w:u w:val="single"/>
        </w:rPr>
        <w:t xml:space="preserve">             </w:t>
      </w:r>
      <w:r>
        <w:rPr>
          <w:rFonts w:hint="eastAsia"/>
          <w:color w:val="auto"/>
          <w:highlight w:val="none"/>
        </w:rPr>
        <w:t>（投标日期）所递交的</w:t>
      </w:r>
      <w:r>
        <w:rPr>
          <w:color w:val="auto"/>
          <w:highlight w:val="none"/>
          <w:u w:val="single"/>
        </w:rPr>
        <w:t xml:space="preserve">          </w:t>
      </w:r>
      <w:r>
        <w:rPr>
          <w:rFonts w:hint="eastAsia"/>
          <w:color w:val="auto"/>
          <w:highlight w:val="none"/>
        </w:rPr>
        <w:t>（项目名称）</w:t>
      </w:r>
      <w:r>
        <w:rPr>
          <w:color w:val="auto"/>
          <w:highlight w:val="none"/>
          <w:u w:val="single"/>
        </w:rPr>
        <w:t xml:space="preserve">       </w:t>
      </w:r>
      <w:r>
        <w:rPr>
          <w:rFonts w:hint="eastAsia"/>
          <w:color w:val="auto"/>
          <w:highlight w:val="none"/>
        </w:rPr>
        <w:t>（标段名称）施工投标文件已被我方接受，被确定为中标人。</w:t>
      </w:r>
    </w:p>
    <w:p w14:paraId="2058655F">
      <w:pPr>
        <w:spacing w:line="480" w:lineRule="exact"/>
        <w:ind w:firstLine="420" w:firstLineChars="200"/>
        <w:rPr>
          <w:color w:val="auto"/>
          <w:highlight w:val="none"/>
        </w:rPr>
      </w:pPr>
      <w:r>
        <w:rPr>
          <w:rFonts w:hint="eastAsia"/>
          <w:color w:val="auto"/>
          <w:highlight w:val="none"/>
        </w:rPr>
        <w:t>中标价：</w:t>
      </w:r>
      <w:r>
        <w:rPr>
          <w:color w:val="auto"/>
          <w:highlight w:val="none"/>
          <w:u w:val="single"/>
        </w:rPr>
        <w:t xml:space="preserve">                         </w:t>
      </w:r>
      <w:r>
        <w:rPr>
          <w:rFonts w:hint="eastAsia"/>
          <w:color w:val="auto"/>
          <w:highlight w:val="none"/>
        </w:rPr>
        <w:t>元。</w:t>
      </w:r>
    </w:p>
    <w:p w14:paraId="05D533FA">
      <w:pPr>
        <w:spacing w:line="480" w:lineRule="exact"/>
        <w:ind w:firstLine="420" w:firstLineChars="200"/>
        <w:rPr>
          <w:color w:val="auto"/>
          <w:highlight w:val="none"/>
        </w:rPr>
      </w:pPr>
      <w:r>
        <w:rPr>
          <w:rFonts w:hint="eastAsia"/>
          <w:color w:val="auto"/>
          <w:highlight w:val="none"/>
        </w:rPr>
        <w:t>工</w:t>
      </w:r>
      <w:r>
        <w:rPr>
          <w:color w:val="auto"/>
          <w:highlight w:val="none"/>
        </w:rPr>
        <w:t xml:space="preserve">  </w:t>
      </w:r>
      <w:r>
        <w:rPr>
          <w:rFonts w:hint="eastAsia"/>
          <w:color w:val="auto"/>
          <w:highlight w:val="none"/>
        </w:rPr>
        <w:t>期：</w:t>
      </w:r>
      <w:r>
        <w:rPr>
          <w:color w:val="auto"/>
          <w:highlight w:val="none"/>
          <w:u w:val="single"/>
        </w:rPr>
        <w:t xml:space="preserve">                     </w:t>
      </w:r>
      <w:r>
        <w:rPr>
          <w:rFonts w:hint="eastAsia"/>
          <w:color w:val="auto"/>
          <w:highlight w:val="none"/>
        </w:rPr>
        <w:t>日历天。</w:t>
      </w:r>
    </w:p>
    <w:p w14:paraId="1513B692">
      <w:pPr>
        <w:spacing w:line="480" w:lineRule="exact"/>
        <w:ind w:firstLine="420" w:firstLineChars="200"/>
        <w:rPr>
          <w:color w:val="auto"/>
          <w:highlight w:val="none"/>
        </w:rPr>
      </w:pPr>
      <w:r>
        <w:rPr>
          <w:rFonts w:hint="eastAsia"/>
          <w:color w:val="auto"/>
          <w:highlight w:val="none"/>
        </w:rPr>
        <w:t>工程质量：</w:t>
      </w:r>
      <w:r>
        <w:rPr>
          <w:color w:val="auto"/>
          <w:highlight w:val="none"/>
          <w:u w:val="single"/>
        </w:rPr>
        <w:t xml:space="preserve">                         </w:t>
      </w:r>
      <w:r>
        <w:rPr>
          <w:rFonts w:hint="eastAsia"/>
          <w:color w:val="auto"/>
          <w:highlight w:val="none"/>
        </w:rPr>
        <w:t>。</w:t>
      </w:r>
    </w:p>
    <w:p w14:paraId="7AD8E2C4">
      <w:pPr>
        <w:spacing w:line="480" w:lineRule="exact"/>
        <w:ind w:firstLine="420" w:firstLineChars="200"/>
        <w:rPr>
          <w:color w:val="auto"/>
          <w:highlight w:val="none"/>
        </w:rPr>
      </w:pPr>
      <w:r>
        <w:rPr>
          <w:rFonts w:hint="eastAsia"/>
          <w:color w:val="auto"/>
          <w:highlight w:val="none"/>
        </w:rPr>
        <w:t>项目经理：</w:t>
      </w:r>
      <w:r>
        <w:rPr>
          <w:color w:val="auto"/>
          <w:highlight w:val="none"/>
          <w:u w:val="single"/>
        </w:rPr>
        <w:t xml:space="preserve">               </w:t>
      </w:r>
      <w:r>
        <w:rPr>
          <w:rFonts w:hint="eastAsia"/>
          <w:color w:val="auto"/>
          <w:highlight w:val="none"/>
        </w:rPr>
        <w:t>（姓名）。</w:t>
      </w:r>
    </w:p>
    <w:p w14:paraId="709EC35A">
      <w:pPr>
        <w:spacing w:line="480" w:lineRule="exact"/>
        <w:ind w:firstLine="420" w:firstLineChars="200"/>
        <w:rPr>
          <w:color w:val="auto"/>
          <w:highlight w:val="none"/>
        </w:rPr>
      </w:pPr>
    </w:p>
    <w:p w14:paraId="7D1CB23B">
      <w:pPr>
        <w:spacing w:line="480" w:lineRule="exact"/>
        <w:ind w:firstLine="420" w:firstLineChars="200"/>
        <w:rPr>
          <w:color w:val="auto"/>
          <w:highlight w:val="none"/>
        </w:rPr>
      </w:pPr>
      <w:r>
        <w:rPr>
          <w:rFonts w:hint="eastAsia"/>
          <w:color w:val="auto"/>
          <w:highlight w:val="none"/>
        </w:rPr>
        <w:t>请你方在接到本通知书后的</w:t>
      </w:r>
      <w:r>
        <w:rPr>
          <w:color w:val="auto"/>
          <w:highlight w:val="none"/>
          <w:u w:val="single"/>
        </w:rPr>
        <w:t xml:space="preserve">      </w:t>
      </w:r>
      <w:r>
        <w:rPr>
          <w:rFonts w:hint="eastAsia"/>
          <w:color w:val="auto"/>
          <w:highlight w:val="none"/>
        </w:rPr>
        <w:t>日内到</w:t>
      </w:r>
      <w:r>
        <w:rPr>
          <w:color w:val="auto"/>
          <w:highlight w:val="none"/>
          <w:u w:val="single"/>
        </w:rPr>
        <w:t xml:space="preserve">                         </w:t>
      </w:r>
      <w:r>
        <w:rPr>
          <w:rFonts w:hint="eastAsia"/>
          <w:color w:val="auto"/>
          <w:highlight w:val="none"/>
        </w:rPr>
        <w:t>（指定地点）与我方签订施工承包合同，在此之前按招标文件第二章“投标人须知”第</w:t>
      </w:r>
      <w:r>
        <w:rPr>
          <w:color w:val="auto"/>
          <w:highlight w:val="none"/>
        </w:rPr>
        <w:t>7.3</w:t>
      </w:r>
      <w:r>
        <w:rPr>
          <w:rFonts w:hint="eastAsia"/>
          <w:color w:val="auto"/>
          <w:highlight w:val="none"/>
        </w:rPr>
        <w:t>款规定向我方提交履约担保。</w:t>
      </w:r>
    </w:p>
    <w:p w14:paraId="26BCC287">
      <w:pPr>
        <w:spacing w:line="480" w:lineRule="exact"/>
        <w:ind w:firstLine="420" w:firstLineChars="200"/>
        <w:rPr>
          <w:color w:val="auto"/>
          <w:highlight w:val="none"/>
        </w:rPr>
      </w:pPr>
      <w:r>
        <w:rPr>
          <w:rFonts w:hint="eastAsia"/>
          <w:color w:val="auto"/>
          <w:highlight w:val="none"/>
        </w:rPr>
        <w:t>随附的投标文件澄清、说明、补正事项纪要（如果有），是本中标通知书的组成部分。</w:t>
      </w:r>
    </w:p>
    <w:p w14:paraId="66CBB239">
      <w:pPr>
        <w:spacing w:line="480" w:lineRule="exact"/>
        <w:ind w:firstLine="420" w:firstLineChars="200"/>
        <w:rPr>
          <w:color w:val="auto"/>
          <w:highlight w:val="none"/>
        </w:rPr>
      </w:pPr>
      <w:r>
        <w:rPr>
          <w:rFonts w:hint="eastAsia"/>
          <w:color w:val="auto"/>
          <w:highlight w:val="none"/>
        </w:rPr>
        <w:t>特此通知。</w:t>
      </w:r>
    </w:p>
    <w:p w14:paraId="2C6147BD">
      <w:pPr>
        <w:spacing w:line="480" w:lineRule="exact"/>
        <w:ind w:firstLine="420" w:firstLineChars="200"/>
        <w:rPr>
          <w:color w:val="auto"/>
          <w:highlight w:val="none"/>
        </w:rPr>
      </w:pPr>
      <w:r>
        <w:rPr>
          <w:rFonts w:hint="eastAsia"/>
          <w:color w:val="auto"/>
          <w:highlight w:val="none"/>
        </w:rPr>
        <w:t>附：澄清、说明、补正事项纪要</w:t>
      </w:r>
    </w:p>
    <w:p w14:paraId="1D99135A">
      <w:pPr>
        <w:spacing w:line="480" w:lineRule="exact"/>
        <w:ind w:firstLine="420" w:firstLineChars="200"/>
        <w:rPr>
          <w:color w:val="auto"/>
          <w:highlight w:val="none"/>
        </w:rPr>
      </w:pPr>
    </w:p>
    <w:p w14:paraId="05448650">
      <w:pPr>
        <w:spacing w:line="480" w:lineRule="exact"/>
        <w:ind w:firstLine="420" w:firstLineChars="200"/>
        <w:rPr>
          <w:color w:val="auto"/>
          <w:highlight w:val="none"/>
        </w:rPr>
      </w:pPr>
    </w:p>
    <w:p w14:paraId="22A6E1B0">
      <w:pPr>
        <w:spacing w:line="480" w:lineRule="exact"/>
        <w:ind w:firstLine="420" w:firstLineChars="200"/>
        <w:rPr>
          <w:color w:val="auto"/>
          <w:highlight w:val="none"/>
        </w:rPr>
      </w:pPr>
    </w:p>
    <w:p w14:paraId="1C9072B6">
      <w:pPr>
        <w:wordWrap w:val="0"/>
        <w:spacing w:line="480" w:lineRule="exact"/>
        <w:ind w:firstLine="420" w:firstLineChars="200"/>
        <w:jc w:val="right"/>
        <w:rPr>
          <w:rFonts w:ascii="宋体" w:hAnsi="宋体"/>
          <w:color w:val="auto"/>
          <w:highlight w:val="none"/>
        </w:rPr>
      </w:pPr>
      <w:r>
        <w:rPr>
          <w:rFonts w:hint="eastAsia" w:ascii="宋体" w:hAnsi="宋体"/>
          <w:color w:val="auto"/>
          <w:highlight w:val="none"/>
        </w:rPr>
        <w:t>招标人：</w:t>
      </w:r>
      <w:r>
        <w:rPr>
          <w:rFonts w:hint="eastAsia" w:ascii="宋体" w:hAnsi="宋体"/>
          <w:color w:val="auto"/>
          <w:highlight w:val="none"/>
          <w:u w:val="single"/>
        </w:rPr>
        <w:t xml:space="preserve">                  </w:t>
      </w:r>
      <w:r>
        <w:rPr>
          <w:rFonts w:hint="eastAsia" w:ascii="宋体" w:hAnsi="宋体"/>
          <w:color w:val="auto"/>
          <w:highlight w:val="none"/>
        </w:rPr>
        <w:t xml:space="preserve">（盖单位章） </w:t>
      </w:r>
    </w:p>
    <w:p w14:paraId="30EB23D7">
      <w:pPr>
        <w:wordWrap w:val="0"/>
        <w:spacing w:line="480" w:lineRule="exact"/>
        <w:jc w:val="right"/>
        <w:rPr>
          <w:rFonts w:hint="eastAsia" w:ascii="Times New Roman" w:hAnsi="Times New Roman"/>
          <w:color w:val="auto"/>
          <w:highlight w:val="none"/>
        </w:rPr>
      </w:pPr>
      <w:r>
        <w:rPr>
          <w:rFonts w:hint="eastAsia" w:ascii="宋体" w:hAnsi="宋体"/>
          <w:color w:val="auto"/>
          <w:highlight w:val="none"/>
        </w:rPr>
        <w:t>法定代表人：</w:t>
      </w:r>
      <w:r>
        <w:rPr>
          <w:rFonts w:hint="eastAsia" w:ascii="宋体" w:hAnsi="宋体"/>
          <w:color w:val="auto"/>
          <w:highlight w:val="none"/>
          <w:u w:val="single"/>
        </w:rPr>
        <w:t xml:space="preserve">                  </w:t>
      </w:r>
      <w:r>
        <w:rPr>
          <w:rFonts w:hint="eastAsia" w:ascii="宋体" w:hAnsi="宋体"/>
          <w:color w:val="auto"/>
          <w:highlight w:val="none"/>
        </w:rPr>
        <w:t xml:space="preserve">（签字） </w:t>
      </w:r>
    </w:p>
    <w:p w14:paraId="433CEFFB">
      <w:pPr>
        <w:wordWrap w:val="0"/>
        <w:spacing w:line="480" w:lineRule="exact"/>
        <w:ind w:firstLine="5145" w:firstLineChars="2450"/>
        <w:jc w:val="right"/>
        <w:rPr>
          <w:color w:val="auto"/>
          <w:highlight w:val="none"/>
        </w:rPr>
      </w:pPr>
      <w:r>
        <w:rPr>
          <w:color w:val="auto"/>
          <w:highlight w:val="none"/>
        </w:rPr>
        <w:t xml:space="preserve"> </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r>
        <w:rPr>
          <w:color w:val="auto"/>
          <w:highlight w:val="none"/>
        </w:rPr>
        <w:t xml:space="preserve">  </w:t>
      </w:r>
    </w:p>
    <w:p w14:paraId="64F2AF97">
      <w:pPr>
        <w:spacing w:line="480" w:lineRule="exact"/>
        <w:ind w:firstLine="5145" w:firstLineChars="2450"/>
        <w:rPr>
          <w:color w:val="auto"/>
          <w:highlight w:val="none"/>
        </w:rPr>
      </w:pPr>
    </w:p>
    <w:p w14:paraId="03E64E0C">
      <w:pPr>
        <w:spacing w:line="480" w:lineRule="exact"/>
        <w:jc w:val="left"/>
        <w:rPr>
          <w:color w:val="auto"/>
          <w:highlight w:val="none"/>
        </w:rPr>
      </w:pPr>
      <w:r>
        <w:rPr>
          <w:rFonts w:hint="eastAsia" w:ascii="宋体" w:hAnsi="宋体"/>
          <w:color w:val="auto"/>
          <w:szCs w:val="21"/>
          <w:highlight w:val="none"/>
        </w:rPr>
        <w:t>备注</w:t>
      </w:r>
      <w:r>
        <w:rPr>
          <w:rFonts w:hint="eastAsia"/>
          <w:color w:val="auto"/>
          <w:highlight w:val="none"/>
        </w:rPr>
        <w:t>：行政主管部门对中标通知书有备案管理程序的，从其规定。</w:t>
      </w:r>
    </w:p>
    <w:p w14:paraId="4DEC5845">
      <w:pPr>
        <w:pStyle w:val="3"/>
        <w:rPr>
          <w:rFonts w:ascii="黑体"/>
          <w:color w:val="auto"/>
          <w:sz w:val="24"/>
          <w:highlight w:val="none"/>
        </w:rPr>
      </w:pPr>
      <w:bookmarkStart w:id="568" w:name="_Toc28531757"/>
      <w:bookmarkStart w:id="569" w:name="_Toc4352"/>
      <w:r>
        <w:rPr>
          <w:rFonts w:hint="eastAsia"/>
          <w:b w:val="0"/>
          <w:color w:val="auto"/>
          <w:sz w:val="24"/>
          <w:szCs w:val="24"/>
          <w:highlight w:val="none"/>
        </w:rPr>
        <w:t>附表九：中标结果通知书</w:t>
      </w:r>
      <w:bookmarkEnd w:id="568"/>
      <w:bookmarkEnd w:id="569"/>
    </w:p>
    <w:p w14:paraId="5A73B328">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中标结果通知书</w:t>
      </w:r>
    </w:p>
    <w:p w14:paraId="34B76B04">
      <w:pPr>
        <w:spacing w:line="480" w:lineRule="exact"/>
        <w:rPr>
          <w:rFonts w:hint="eastAsia" w:ascii="Times New Roman"/>
          <w:color w:val="auto"/>
          <w:szCs w:val="24"/>
          <w:highlight w:val="none"/>
        </w:rPr>
      </w:pPr>
      <w:r>
        <w:rPr>
          <w:color w:val="auto"/>
          <w:highlight w:val="none"/>
          <w:u w:val="single"/>
        </w:rPr>
        <w:t xml:space="preserve">                      </w:t>
      </w:r>
      <w:r>
        <w:rPr>
          <w:rFonts w:hint="eastAsia"/>
          <w:color w:val="auto"/>
          <w:highlight w:val="none"/>
        </w:rPr>
        <w:t>（未中标人名称）：</w:t>
      </w:r>
    </w:p>
    <w:p w14:paraId="6E0C9D55">
      <w:pPr>
        <w:spacing w:line="480" w:lineRule="exact"/>
        <w:rPr>
          <w:color w:val="auto"/>
          <w:highlight w:val="none"/>
        </w:rPr>
      </w:pPr>
    </w:p>
    <w:p w14:paraId="3BE36B63">
      <w:pPr>
        <w:spacing w:line="480" w:lineRule="exact"/>
        <w:ind w:firstLine="420" w:firstLineChars="200"/>
        <w:rPr>
          <w:color w:val="auto"/>
          <w:highlight w:val="none"/>
        </w:rPr>
      </w:pPr>
      <w:r>
        <w:rPr>
          <w:rFonts w:hint="eastAsia"/>
          <w:color w:val="auto"/>
          <w:highlight w:val="none"/>
        </w:rPr>
        <w:t>我方已接受</w:t>
      </w:r>
      <w:r>
        <w:rPr>
          <w:color w:val="auto"/>
          <w:highlight w:val="none"/>
          <w:u w:val="single"/>
        </w:rPr>
        <w:t xml:space="preserve">                   </w:t>
      </w:r>
      <w:r>
        <w:rPr>
          <w:rFonts w:hint="eastAsia"/>
          <w:color w:val="auto"/>
          <w:highlight w:val="none"/>
        </w:rPr>
        <w:t>（中标人名称）于</w:t>
      </w:r>
      <w:r>
        <w:rPr>
          <w:color w:val="auto"/>
          <w:highlight w:val="none"/>
          <w:u w:val="single"/>
        </w:rPr>
        <w:t xml:space="preserve">                       </w:t>
      </w:r>
      <w:r>
        <w:rPr>
          <w:rFonts w:hint="eastAsia"/>
          <w:color w:val="auto"/>
          <w:highlight w:val="none"/>
        </w:rPr>
        <w:t>（投标日期）所递交的</w:t>
      </w:r>
      <w:r>
        <w:rPr>
          <w:color w:val="auto"/>
          <w:highlight w:val="none"/>
          <w:u w:val="single"/>
        </w:rPr>
        <w:t xml:space="preserve">           </w:t>
      </w:r>
      <w:r>
        <w:rPr>
          <w:rFonts w:hint="eastAsia"/>
          <w:color w:val="auto"/>
          <w:highlight w:val="none"/>
        </w:rPr>
        <w:t>（项目名称）</w:t>
      </w:r>
      <w:r>
        <w:rPr>
          <w:color w:val="auto"/>
          <w:highlight w:val="none"/>
          <w:u w:val="single"/>
        </w:rPr>
        <w:t xml:space="preserve">       </w:t>
      </w:r>
      <w:r>
        <w:rPr>
          <w:rFonts w:hint="eastAsia"/>
          <w:color w:val="auto"/>
          <w:highlight w:val="none"/>
        </w:rPr>
        <w:t>（标段名称）施工投标文件，确定</w:t>
      </w:r>
      <w:r>
        <w:rPr>
          <w:color w:val="auto"/>
          <w:highlight w:val="none"/>
          <w:u w:val="single"/>
        </w:rPr>
        <w:t xml:space="preserve">         </w:t>
      </w:r>
      <w:r>
        <w:rPr>
          <w:rFonts w:hint="eastAsia"/>
          <w:color w:val="auto"/>
          <w:highlight w:val="none"/>
        </w:rPr>
        <w:t>（中标人名称）为中标人。</w:t>
      </w:r>
    </w:p>
    <w:p w14:paraId="0AD6552D">
      <w:pPr>
        <w:spacing w:line="480" w:lineRule="exact"/>
        <w:ind w:firstLine="420" w:firstLineChars="200"/>
        <w:rPr>
          <w:color w:val="auto"/>
          <w:highlight w:val="none"/>
        </w:rPr>
      </w:pPr>
    </w:p>
    <w:p w14:paraId="69D6475B">
      <w:pPr>
        <w:spacing w:line="480" w:lineRule="exact"/>
        <w:ind w:firstLine="420" w:firstLineChars="200"/>
        <w:rPr>
          <w:color w:val="auto"/>
          <w:highlight w:val="none"/>
        </w:rPr>
      </w:pPr>
      <w:r>
        <w:rPr>
          <w:rFonts w:hint="eastAsia"/>
          <w:color w:val="auto"/>
          <w:highlight w:val="none"/>
        </w:rPr>
        <w:t>感谢你单位对我方工作的大力支持</w:t>
      </w:r>
      <w:r>
        <w:rPr>
          <w:color w:val="auto"/>
          <w:highlight w:val="none"/>
        </w:rPr>
        <w:t>!</w:t>
      </w:r>
    </w:p>
    <w:p w14:paraId="45FC3CAC">
      <w:pPr>
        <w:spacing w:line="480" w:lineRule="exact"/>
        <w:ind w:firstLine="420" w:firstLineChars="200"/>
        <w:rPr>
          <w:color w:val="auto"/>
          <w:highlight w:val="none"/>
        </w:rPr>
      </w:pPr>
    </w:p>
    <w:p w14:paraId="12EE3F4E">
      <w:pPr>
        <w:spacing w:line="480" w:lineRule="exact"/>
        <w:ind w:firstLine="420" w:firstLineChars="200"/>
        <w:rPr>
          <w:color w:val="auto"/>
          <w:highlight w:val="none"/>
        </w:rPr>
      </w:pPr>
    </w:p>
    <w:p w14:paraId="0A81AC9D">
      <w:pPr>
        <w:spacing w:line="480" w:lineRule="exact"/>
        <w:ind w:firstLine="420" w:firstLineChars="200"/>
        <w:rPr>
          <w:color w:val="auto"/>
          <w:highlight w:val="none"/>
        </w:rPr>
      </w:pPr>
    </w:p>
    <w:p w14:paraId="33F1C58A">
      <w:pPr>
        <w:spacing w:line="480" w:lineRule="exact"/>
        <w:ind w:firstLine="420" w:firstLineChars="200"/>
        <w:rPr>
          <w:color w:val="auto"/>
          <w:highlight w:val="none"/>
        </w:rPr>
      </w:pPr>
    </w:p>
    <w:p w14:paraId="631B7F65">
      <w:pPr>
        <w:wordWrap w:val="0"/>
        <w:spacing w:line="480" w:lineRule="exact"/>
        <w:ind w:firstLine="420" w:firstLineChars="200"/>
        <w:jc w:val="right"/>
        <w:rPr>
          <w:rFonts w:ascii="宋体" w:hAnsi="宋体"/>
          <w:color w:val="auto"/>
          <w:highlight w:val="none"/>
        </w:rPr>
      </w:pPr>
      <w:r>
        <w:rPr>
          <w:rFonts w:hint="eastAsia" w:ascii="宋体" w:hAnsi="宋体"/>
          <w:color w:val="auto"/>
          <w:highlight w:val="none"/>
        </w:rPr>
        <w:t>招标人：</w:t>
      </w:r>
      <w:r>
        <w:rPr>
          <w:rFonts w:hint="eastAsia" w:ascii="宋体" w:hAnsi="宋体"/>
          <w:color w:val="auto"/>
          <w:highlight w:val="none"/>
          <w:u w:val="single"/>
        </w:rPr>
        <w:t xml:space="preserve">               </w:t>
      </w:r>
      <w:r>
        <w:rPr>
          <w:rFonts w:hint="eastAsia" w:ascii="宋体" w:hAnsi="宋体"/>
          <w:color w:val="auto"/>
          <w:highlight w:val="none"/>
        </w:rPr>
        <w:t xml:space="preserve">（盖单位章） </w:t>
      </w:r>
    </w:p>
    <w:p w14:paraId="59504E21">
      <w:pPr>
        <w:wordWrap w:val="0"/>
        <w:spacing w:line="480" w:lineRule="exact"/>
        <w:ind w:firstLine="420" w:firstLineChars="200"/>
        <w:jc w:val="right"/>
        <w:rPr>
          <w:rFonts w:hint="eastAsia" w:ascii="宋体" w:hAnsi="宋体"/>
          <w:color w:val="auto"/>
          <w:highlight w:val="none"/>
        </w:rPr>
      </w:pPr>
      <w:r>
        <w:rPr>
          <w:rFonts w:hint="eastAsia" w:ascii="宋体" w:hAnsi="宋体"/>
          <w:color w:val="auto"/>
          <w:highlight w:val="none"/>
        </w:rPr>
        <w:t>法定代表人：</w:t>
      </w:r>
      <w:r>
        <w:rPr>
          <w:rFonts w:hint="eastAsia" w:ascii="宋体" w:hAnsi="宋体"/>
          <w:color w:val="auto"/>
          <w:highlight w:val="none"/>
          <w:u w:val="single"/>
        </w:rPr>
        <w:t xml:space="preserve">              </w:t>
      </w:r>
      <w:r>
        <w:rPr>
          <w:rFonts w:hint="eastAsia" w:ascii="宋体" w:hAnsi="宋体"/>
          <w:color w:val="auto"/>
          <w:highlight w:val="none"/>
        </w:rPr>
        <w:t xml:space="preserve"> （签字） </w:t>
      </w:r>
    </w:p>
    <w:p w14:paraId="027E9A61">
      <w:pPr>
        <w:wordWrap w:val="0"/>
        <w:spacing w:line="480" w:lineRule="exact"/>
        <w:ind w:firstLine="4689" w:firstLineChars="2233"/>
        <w:jc w:val="right"/>
        <w:rPr>
          <w:rFonts w:hint="eastAsia" w:ascii="Times New Roman" w:hAnsi="Times New Roman"/>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 xml:space="preserve">日  </w:t>
      </w:r>
    </w:p>
    <w:p w14:paraId="241BD6BC">
      <w:pPr>
        <w:spacing w:line="480" w:lineRule="exact"/>
        <w:ind w:firstLine="4689" w:firstLineChars="2233"/>
        <w:jc w:val="right"/>
        <w:rPr>
          <w:color w:val="auto"/>
          <w:highlight w:val="none"/>
        </w:rPr>
      </w:pPr>
    </w:p>
    <w:p w14:paraId="2E1AED81">
      <w:pPr>
        <w:spacing w:line="480" w:lineRule="exact"/>
        <w:ind w:firstLine="4689" w:firstLineChars="2233"/>
        <w:jc w:val="right"/>
        <w:rPr>
          <w:color w:val="auto"/>
          <w:highlight w:val="none"/>
        </w:rPr>
      </w:pPr>
    </w:p>
    <w:p w14:paraId="01FADD89">
      <w:pPr>
        <w:spacing w:line="480" w:lineRule="exact"/>
        <w:ind w:firstLine="4689" w:firstLineChars="2233"/>
        <w:jc w:val="right"/>
        <w:rPr>
          <w:color w:val="auto"/>
          <w:highlight w:val="none"/>
        </w:rPr>
      </w:pPr>
    </w:p>
    <w:p w14:paraId="6E94A858">
      <w:pPr>
        <w:spacing w:line="480" w:lineRule="exact"/>
        <w:ind w:firstLine="4689" w:firstLineChars="2233"/>
        <w:jc w:val="right"/>
        <w:rPr>
          <w:color w:val="auto"/>
          <w:highlight w:val="none"/>
        </w:rPr>
      </w:pPr>
    </w:p>
    <w:p w14:paraId="59F1335D">
      <w:pPr>
        <w:spacing w:line="480" w:lineRule="exact"/>
        <w:rPr>
          <w:color w:val="auto"/>
          <w:highlight w:val="none"/>
        </w:rPr>
      </w:pPr>
    </w:p>
    <w:p w14:paraId="6B666B10">
      <w:pPr>
        <w:spacing w:line="480" w:lineRule="exact"/>
        <w:rPr>
          <w:color w:val="auto"/>
          <w:highlight w:val="none"/>
        </w:rPr>
      </w:pPr>
    </w:p>
    <w:p w14:paraId="63F9E394">
      <w:pPr>
        <w:spacing w:line="480" w:lineRule="exact"/>
        <w:rPr>
          <w:color w:val="auto"/>
          <w:highlight w:val="none"/>
        </w:rPr>
      </w:pPr>
    </w:p>
    <w:p w14:paraId="0D03CFE8">
      <w:pPr>
        <w:spacing w:line="480" w:lineRule="exact"/>
        <w:rPr>
          <w:color w:val="auto"/>
          <w:highlight w:val="none"/>
        </w:rPr>
      </w:pPr>
    </w:p>
    <w:p w14:paraId="6FB242CE">
      <w:pPr>
        <w:spacing w:line="480" w:lineRule="exact"/>
        <w:rPr>
          <w:color w:val="auto"/>
          <w:highlight w:val="none"/>
        </w:rPr>
      </w:pPr>
    </w:p>
    <w:p w14:paraId="12CCCC6B">
      <w:pPr>
        <w:spacing w:line="480" w:lineRule="exact"/>
        <w:rPr>
          <w:color w:val="auto"/>
          <w:highlight w:val="none"/>
        </w:rPr>
      </w:pPr>
    </w:p>
    <w:p w14:paraId="26ED153A">
      <w:pPr>
        <w:pStyle w:val="3"/>
        <w:rPr>
          <w:rFonts w:ascii="仿宋_GB2312" w:hAnsi="黑体" w:eastAsia="仿宋_GB2312"/>
          <w:b w:val="0"/>
          <w:bCs w:val="0"/>
          <w:color w:val="auto"/>
          <w:spacing w:val="12"/>
          <w:sz w:val="24"/>
          <w:highlight w:val="none"/>
        </w:rPr>
      </w:pPr>
      <w:bookmarkStart w:id="570" w:name="_Toc19351"/>
      <w:bookmarkStart w:id="571" w:name="_Toc28531758"/>
      <w:r>
        <w:rPr>
          <w:rFonts w:hint="eastAsia"/>
          <w:b w:val="0"/>
          <w:color w:val="auto"/>
          <w:sz w:val="24"/>
          <w:szCs w:val="24"/>
          <w:highlight w:val="none"/>
        </w:rPr>
        <w:t>附表十：异议函</w:t>
      </w:r>
      <w:bookmarkEnd w:id="570"/>
      <w:bookmarkEnd w:id="571"/>
    </w:p>
    <w:p w14:paraId="02002558">
      <w:pPr>
        <w:spacing w:line="720" w:lineRule="auto"/>
        <w:jc w:val="center"/>
        <w:rPr>
          <w:rFonts w:hint="eastAsia" w:ascii="仿宋_GB2312" w:hAnsi="Times New Roman" w:eastAsia="仿宋_GB2312"/>
          <w:b/>
          <w:color w:val="auto"/>
          <w:sz w:val="28"/>
          <w:szCs w:val="28"/>
          <w:highlight w:val="none"/>
        </w:rPr>
      </w:pPr>
    </w:p>
    <w:p w14:paraId="3C122AF0">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异议函</w:t>
      </w:r>
    </w:p>
    <w:p w14:paraId="32EAD7D3">
      <w:pPr>
        <w:spacing w:line="360" w:lineRule="auto"/>
        <w:ind w:firstLine="420"/>
        <w:rPr>
          <w:rFonts w:hint="eastAsia" w:ascii="宋体" w:hAnsi="宋体"/>
          <w:color w:val="auto"/>
          <w:szCs w:val="21"/>
          <w:highlight w:val="none"/>
        </w:rPr>
      </w:pPr>
    </w:p>
    <w:p w14:paraId="2FFF2868">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编号：</w:t>
      </w:r>
      <w:r>
        <w:rPr>
          <w:rFonts w:hint="eastAsia" w:ascii="宋体" w:hAnsi="宋体"/>
          <w:color w:val="auto"/>
          <w:szCs w:val="21"/>
          <w:highlight w:val="none"/>
          <w:u w:val="single"/>
        </w:rPr>
        <w:t>　        　</w:t>
      </w:r>
    </w:p>
    <w:p w14:paraId="02DEEFC1">
      <w:pPr>
        <w:spacing w:line="360" w:lineRule="auto"/>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rPr>
        <w:t>(招标人名称)：</w:t>
      </w:r>
    </w:p>
    <w:p w14:paraId="6C0971DF">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我方已研究（看到）你方发出的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hint="eastAsia" w:ascii="宋体" w:hAnsi="宋体"/>
          <w:color w:val="auto"/>
          <w:szCs w:val="21"/>
          <w:highlight w:val="none"/>
          <w:u w:val="single"/>
        </w:rPr>
        <w:t xml:space="preserve">      </w:t>
      </w:r>
      <w:r>
        <w:rPr>
          <w:rFonts w:hint="eastAsia"/>
          <w:color w:val="auto"/>
          <w:highlight w:val="none"/>
        </w:rPr>
        <w:t>（标段名称）</w:t>
      </w:r>
      <w:r>
        <w:rPr>
          <w:rFonts w:hint="eastAsia" w:ascii="宋体" w:hAnsi="宋体"/>
          <w:color w:val="auto"/>
          <w:szCs w:val="21"/>
          <w:highlight w:val="none"/>
        </w:rPr>
        <w:t>施工招标文件（或评标结果公示），现对下列问题提出异议，请予以解释：</w:t>
      </w:r>
    </w:p>
    <w:p w14:paraId="19EAC7C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1.……</w:t>
      </w:r>
    </w:p>
    <w:p w14:paraId="0B45A391">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2.……</w:t>
      </w:r>
    </w:p>
    <w:p w14:paraId="59A19F32">
      <w:pPr>
        <w:spacing w:line="360" w:lineRule="auto"/>
        <w:ind w:firstLine="420"/>
        <w:rPr>
          <w:rFonts w:hint="eastAsia" w:ascii="宋体" w:hAnsi="宋体"/>
          <w:color w:val="auto"/>
          <w:szCs w:val="21"/>
          <w:highlight w:val="none"/>
        </w:rPr>
      </w:pPr>
    </w:p>
    <w:p w14:paraId="7E02B11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投标人或利害关系人：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6261E915">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法定代表人：</w:t>
      </w:r>
      <w:r>
        <w:rPr>
          <w:rFonts w:hint="eastAsia" w:ascii="宋体" w:hAnsi="宋体"/>
          <w:color w:val="auto"/>
          <w:szCs w:val="21"/>
          <w:highlight w:val="none"/>
          <w:u w:val="single"/>
        </w:rPr>
        <w:t>　　　　              　　　</w:t>
      </w:r>
      <w:r>
        <w:rPr>
          <w:rFonts w:hint="eastAsia" w:ascii="宋体" w:hAnsi="宋体"/>
          <w:color w:val="auto"/>
          <w:szCs w:val="21"/>
          <w:highlight w:val="none"/>
        </w:rPr>
        <w:t>(签字)</w:t>
      </w:r>
    </w:p>
    <w:p w14:paraId="76500CBB">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w:t>
      </w:r>
      <w:r>
        <w:rPr>
          <w:rFonts w:hint="eastAsia" w:ascii="宋体" w:hAnsi="宋体"/>
          <w:color w:val="auto"/>
          <w:szCs w:val="21"/>
          <w:highlight w:val="none"/>
        </w:rPr>
        <w:t>年</w:t>
      </w:r>
      <w:r>
        <w:rPr>
          <w:rFonts w:hint="eastAsia" w:ascii="宋体" w:hAnsi="宋体"/>
          <w:color w:val="auto"/>
          <w:szCs w:val="21"/>
          <w:highlight w:val="none"/>
          <w:u w:val="single"/>
        </w:rPr>
        <w:t>　　</w:t>
      </w:r>
      <w:r>
        <w:rPr>
          <w:rFonts w:hint="eastAsia" w:ascii="宋体" w:hAnsi="宋体"/>
          <w:color w:val="auto"/>
          <w:szCs w:val="21"/>
          <w:highlight w:val="none"/>
        </w:rPr>
        <w:t>月</w:t>
      </w:r>
      <w:r>
        <w:rPr>
          <w:rFonts w:hint="eastAsia" w:ascii="宋体" w:hAnsi="宋体"/>
          <w:color w:val="auto"/>
          <w:szCs w:val="21"/>
          <w:highlight w:val="none"/>
          <w:u w:val="single"/>
        </w:rPr>
        <w:t>　　</w:t>
      </w:r>
      <w:r>
        <w:rPr>
          <w:rFonts w:hint="eastAsia" w:ascii="宋体" w:hAnsi="宋体"/>
          <w:color w:val="auto"/>
          <w:szCs w:val="21"/>
          <w:highlight w:val="none"/>
        </w:rPr>
        <w:t>日</w:t>
      </w:r>
    </w:p>
    <w:p w14:paraId="3365B78A">
      <w:pPr>
        <w:spacing w:line="560" w:lineRule="exact"/>
        <w:rPr>
          <w:rFonts w:hint="eastAsia" w:ascii="Times New Roman" w:hAnsi="Times New Roman"/>
          <w:color w:val="auto"/>
          <w:szCs w:val="21"/>
          <w:highlight w:val="none"/>
        </w:rPr>
      </w:pPr>
    </w:p>
    <w:p w14:paraId="4BCD10B2">
      <w:pPr>
        <w:spacing w:line="560" w:lineRule="exact"/>
        <w:rPr>
          <w:color w:val="auto"/>
          <w:szCs w:val="21"/>
          <w:highlight w:val="none"/>
        </w:rPr>
      </w:pPr>
    </w:p>
    <w:p w14:paraId="4A3A8B06">
      <w:pPr>
        <w:spacing w:line="360" w:lineRule="auto"/>
        <w:ind w:firstLine="420"/>
        <w:jc w:val="right"/>
        <w:rPr>
          <w:rFonts w:ascii="仿宋_GB2312" w:eastAsia="仿宋_GB2312"/>
          <w:color w:val="auto"/>
          <w:szCs w:val="21"/>
          <w:highlight w:val="none"/>
        </w:rPr>
      </w:pPr>
    </w:p>
    <w:p w14:paraId="242959EE">
      <w:pPr>
        <w:ind w:firstLine="420"/>
        <w:jc w:val="right"/>
        <w:rPr>
          <w:rFonts w:hint="eastAsia" w:ascii="仿宋_GB2312" w:eastAsia="仿宋_GB2312"/>
          <w:color w:val="auto"/>
          <w:szCs w:val="21"/>
          <w:highlight w:val="none"/>
        </w:rPr>
      </w:pPr>
    </w:p>
    <w:p w14:paraId="4D0CF4D7">
      <w:pPr>
        <w:ind w:firstLine="420"/>
        <w:jc w:val="right"/>
        <w:rPr>
          <w:rFonts w:hint="eastAsia" w:ascii="仿宋_GB2312" w:eastAsia="仿宋_GB2312"/>
          <w:color w:val="auto"/>
          <w:szCs w:val="21"/>
          <w:highlight w:val="none"/>
        </w:rPr>
      </w:pPr>
    </w:p>
    <w:p w14:paraId="0AF2CAAA">
      <w:pPr>
        <w:ind w:firstLine="420"/>
        <w:jc w:val="right"/>
        <w:rPr>
          <w:rFonts w:hint="eastAsia" w:ascii="仿宋_GB2312" w:eastAsia="仿宋_GB2312"/>
          <w:color w:val="auto"/>
          <w:szCs w:val="21"/>
          <w:highlight w:val="none"/>
        </w:rPr>
      </w:pPr>
    </w:p>
    <w:p w14:paraId="45907474">
      <w:pPr>
        <w:ind w:firstLine="420"/>
        <w:jc w:val="right"/>
        <w:rPr>
          <w:rFonts w:hint="eastAsia" w:ascii="仿宋_GB2312" w:eastAsia="仿宋_GB2312"/>
          <w:color w:val="auto"/>
          <w:szCs w:val="21"/>
          <w:highlight w:val="none"/>
        </w:rPr>
      </w:pPr>
    </w:p>
    <w:p w14:paraId="7F7DD315">
      <w:pPr>
        <w:ind w:firstLine="420"/>
        <w:jc w:val="right"/>
        <w:rPr>
          <w:rFonts w:hint="eastAsia" w:ascii="仿宋_GB2312" w:eastAsia="仿宋_GB2312"/>
          <w:color w:val="auto"/>
          <w:szCs w:val="21"/>
          <w:highlight w:val="none"/>
        </w:rPr>
      </w:pPr>
    </w:p>
    <w:p w14:paraId="2862EAAE">
      <w:pPr>
        <w:ind w:firstLine="420"/>
        <w:jc w:val="right"/>
        <w:rPr>
          <w:rFonts w:hint="eastAsia" w:ascii="仿宋_GB2312" w:eastAsia="仿宋_GB2312"/>
          <w:color w:val="auto"/>
          <w:szCs w:val="21"/>
          <w:highlight w:val="none"/>
        </w:rPr>
      </w:pPr>
    </w:p>
    <w:p w14:paraId="082F9EED">
      <w:pPr>
        <w:ind w:firstLine="420"/>
        <w:jc w:val="right"/>
        <w:rPr>
          <w:rFonts w:hint="eastAsia" w:ascii="仿宋_GB2312" w:eastAsia="仿宋_GB2312"/>
          <w:color w:val="auto"/>
          <w:szCs w:val="21"/>
          <w:highlight w:val="none"/>
        </w:rPr>
      </w:pPr>
    </w:p>
    <w:p w14:paraId="7A542AD5">
      <w:pPr>
        <w:ind w:firstLine="420"/>
        <w:jc w:val="right"/>
        <w:rPr>
          <w:rFonts w:hint="eastAsia" w:ascii="仿宋_GB2312" w:eastAsia="仿宋_GB2312"/>
          <w:color w:val="auto"/>
          <w:szCs w:val="21"/>
          <w:highlight w:val="none"/>
        </w:rPr>
      </w:pPr>
    </w:p>
    <w:p w14:paraId="73914999">
      <w:pPr>
        <w:ind w:firstLine="420"/>
        <w:jc w:val="right"/>
        <w:rPr>
          <w:rFonts w:hint="eastAsia" w:ascii="仿宋_GB2312" w:eastAsia="仿宋_GB2312"/>
          <w:color w:val="auto"/>
          <w:szCs w:val="21"/>
          <w:highlight w:val="none"/>
        </w:rPr>
      </w:pPr>
    </w:p>
    <w:p w14:paraId="07972F3E">
      <w:pPr>
        <w:ind w:left="630" w:hanging="630" w:hangingChars="300"/>
        <w:rPr>
          <w:rFonts w:hint="eastAsia" w:ascii="Times New Roman"/>
          <w:color w:val="auto"/>
          <w:szCs w:val="21"/>
          <w:highlight w:val="none"/>
        </w:rPr>
      </w:pPr>
      <w:r>
        <w:rPr>
          <w:rFonts w:hint="eastAsia" w:ascii="宋体" w:hAnsi="宋体"/>
          <w:color w:val="auto"/>
          <w:szCs w:val="21"/>
          <w:highlight w:val="none"/>
        </w:rPr>
        <w:t>备注</w:t>
      </w:r>
      <w:r>
        <w:rPr>
          <w:rFonts w:hint="eastAsia"/>
          <w:color w:val="auto"/>
          <w:highlight w:val="none"/>
        </w:rPr>
        <w:t>：</w:t>
      </w:r>
      <w:r>
        <w:rPr>
          <w:rFonts w:hint="eastAsia"/>
          <w:color w:val="auto"/>
          <w:szCs w:val="21"/>
          <w:highlight w:val="none"/>
        </w:rPr>
        <w:t>投标人或利害关系人对招标文件的内容或对</w:t>
      </w:r>
      <w:r>
        <w:rPr>
          <w:rFonts w:hint="eastAsia"/>
          <w:color w:val="auto"/>
          <w:highlight w:val="none"/>
        </w:rPr>
        <w:t>评标结果有异议，</w:t>
      </w:r>
      <w:r>
        <w:rPr>
          <w:rFonts w:hint="eastAsia"/>
          <w:color w:val="auto"/>
          <w:szCs w:val="21"/>
          <w:highlight w:val="none"/>
        </w:rPr>
        <w:t>要求招标人解释的，适用本格式。</w:t>
      </w:r>
    </w:p>
    <w:p w14:paraId="09F46EF6">
      <w:pPr>
        <w:ind w:firstLine="420"/>
        <w:rPr>
          <w:color w:val="auto"/>
          <w:szCs w:val="21"/>
          <w:highlight w:val="none"/>
        </w:rPr>
      </w:pPr>
    </w:p>
    <w:p w14:paraId="2C6591EF">
      <w:pPr>
        <w:ind w:firstLine="420"/>
        <w:rPr>
          <w:rFonts w:ascii="仿宋_GB2312" w:eastAsia="仿宋_GB2312"/>
          <w:color w:val="auto"/>
          <w:szCs w:val="21"/>
          <w:highlight w:val="none"/>
        </w:rPr>
      </w:pPr>
    </w:p>
    <w:p w14:paraId="427DD109">
      <w:pPr>
        <w:ind w:firstLine="420"/>
        <w:jc w:val="right"/>
        <w:rPr>
          <w:rFonts w:hint="eastAsia" w:ascii="仿宋_GB2312" w:eastAsia="仿宋_GB2312"/>
          <w:color w:val="auto"/>
          <w:szCs w:val="21"/>
          <w:highlight w:val="none"/>
        </w:rPr>
      </w:pPr>
    </w:p>
    <w:p w14:paraId="103223A2">
      <w:pPr>
        <w:pStyle w:val="3"/>
        <w:rPr>
          <w:rFonts w:hint="eastAsia"/>
          <w:b w:val="0"/>
          <w:color w:val="auto"/>
          <w:sz w:val="24"/>
          <w:szCs w:val="24"/>
          <w:highlight w:val="none"/>
        </w:rPr>
      </w:pPr>
      <w:bookmarkStart w:id="572" w:name="_Toc28531759"/>
      <w:bookmarkStart w:id="573" w:name="_Toc21579"/>
      <w:bookmarkStart w:id="574" w:name="_Toc353544011"/>
      <w:r>
        <w:rPr>
          <w:rFonts w:hint="eastAsia"/>
          <w:b w:val="0"/>
          <w:color w:val="auto"/>
          <w:sz w:val="24"/>
          <w:szCs w:val="24"/>
          <w:highlight w:val="none"/>
        </w:rPr>
        <w:t>附表十一：异议答复函</w:t>
      </w:r>
      <w:bookmarkEnd w:id="572"/>
      <w:bookmarkEnd w:id="573"/>
      <w:bookmarkEnd w:id="574"/>
    </w:p>
    <w:p w14:paraId="6FB1E032">
      <w:pPr>
        <w:jc w:val="center"/>
        <w:rPr>
          <w:rFonts w:hAnsi="黑体" w:eastAsia="黑体"/>
          <w:b/>
          <w:color w:val="auto"/>
          <w:sz w:val="28"/>
          <w:szCs w:val="28"/>
          <w:highlight w:val="none"/>
        </w:rPr>
      </w:pPr>
    </w:p>
    <w:p w14:paraId="0F739EED">
      <w:pPr>
        <w:jc w:val="center"/>
        <w:rPr>
          <w:rFonts w:hAnsi="黑体" w:eastAsia="黑体"/>
          <w:b/>
          <w:color w:val="auto"/>
          <w:sz w:val="28"/>
          <w:szCs w:val="28"/>
          <w:highlight w:val="none"/>
        </w:rPr>
      </w:pPr>
    </w:p>
    <w:p w14:paraId="65C412BC">
      <w:pPr>
        <w:spacing w:before="240" w:beforeLines="100" w:after="240" w:afterLines="100" w:line="480" w:lineRule="exact"/>
        <w:jc w:val="center"/>
        <w:rPr>
          <w:rFonts w:ascii="黑体" w:hAnsi="Times New Roman" w:eastAsia="黑体"/>
          <w:color w:val="auto"/>
          <w:sz w:val="28"/>
          <w:szCs w:val="28"/>
          <w:highlight w:val="none"/>
        </w:rPr>
      </w:pPr>
      <w:r>
        <w:rPr>
          <w:rFonts w:hint="eastAsia" w:ascii="黑体" w:eastAsia="黑体"/>
          <w:color w:val="auto"/>
          <w:sz w:val="28"/>
          <w:szCs w:val="28"/>
          <w:highlight w:val="none"/>
        </w:rPr>
        <w:t>异议答复函</w:t>
      </w:r>
    </w:p>
    <w:p w14:paraId="3A76073A">
      <w:pPr>
        <w:spacing w:line="360" w:lineRule="auto"/>
        <w:ind w:firstLine="420"/>
        <w:rPr>
          <w:rFonts w:hint="eastAsia" w:ascii="宋体" w:hAnsi="宋体"/>
          <w:color w:val="auto"/>
          <w:szCs w:val="21"/>
          <w:highlight w:val="none"/>
        </w:rPr>
      </w:pPr>
    </w:p>
    <w:p w14:paraId="1ED89C6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编号：</w:t>
      </w:r>
      <w:r>
        <w:rPr>
          <w:rFonts w:hint="eastAsia" w:ascii="宋体" w:hAnsi="宋体"/>
          <w:color w:val="auto"/>
          <w:szCs w:val="21"/>
          <w:highlight w:val="none"/>
          <w:u w:val="single"/>
        </w:rPr>
        <w:t>　        　</w:t>
      </w:r>
    </w:p>
    <w:p w14:paraId="31E68C69">
      <w:pPr>
        <w:spacing w:line="360" w:lineRule="auto"/>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rPr>
        <w:t>(投标人或利害关系人名称)：</w:t>
      </w:r>
    </w:p>
    <w:p w14:paraId="64B89251">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你方提出的有关</w:t>
      </w:r>
      <w:r>
        <w:rPr>
          <w:rFonts w:hint="eastAsia" w:ascii="宋体" w:hAnsi="宋体"/>
          <w:color w:val="auto"/>
          <w:szCs w:val="21"/>
          <w:highlight w:val="none"/>
          <w:u w:val="single"/>
        </w:rPr>
        <w:t>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color w:val="auto"/>
          <w:highlight w:val="none"/>
        </w:rPr>
        <w:t>（标段名称）</w:t>
      </w:r>
      <w:r>
        <w:rPr>
          <w:rFonts w:hint="eastAsia" w:ascii="宋体" w:hAnsi="宋体"/>
          <w:color w:val="auto"/>
          <w:szCs w:val="21"/>
          <w:highlight w:val="none"/>
        </w:rPr>
        <w:t>施工招标文件（或评标结果公示）的异议已收悉，现答复如下：</w:t>
      </w:r>
    </w:p>
    <w:p w14:paraId="42E326D6">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w:t>
      </w:r>
    </w:p>
    <w:p w14:paraId="3EB528D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w:t>
      </w:r>
    </w:p>
    <w:p w14:paraId="2DEC0E84">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w:t>
      </w:r>
    </w:p>
    <w:p w14:paraId="2D898100">
      <w:pPr>
        <w:spacing w:line="360" w:lineRule="auto"/>
        <w:ind w:firstLine="420"/>
        <w:rPr>
          <w:rFonts w:hint="eastAsia" w:ascii="宋体" w:hAnsi="宋体"/>
          <w:color w:val="auto"/>
          <w:szCs w:val="21"/>
          <w:highlight w:val="none"/>
        </w:rPr>
      </w:pPr>
    </w:p>
    <w:p w14:paraId="4FC46BDA">
      <w:pPr>
        <w:spacing w:line="360" w:lineRule="auto"/>
        <w:ind w:firstLine="420"/>
        <w:rPr>
          <w:rFonts w:hint="eastAsia" w:ascii="宋体" w:hAnsi="宋体"/>
          <w:color w:val="auto"/>
          <w:szCs w:val="21"/>
          <w:highlight w:val="none"/>
        </w:rPr>
      </w:pPr>
    </w:p>
    <w:p w14:paraId="4FF47600">
      <w:pPr>
        <w:spacing w:line="360" w:lineRule="auto"/>
        <w:ind w:firstLine="420"/>
        <w:rPr>
          <w:rFonts w:hint="eastAsia" w:ascii="宋体" w:hAnsi="宋体"/>
          <w:color w:val="auto"/>
          <w:szCs w:val="21"/>
          <w:highlight w:val="none"/>
        </w:rPr>
      </w:pPr>
    </w:p>
    <w:p w14:paraId="40FF62FB">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招标人：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（盖单位章）</w:t>
      </w:r>
    </w:p>
    <w:p w14:paraId="500F73E7">
      <w:pPr>
        <w:spacing w:line="360" w:lineRule="auto"/>
        <w:ind w:firstLine="420"/>
        <w:rPr>
          <w:rFonts w:hint="eastAsia" w:ascii="宋体" w:hAnsi="宋体"/>
          <w:color w:val="auto"/>
          <w:szCs w:val="21"/>
          <w:highlight w:val="none"/>
        </w:rPr>
      </w:pPr>
    </w:p>
    <w:p w14:paraId="6FD18E15">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43DB5325">
      <w:pPr>
        <w:spacing w:line="360" w:lineRule="auto"/>
        <w:ind w:firstLine="420"/>
        <w:rPr>
          <w:rFonts w:hint="eastAsia" w:ascii="宋体" w:hAnsi="宋体"/>
          <w:color w:val="auto"/>
          <w:szCs w:val="21"/>
          <w:highlight w:val="none"/>
        </w:rPr>
      </w:pPr>
    </w:p>
    <w:p w14:paraId="3A7A186C">
      <w:pPr>
        <w:spacing w:line="360" w:lineRule="auto"/>
        <w:ind w:firstLine="420"/>
        <w:rPr>
          <w:rFonts w:hint="eastAsia" w:ascii="宋体" w:hAnsi="宋体"/>
          <w:color w:val="auto"/>
          <w:szCs w:val="21"/>
          <w:highlight w:val="none"/>
        </w:rPr>
      </w:pPr>
    </w:p>
    <w:p w14:paraId="7506C19C">
      <w:pPr>
        <w:spacing w:line="360" w:lineRule="auto"/>
        <w:ind w:firstLine="420"/>
        <w:rPr>
          <w:rFonts w:hint="eastAsia" w:ascii="宋体" w:hAnsi="宋体"/>
          <w:color w:val="auto"/>
          <w:szCs w:val="21"/>
          <w:highlight w:val="none"/>
        </w:rPr>
      </w:pPr>
    </w:p>
    <w:p w14:paraId="74361263">
      <w:pPr>
        <w:spacing w:line="360" w:lineRule="auto"/>
        <w:ind w:firstLine="420"/>
        <w:rPr>
          <w:rFonts w:hint="eastAsia" w:ascii="宋体" w:hAnsi="宋体"/>
          <w:color w:val="auto"/>
          <w:szCs w:val="21"/>
          <w:highlight w:val="none"/>
        </w:rPr>
      </w:pPr>
    </w:p>
    <w:p w14:paraId="3ECFFB26">
      <w:pPr>
        <w:spacing w:line="360" w:lineRule="auto"/>
        <w:ind w:firstLine="420"/>
        <w:rPr>
          <w:rFonts w:hint="eastAsia" w:ascii="宋体" w:hAnsi="宋体"/>
          <w:color w:val="auto"/>
          <w:szCs w:val="21"/>
          <w:highlight w:val="none"/>
        </w:rPr>
      </w:pPr>
    </w:p>
    <w:p w14:paraId="252E44A4">
      <w:pPr>
        <w:spacing w:line="360" w:lineRule="auto"/>
        <w:ind w:firstLine="420"/>
        <w:rPr>
          <w:rFonts w:hint="eastAsia" w:ascii="宋体" w:hAnsi="宋体"/>
          <w:color w:val="auto"/>
          <w:szCs w:val="21"/>
          <w:highlight w:val="none"/>
        </w:rPr>
      </w:pPr>
    </w:p>
    <w:p w14:paraId="29BEC171">
      <w:pPr>
        <w:spacing w:line="480" w:lineRule="exact"/>
        <w:rPr>
          <w:rFonts w:hint="eastAsia" w:ascii="Times New Roman" w:hAnsi="Times New Roman"/>
          <w:color w:val="auto"/>
          <w:szCs w:val="24"/>
          <w:highlight w:val="none"/>
        </w:rPr>
      </w:pPr>
    </w:p>
    <w:p w14:paraId="23C60028">
      <w:pPr>
        <w:spacing w:line="480" w:lineRule="exact"/>
        <w:rPr>
          <w:color w:val="auto"/>
          <w:highlight w:val="none"/>
        </w:rPr>
      </w:pPr>
    </w:p>
    <w:p w14:paraId="13E083F1">
      <w:pPr>
        <w:spacing w:line="480" w:lineRule="exact"/>
        <w:rPr>
          <w:color w:val="auto"/>
          <w:highlight w:val="none"/>
        </w:rPr>
      </w:pPr>
    </w:p>
    <w:p w14:paraId="5F1A2A0D">
      <w:pPr>
        <w:spacing w:line="480" w:lineRule="exact"/>
        <w:rPr>
          <w:color w:val="auto"/>
          <w:highlight w:val="none"/>
        </w:rPr>
      </w:pPr>
    </w:p>
    <w:p w14:paraId="5B1A33F3">
      <w:pPr>
        <w:pStyle w:val="3"/>
        <w:rPr>
          <w:b w:val="0"/>
          <w:color w:val="auto"/>
          <w:sz w:val="24"/>
          <w:szCs w:val="24"/>
          <w:highlight w:val="none"/>
        </w:rPr>
      </w:pPr>
      <w:bookmarkStart w:id="575" w:name="_Toc28531760"/>
      <w:bookmarkStart w:id="576" w:name="_Toc27570"/>
      <w:r>
        <w:rPr>
          <w:rFonts w:hint="eastAsia"/>
          <w:b w:val="0"/>
          <w:color w:val="auto"/>
          <w:sz w:val="24"/>
          <w:szCs w:val="24"/>
          <w:highlight w:val="none"/>
        </w:rPr>
        <w:t>附表十二：招标控制价明细</w:t>
      </w:r>
      <w:bookmarkEnd w:id="575"/>
      <w:bookmarkEnd w:id="576"/>
    </w:p>
    <w:p w14:paraId="1300A742">
      <w:pPr>
        <w:spacing w:before="240" w:beforeLines="100" w:after="240" w:afterLines="100" w:line="480" w:lineRule="exact"/>
        <w:jc w:val="center"/>
        <w:rPr>
          <w:rFonts w:ascii="黑体" w:eastAsia="黑体"/>
          <w:color w:val="auto"/>
          <w:sz w:val="28"/>
          <w:szCs w:val="28"/>
          <w:highlight w:val="none"/>
        </w:rPr>
      </w:pPr>
      <w:r>
        <w:rPr>
          <w:rFonts w:hint="eastAsia" w:ascii="黑体" w:eastAsia="黑体"/>
          <w:color w:val="auto"/>
          <w:sz w:val="28"/>
          <w:szCs w:val="28"/>
          <w:highlight w:val="none"/>
        </w:rPr>
        <w:t>招标控制价明细</w:t>
      </w:r>
    </w:p>
    <w:p w14:paraId="700F095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住房和城乡建设部令第16号《建筑工程施工发包与承包计价管理办法》第八条的规定：“招标人设有最高投标限价的，应当在招标时公布最高投标限价的总价，以及各单位工程的分部分项工程费、措施项目费、其他项目费、规费和税金。”</w:t>
      </w:r>
    </w:p>
    <w:p w14:paraId="6267233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根据中华人民共和国国家标准《建设工程工程量清单计价规范》（GB50500-2013）第5.1.6款规定：“招标人应当在发布招标文件时公布招标控制价”。</w:t>
      </w:r>
    </w:p>
    <w:p w14:paraId="2F3E1FB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本招标项目招标控制价应公布的资料为：</w:t>
      </w:r>
    </w:p>
    <w:p w14:paraId="397B6AC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1.招标控制价封面；</w:t>
      </w:r>
    </w:p>
    <w:p w14:paraId="1164BA2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2.招标控制价封面扉页；</w:t>
      </w:r>
    </w:p>
    <w:p w14:paraId="1D3A7D5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3.工程计价总说明；</w:t>
      </w:r>
    </w:p>
    <w:p w14:paraId="60360C4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4.建设项目招标控制价汇总表；</w:t>
      </w:r>
    </w:p>
    <w:p w14:paraId="4C2E125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5.单项工程招标控制价汇总表；</w:t>
      </w:r>
    </w:p>
    <w:p w14:paraId="559EFCD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6.单位工程招标控制价汇总表；</w:t>
      </w:r>
    </w:p>
    <w:p w14:paraId="01662A0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7.分部分项工程和单价措施项目清单与计价表； </w:t>
      </w:r>
    </w:p>
    <w:p w14:paraId="27E5DE2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8.总价措施项目清单与计价表；</w:t>
      </w:r>
    </w:p>
    <w:p w14:paraId="10E5081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9.其它项目清单与计价汇总表；</w:t>
      </w:r>
    </w:p>
    <w:p w14:paraId="6636B3E5">
      <w:pPr>
        <w:spacing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rPr>
        <w:t>1）暂列金额明细表</w:t>
      </w:r>
    </w:p>
    <w:p w14:paraId="53B572B2">
      <w:pPr>
        <w:spacing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rPr>
        <w:t>2）材料（工程设备）暂估单价表</w:t>
      </w:r>
    </w:p>
    <w:p w14:paraId="0813F0FB">
      <w:pPr>
        <w:spacing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rPr>
        <w:t>3）专业工程暂估价表</w:t>
      </w:r>
    </w:p>
    <w:p w14:paraId="21ABB84D">
      <w:pPr>
        <w:spacing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rPr>
        <w:t>4）计日工表</w:t>
      </w:r>
    </w:p>
    <w:p w14:paraId="3C9B581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10.规费和税金项目计价表。</w:t>
      </w:r>
    </w:p>
    <w:p w14:paraId="60CE3D6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11.发包人提供材料和工程设备一览表</w:t>
      </w:r>
    </w:p>
    <w:p w14:paraId="0767923C">
      <w:pPr>
        <w:spacing w:line="360" w:lineRule="auto"/>
        <w:ind w:firstLine="420" w:firstLineChars="200"/>
        <w:rPr>
          <w:rFonts w:hint="eastAsia" w:ascii="宋体" w:hAnsi="宋体"/>
          <w:color w:val="auto"/>
          <w:szCs w:val="21"/>
          <w:highlight w:val="none"/>
        </w:rPr>
      </w:pPr>
    </w:p>
    <w:p w14:paraId="02AD095D">
      <w:pPr>
        <w:spacing w:line="720" w:lineRule="auto"/>
        <w:ind w:right="105" w:firstLine="420" w:firstLineChars="200"/>
        <w:rPr>
          <w:rFonts w:hint="eastAsia" w:ascii="宋体" w:hAnsi="宋体"/>
          <w:color w:val="auto"/>
          <w:szCs w:val="21"/>
          <w:highlight w:val="none"/>
        </w:rPr>
      </w:pPr>
      <w:r>
        <w:rPr>
          <w:rFonts w:hint="eastAsia" w:ascii="宋体" w:hAnsi="宋体"/>
          <w:color w:val="auto"/>
          <w:szCs w:val="21"/>
          <w:highlight w:val="none"/>
        </w:rPr>
        <w:t xml:space="preserve">附：招标控制价明细    </w:t>
      </w:r>
    </w:p>
    <w:p w14:paraId="77BFFE53">
      <w:pPr>
        <w:ind w:left="630" w:hanging="630" w:hangingChars="300"/>
        <w:rPr>
          <w:rFonts w:hint="eastAsia" w:ascii="宋体" w:hAnsi="宋体"/>
          <w:color w:val="auto"/>
          <w:szCs w:val="21"/>
          <w:highlight w:val="none"/>
        </w:rPr>
      </w:pPr>
      <w:r>
        <w:rPr>
          <w:rFonts w:hint="eastAsia" w:ascii="宋体" w:hAnsi="宋体"/>
          <w:color w:val="auto"/>
          <w:szCs w:val="21"/>
          <w:highlight w:val="none"/>
        </w:rPr>
        <w:t>备注：1.</w:t>
      </w:r>
      <w:r>
        <w:rPr>
          <w:rFonts w:hint="eastAsia" w:ascii="黑体" w:eastAsia="黑体"/>
          <w:color w:val="auto"/>
          <w:sz w:val="28"/>
          <w:szCs w:val="28"/>
          <w:highlight w:val="none"/>
        </w:rPr>
        <w:t xml:space="preserve"> </w:t>
      </w:r>
      <w:r>
        <w:rPr>
          <w:rFonts w:ascii="黑体" w:eastAsia="黑体"/>
          <w:color w:val="auto"/>
          <w:sz w:val="28"/>
          <w:szCs w:val="28"/>
          <w:highlight w:val="none"/>
        </w:rPr>
        <w:t>“</w:t>
      </w:r>
      <w:r>
        <w:rPr>
          <w:rFonts w:hint="eastAsia" w:ascii="宋体" w:hAnsi="宋体"/>
          <w:color w:val="auto"/>
          <w:szCs w:val="21"/>
          <w:highlight w:val="none"/>
        </w:rPr>
        <w:t>招标控制价明细</w:t>
      </w:r>
      <w:r>
        <w:rPr>
          <w:rFonts w:ascii="黑体" w:eastAsia="黑体"/>
          <w:color w:val="auto"/>
          <w:sz w:val="28"/>
          <w:szCs w:val="28"/>
          <w:highlight w:val="none"/>
        </w:rPr>
        <w:t>”</w:t>
      </w:r>
      <w:r>
        <w:rPr>
          <w:rFonts w:hint="eastAsia" w:ascii="宋体" w:hAnsi="宋体"/>
          <w:color w:val="auto"/>
          <w:szCs w:val="21"/>
          <w:highlight w:val="none"/>
        </w:rPr>
        <w:t>与“招标控制价文件”相比，缺少“综合单价分析表”。招标人应当将“招标控制价明细”随招标文件或招标文件澄清修改文件一起发布，供投标人查询。</w:t>
      </w:r>
    </w:p>
    <w:p w14:paraId="11547C72">
      <w:pPr>
        <w:ind w:left="630" w:hanging="630" w:hangingChars="300"/>
        <w:rPr>
          <w:rFonts w:hint="eastAsia" w:ascii="宋体" w:hAnsi="宋体"/>
          <w:b/>
          <w:color w:val="auto"/>
          <w:sz w:val="28"/>
          <w:szCs w:val="28"/>
          <w:highlight w:val="none"/>
        </w:rPr>
      </w:pPr>
      <w:r>
        <w:rPr>
          <w:rFonts w:hint="eastAsia" w:ascii="宋体" w:hAnsi="宋体"/>
          <w:color w:val="auto"/>
          <w:szCs w:val="21"/>
          <w:highlight w:val="none"/>
        </w:rPr>
        <w:t xml:space="preserve">      2.“招标控制价文件”是指招标人根据本章投标人须知第2.1.2项的规定，采用</w:t>
      </w:r>
      <w:r>
        <w:rPr>
          <w:rFonts w:hint="eastAsia"/>
          <w:color w:val="auto"/>
          <w:szCs w:val="21"/>
          <w:highlight w:val="none"/>
        </w:rPr>
        <w:t>符合《湖北省建设工程造价应用软件数据交换规范》和</w:t>
      </w:r>
      <w:r>
        <w:rPr>
          <w:rFonts w:hint="eastAsia"/>
          <w:color w:val="auto"/>
          <w:highlight w:val="none"/>
        </w:rPr>
        <w:t>《关于增加湖北省建设工程造价数据接口内容的通知》（鄂建标函</w:t>
      </w:r>
      <w:r>
        <w:rPr>
          <w:color w:val="auto"/>
          <w:highlight w:val="none"/>
        </w:rPr>
        <w:t>[2018]6</w:t>
      </w:r>
      <w:r>
        <w:rPr>
          <w:rFonts w:hint="eastAsia"/>
          <w:color w:val="auto"/>
          <w:highlight w:val="none"/>
        </w:rPr>
        <w:t>号）</w:t>
      </w:r>
      <w:r>
        <w:rPr>
          <w:rFonts w:hint="eastAsia"/>
          <w:color w:val="auto"/>
          <w:szCs w:val="21"/>
          <w:highlight w:val="none"/>
        </w:rPr>
        <w:t>要求的计价软件编制的完整的招标控制价</w:t>
      </w:r>
      <w:r>
        <w:rPr>
          <w:rFonts w:hint="eastAsia" w:ascii="宋体" w:hAnsi="宋体"/>
          <w:color w:val="auto"/>
          <w:szCs w:val="21"/>
          <w:highlight w:val="none"/>
        </w:rPr>
        <w:t xml:space="preserve"> 。招标人应在“电子交易平台”“招标控制价备案”</w:t>
      </w:r>
      <w:r>
        <w:rPr>
          <w:color w:val="auto"/>
          <w:highlight w:val="none"/>
        </w:rPr>
        <w:t xml:space="preserve"> </w:t>
      </w:r>
      <w:r>
        <w:rPr>
          <w:rFonts w:hint="eastAsia"/>
          <w:color w:val="auto"/>
          <w:highlight w:val="none"/>
        </w:rPr>
        <w:t>菜单上传完整的</w:t>
      </w:r>
      <w:r>
        <w:rPr>
          <w:rFonts w:hint="eastAsia" w:ascii="宋体" w:hAnsi="宋体"/>
          <w:color w:val="auto"/>
          <w:szCs w:val="21"/>
          <w:highlight w:val="none"/>
        </w:rPr>
        <w:t xml:space="preserve">“招标控制价文件” （后缀名为.HBKJ），以方便在评标阶段与投标人的已标价工程量清单进行对比和偏差分析。                                   </w:t>
      </w:r>
    </w:p>
    <w:p w14:paraId="2EFEC2CB">
      <w:pPr>
        <w:pStyle w:val="3"/>
        <w:rPr>
          <w:rFonts w:hint="eastAsia"/>
          <w:b w:val="0"/>
          <w:color w:val="auto"/>
          <w:sz w:val="24"/>
          <w:szCs w:val="24"/>
          <w:highlight w:val="none"/>
        </w:rPr>
      </w:pPr>
      <w:bookmarkStart w:id="577" w:name="_Toc16422"/>
      <w:bookmarkStart w:id="578" w:name="_Toc28531761"/>
      <w:r>
        <w:rPr>
          <w:rFonts w:hint="eastAsia"/>
          <w:b w:val="0"/>
          <w:color w:val="auto"/>
          <w:sz w:val="24"/>
          <w:szCs w:val="24"/>
          <w:highlight w:val="none"/>
        </w:rPr>
        <w:t>附表十三：授权委托书</w:t>
      </w:r>
      <w:bookmarkEnd w:id="577"/>
      <w:bookmarkEnd w:id="578"/>
    </w:p>
    <w:p w14:paraId="68E4AD4B">
      <w:pPr>
        <w:spacing w:line="420" w:lineRule="exact"/>
        <w:jc w:val="center"/>
        <w:rPr>
          <w:rFonts w:ascii="楷体_GB2312" w:eastAsia="楷体_GB2312"/>
          <w:color w:val="auto"/>
          <w:szCs w:val="24"/>
          <w:highlight w:val="none"/>
        </w:rPr>
      </w:pPr>
    </w:p>
    <w:p w14:paraId="05304828">
      <w:pPr>
        <w:spacing w:before="240" w:beforeLines="100" w:after="240" w:afterLines="100" w:line="480" w:lineRule="exact"/>
        <w:jc w:val="center"/>
        <w:rPr>
          <w:rFonts w:hint="eastAsia" w:ascii="黑体" w:eastAsia="黑体"/>
          <w:color w:val="auto"/>
          <w:sz w:val="28"/>
          <w:szCs w:val="28"/>
          <w:highlight w:val="none"/>
        </w:rPr>
      </w:pPr>
      <w:bookmarkStart w:id="579" w:name="_Toc493254945"/>
      <w:r>
        <w:rPr>
          <w:rFonts w:hint="eastAsia" w:ascii="黑体" w:eastAsia="黑体"/>
          <w:color w:val="auto"/>
          <w:sz w:val="28"/>
          <w:szCs w:val="28"/>
          <w:highlight w:val="none"/>
        </w:rPr>
        <w:t>授权委托书</w:t>
      </w:r>
      <w:bookmarkEnd w:id="579"/>
    </w:p>
    <w:p w14:paraId="3634D74F">
      <w:pPr>
        <w:spacing w:before="240" w:beforeLines="100" w:after="240" w:afterLines="100" w:line="480" w:lineRule="exact"/>
        <w:jc w:val="center"/>
        <w:rPr>
          <w:rFonts w:hint="eastAsia" w:ascii="黑体" w:hAnsi="宋体"/>
          <w:color w:val="auto"/>
          <w:szCs w:val="28"/>
          <w:highlight w:val="none"/>
        </w:rPr>
      </w:pPr>
    </w:p>
    <w:p w14:paraId="46748AC5">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本人</w:t>
      </w:r>
      <w:r>
        <w:rPr>
          <w:rFonts w:hint="eastAsia" w:ascii="宋体" w:hAnsi="宋体"/>
          <w:color w:val="auto"/>
          <w:szCs w:val="21"/>
          <w:highlight w:val="none"/>
          <w:u w:val="single"/>
        </w:rPr>
        <w:t xml:space="preserve">     </w:t>
      </w:r>
      <w:r>
        <w:rPr>
          <w:rFonts w:hint="eastAsia" w:ascii="宋体" w:hAnsi="宋体"/>
          <w:color w:val="auto"/>
          <w:szCs w:val="21"/>
          <w:highlight w:val="none"/>
        </w:rPr>
        <w:t>（姓名）系</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（投标人名称）的法定代表人，现委托</w:t>
      </w:r>
      <w:r>
        <w:rPr>
          <w:rFonts w:hint="eastAsia" w:ascii="宋体" w:hAnsi="宋体"/>
          <w:color w:val="auto"/>
          <w:szCs w:val="21"/>
          <w:highlight w:val="none"/>
          <w:u w:val="single"/>
        </w:rPr>
        <w:t xml:space="preserve">      </w:t>
      </w:r>
      <w:r>
        <w:rPr>
          <w:rFonts w:hint="eastAsia" w:ascii="宋体" w:hAnsi="宋体"/>
          <w:color w:val="auto"/>
          <w:szCs w:val="21"/>
          <w:highlight w:val="none"/>
        </w:rPr>
        <w:t>（姓名）为我方代理人。代理人根据授权，以我方名义签署、澄清、说明、补正、递交、撤回、修改</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（标段名称）施工投标文件、签订合同和处理有关事宜，其法律后果由我方承担。</w:t>
      </w:r>
    </w:p>
    <w:p w14:paraId="1C223533">
      <w:pPr>
        <w:spacing w:before="120" w:beforeLines="50"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委托期限：</w:t>
      </w:r>
      <w:r>
        <w:rPr>
          <w:rFonts w:hint="eastAsia" w:ascii="宋体" w:hAnsi="宋体"/>
          <w:color w:val="auto"/>
          <w:szCs w:val="21"/>
          <w:highlight w:val="none"/>
          <w:u w:val="single"/>
        </w:rPr>
        <w:t xml:space="preserve">                                                          </w:t>
      </w:r>
    </w:p>
    <w:p w14:paraId="507B70AF">
      <w:pPr>
        <w:spacing w:line="500" w:lineRule="exact"/>
        <w:ind w:firstLine="1260" w:firstLineChars="6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3DDC9C38">
      <w:pPr>
        <w:spacing w:before="240" w:beforeLines="100" w:after="240" w:afterLines="100"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代理人无转委托权。</w:t>
      </w:r>
    </w:p>
    <w:p w14:paraId="21314988">
      <w:pPr>
        <w:spacing w:after="240" w:afterLines="100"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附：法定代表人身份证明</w:t>
      </w:r>
    </w:p>
    <w:p w14:paraId="39CCE4DC">
      <w:pPr>
        <w:spacing w:line="400" w:lineRule="exact"/>
        <w:ind w:firstLine="3570" w:firstLineChars="1700"/>
        <w:rPr>
          <w:rFonts w:hint="eastAsia" w:ascii="宋体" w:hAnsi="宋体"/>
          <w:color w:val="auto"/>
          <w:szCs w:val="21"/>
          <w:highlight w:val="none"/>
        </w:rPr>
      </w:pPr>
    </w:p>
    <w:p w14:paraId="34FDF434">
      <w:pPr>
        <w:spacing w:line="400" w:lineRule="exact"/>
        <w:ind w:firstLine="3570" w:firstLineChars="1700"/>
        <w:rPr>
          <w:rFonts w:hint="eastAsia" w:ascii="宋体" w:hAnsi="宋体"/>
          <w:color w:val="auto"/>
          <w:szCs w:val="21"/>
          <w:highlight w:val="none"/>
        </w:rPr>
      </w:pPr>
    </w:p>
    <w:p w14:paraId="65E3EE9F">
      <w:pPr>
        <w:spacing w:line="40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4F481E5F">
      <w:pPr>
        <w:spacing w:line="40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25974791">
      <w:pPr>
        <w:spacing w:line="400" w:lineRule="exact"/>
        <w:ind w:firstLine="3570" w:firstLineChars="1700"/>
        <w:rPr>
          <w:rFonts w:hint="eastAsia"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p>
    <w:p w14:paraId="2526F6C9">
      <w:pPr>
        <w:spacing w:line="40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2CE4A74A">
      <w:pPr>
        <w:spacing w:line="400" w:lineRule="exact"/>
        <w:ind w:firstLine="3570" w:firstLineChars="1700"/>
        <w:rPr>
          <w:rFonts w:hint="eastAsia"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p>
    <w:p w14:paraId="2C43FE33">
      <w:pPr>
        <w:spacing w:line="400" w:lineRule="exact"/>
        <w:ind w:firstLine="4830" w:firstLineChars="230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607AC425">
      <w:pPr>
        <w:rPr>
          <w:rFonts w:hint="eastAsia"/>
          <w:color w:val="auto"/>
          <w:highlight w:val="none"/>
        </w:rPr>
      </w:pPr>
    </w:p>
    <w:p w14:paraId="53F7FE55">
      <w:pPr>
        <w:rPr>
          <w:rFonts w:hint="eastAsia"/>
          <w:color w:val="auto"/>
          <w:highlight w:val="none"/>
        </w:rPr>
      </w:pPr>
      <w:bookmarkStart w:id="580" w:name="_Toc521074979"/>
      <w:bookmarkStart w:id="581" w:name="_Toc521075404"/>
    </w:p>
    <w:p w14:paraId="0A4AC85C">
      <w:pPr>
        <w:rPr>
          <w:rFonts w:hint="eastAsia"/>
          <w:color w:val="auto"/>
          <w:highlight w:val="none"/>
        </w:rPr>
      </w:pPr>
    </w:p>
    <w:p w14:paraId="05FF1189">
      <w:pPr>
        <w:rPr>
          <w:rFonts w:hint="eastAsia"/>
          <w:color w:val="auto"/>
          <w:highlight w:val="none"/>
        </w:rPr>
      </w:pPr>
      <w:bookmarkStart w:id="582" w:name="EB0d7419be88094814823d82eabbd3df2e"/>
      <w:r>
        <w:rPr>
          <w:rFonts w:hint="eastAsia"/>
          <w:color w:val="auto"/>
          <w:sz w:val="20"/>
          <w:highlight w:val="none"/>
        </w:rPr>
        <w:t xml:space="preserve"> </w:t>
      </w:r>
      <w:bookmarkEnd w:id="582"/>
    </w:p>
    <w:p w14:paraId="05195A29">
      <w:pPr>
        <w:rPr>
          <w:rFonts w:hint="eastAsia"/>
          <w:color w:val="auto"/>
          <w:highlight w:val="none"/>
        </w:rPr>
      </w:pPr>
    </w:p>
    <w:p w14:paraId="517F1822">
      <w:pPr>
        <w:rPr>
          <w:rFonts w:hint="eastAsia"/>
          <w:color w:val="auto"/>
          <w:highlight w:val="none"/>
        </w:rPr>
      </w:pPr>
    </w:p>
    <w:p w14:paraId="597A3FAA">
      <w:pPr>
        <w:spacing w:line="420" w:lineRule="exact"/>
        <w:jc w:val="center"/>
        <w:rPr>
          <w:rFonts w:ascii="楷体_GB2312" w:eastAsia="楷体_GB2312"/>
          <w:color w:val="auto"/>
          <w:highlight w:val="none"/>
        </w:rPr>
      </w:pPr>
    </w:p>
    <w:p w14:paraId="0887BB60">
      <w:pPr>
        <w:spacing w:line="420" w:lineRule="exact"/>
        <w:jc w:val="center"/>
        <w:rPr>
          <w:rFonts w:hint="eastAsia" w:ascii="楷体_GB2312" w:eastAsia="楷体_GB2312"/>
          <w:color w:val="auto"/>
          <w:highlight w:val="none"/>
        </w:rPr>
      </w:pPr>
    </w:p>
    <w:p w14:paraId="7335E9B9">
      <w:pPr>
        <w:spacing w:line="420" w:lineRule="exact"/>
        <w:jc w:val="center"/>
        <w:rPr>
          <w:rFonts w:hint="eastAsia" w:ascii="Times New Roman" w:hAnsi="Times New Roman"/>
          <w:color w:val="auto"/>
          <w:highlight w:val="none"/>
        </w:rPr>
      </w:pPr>
      <w:r>
        <w:rPr>
          <w:rFonts w:hint="eastAsia" w:ascii="黑体" w:eastAsia="黑体"/>
          <w:color w:val="auto"/>
          <w:sz w:val="32"/>
          <w:szCs w:val="32"/>
          <w:highlight w:val="none"/>
        </w:rPr>
        <w:t>第三章  评标办法</w:t>
      </w:r>
    </w:p>
    <w:p w14:paraId="1B5516DC">
      <w:pPr>
        <w:spacing w:line="400" w:lineRule="exact"/>
        <w:rPr>
          <w:color w:val="auto"/>
          <w:highlight w:val="none"/>
        </w:rPr>
      </w:pPr>
    </w:p>
    <w:p w14:paraId="5295FF31">
      <w:pPr>
        <w:pStyle w:val="31"/>
        <w:rPr>
          <w:color w:val="auto"/>
          <w:highlight w:val="none"/>
        </w:rPr>
      </w:pPr>
      <w:bookmarkStart w:id="583" w:name="_Toc30541"/>
      <w:bookmarkStart w:id="584" w:name="_Toc28531766"/>
      <w:r>
        <w:rPr>
          <w:rFonts w:hint="eastAsia"/>
          <w:color w:val="auto"/>
          <w:highlight w:val="none"/>
        </w:rPr>
        <w:t>评标办法前附表（办法四）（综合评估法）</w:t>
      </w:r>
      <w:bookmarkEnd w:id="583"/>
      <w:bookmarkEnd w:id="584"/>
    </w:p>
    <w:p w14:paraId="365943E8">
      <w:pPr>
        <w:spacing w:line="400" w:lineRule="exact"/>
        <w:rPr>
          <w:color w:val="auto"/>
          <w:highlight w:val="none"/>
        </w:rPr>
      </w:pPr>
    </w:p>
    <w:tbl>
      <w:tblPr>
        <w:tblStyle w:val="15"/>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59"/>
        <w:gridCol w:w="43"/>
        <w:gridCol w:w="1397"/>
        <w:gridCol w:w="645"/>
        <w:gridCol w:w="255"/>
        <w:gridCol w:w="480"/>
        <w:gridCol w:w="4560"/>
      </w:tblGrid>
      <w:tr w14:paraId="064C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54C76FB4">
            <w:pPr>
              <w:jc w:val="center"/>
              <w:rPr>
                <w:rFonts w:ascii="宋体" w:hAnsi="宋体"/>
                <w:b/>
                <w:color w:val="auto"/>
                <w:szCs w:val="21"/>
                <w:highlight w:val="none"/>
              </w:rPr>
            </w:pPr>
            <w:r>
              <w:rPr>
                <w:rFonts w:hint="eastAsia" w:ascii="宋体" w:hAnsi="宋体"/>
                <w:b/>
                <w:color w:val="auto"/>
                <w:szCs w:val="21"/>
                <w:highlight w:val="none"/>
              </w:rPr>
              <w:t>条款号</w:t>
            </w: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193C734">
            <w:pPr>
              <w:jc w:val="center"/>
              <w:rPr>
                <w:rFonts w:ascii="宋体" w:hAnsi="宋体"/>
                <w:b/>
                <w:color w:val="auto"/>
                <w:szCs w:val="21"/>
                <w:highlight w:val="none"/>
              </w:rPr>
            </w:pPr>
            <w:r>
              <w:rPr>
                <w:rFonts w:hint="eastAsia" w:ascii="宋体" w:hAnsi="宋体"/>
                <w:b/>
                <w:color w:val="auto"/>
                <w:szCs w:val="21"/>
                <w:highlight w:val="none"/>
              </w:rPr>
              <w:t>评审因素</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2B2203CA">
            <w:pPr>
              <w:jc w:val="center"/>
              <w:rPr>
                <w:rFonts w:ascii="宋体" w:hAnsi="宋体"/>
                <w:b/>
                <w:color w:val="auto"/>
                <w:szCs w:val="21"/>
                <w:highlight w:val="none"/>
              </w:rPr>
            </w:pPr>
            <w:r>
              <w:rPr>
                <w:rFonts w:hint="eastAsia" w:ascii="宋体" w:hAnsi="宋体"/>
                <w:b/>
                <w:color w:val="auto"/>
                <w:szCs w:val="21"/>
                <w:highlight w:val="none"/>
              </w:rPr>
              <w:t>评审标准</w:t>
            </w:r>
          </w:p>
        </w:tc>
      </w:tr>
      <w:tr w14:paraId="4C28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tcBorders>
              <w:top w:val="single" w:color="auto" w:sz="4" w:space="0"/>
              <w:left w:val="single" w:color="auto" w:sz="4" w:space="0"/>
              <w:bottom w:val="single" w:color="auto" w:sz="4" w:space="0"/>
              <w:right w:val="single" w:color="auto" w:sz="4" w:space="0"/>
            </w:tcBorders>
            <w:noWrap w:val="0"/>
            <w:vAlign w:val="center"/>
          </w:tcPr>
          <w:p w14:paraId="5CE9C325">
            <w:pPr>
              <w:spacing w:line="440" w:lineRule="exact"/>
              <w:jc w:val="center"/>
              <w:rPr>
                <w:color w:val="auto"/>
                <w:szCs w:val="21"/>
                <w:highlight w:val="none"/>
              </w:rPr>
            </w:pPr>
            <w:r>
              <w:rPr>
                <w:color w:val="auto"/>
                <w:szCs w:val="21"/>
                <w:highlight w:val="none"/>
              </w:rPr>
              <w:t>2.1.1</w:t>
            </w:r>
          </w:p>
        </w:tc>
        <w:tc>
          <w:tcPr>
            <w:tcW w:w="1059" w:type="dxa"/>
            <w:vMerge w:val="restart"/>
            <w:tcBorders>
              <w:top w:val="single" w:color="auto" w:sz="4" w:space="0"/>
              <w:left w:val="single" w:color="auto" w:sz="4" w:space="0"/>
              <w:bottom w:val="single" w:color="auto" w:sz="4" w:space="0"/>
              <w:right w:val="single" w:color="auto" w:sz="4" w:space="0"/>
            </w:tcBorders>
            <w:noWrap w:val="0"/>
            <w:vAlign w:val="center"/>
          </w:tcPr>
          <w:p w14:paraId="203221CE">
            <w:pPr>
              <w:jc w:val="center"/>
              <w:rPr>
                <w:rFonts w:ascii="宋体" w:hAnsi="宋体"/>
                <w:color w:val="auto"/>
                <w:szCs w:val="21"/>
                <w:highlight w:val="none"/>
              </w:rPr>
            </w:pPr>
            <w:r>
              <w:rPr>
                <w:rFonts w:hint="eastAsia" w:ascii="宋体" w:hAnsi="宋体"/>
                <w:color w:val="auto"/>
                <w:szCs w:val="21"/>
                <w:highlight w:val="none"/>
              </w:rPr>
              <w:t>形式</w:t>
            </w:r>
          </w:p>
          <w:p w14:paraId="5F62238A">
            <w:pPr>
              <w:jc w:val="center"/>
              <w:rPr>
                <w:rFonts w:hint="eastAsia" w:ascii="宋体" w:hAnsi="宋体"/>
                <w:color w:val="auto"/>
                <w:szCs w:val="21"/>
                <w:highlight w:val="none"/>
              </w:rPr>
            </w:pPr>
            <w:r>
              <w:rPr>
                <w:rFonts w:hint="eastAsia" w:ascii="宋体" w:hAnsi="宋体"/>
                <w:color w:val="auto"/>
                <w:szCs w:val="21"/>
                <w:highlight w:val="none"/>
              </w:rPr>
              <w:t>评审</w:t>
            </w:r>
          </w:p>
          <w:p w14:paraId="75B25B9F">
            <w:pPr>
              <w:jc w:val="center"/>
              <w:rPr>
                <w:rFonts w:ascii="宋体" w:hAnsi="宋体"/>
                <w:color w:val="auto"/>
                <w:szCs w:val="21"/>
                <w:highlight w:val="none"/>
              </w:rPr>
            </w:pPr>
            <w:r>
              <w:rPr>
                <w:rFonts w:hint="eastAsia" w:ascii="宋体" w:hAnsi="宋体"/>
                <w:color w:val="auto"/>
                <w:szCs w:val="21"/>
                <w:highlight w:val="none"/>
              </w:rPr>
              <w:t>标准</w:t>
            </w: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29BDF0E0">
            <w:pPr>
              <w:rPr>
                <w:rFonts w:ascii="宋体" w:hAnsi="宋体"/>
                <w:color w:val="auto"/>
                <w:szCs w:val="21"/>
                <w:highlight w:val="none"/>
              </w:rPr>
            </w:pPr>
            <w:r>
              <w:rPr>
                <w:rFonts w:hint="eastAsia" w:ascii="宋体" w:hAnsi="宋体"/>
                <w:color w:val="auto"/>
                <w:szCs w:val="21"/>
                <w:highlight w:val="none"/>
              </w:rPr>
              <w:t>投标文件</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255410FE">
            <w:pPr>
              <w:rPr>
                <w:rFonts w:ascii="宋体" w:hAnsi="宋体"/>
                <w:color w:val="auto"/>
                <w:szCs w:val="21"/>
                <w:highlight w:val="none"/>
              </w:rPr>
            </w:pPr>
            <w:r>
              <w:rPr>
                <w:rFonts w:hint="eastAsia" w:ascii="宋体" w:hAnsi="宋体"/>
                <w:color w:val="auto"/>
                <w:szCs w:val="21"/>
                <w:highlight w:val="none"/>
              </w:rPr>
              <w:t>投标文件能正常</w:t>
            </w:r>
            <w:r>
              <w:rPr>
                <w:rFonts w:hint="eastAsia" w:ascii="宋体" w:hAnsi="宋体"/>
                <w:color w:val="auto"/>
                <w:highlight w:val="none"/>
              </w:rPr>
              <w:t>打开</w:t>
            </w:r>
          </w:p>
        </w:tc>
      </w:tr>
      <w:tr w14:paraId="06D7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091704BF">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017E06E4">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75B725A3">
            <w:pPr>
              <w:rPr>
                <w:rFonts w:ascii="宋体" w:hAnsi="宋体"/>
                <w:color w:val="auto"/>
                <w:szCs w:val="21"/>
                <w:highlight w:val="none"/>
              </w:rPr>
            </w:pPr>
            <w:r>
              <w:rPr>
                <w:rFonts w:hint="eastAsia" w:ascii="宋体" w:hAnsi="宋体"/>
                <w:color w:val="auto"/>
                <w:szCs w:val="21"/>
                <w:highlight w:val="none"/>
              </w:rPr>
              <w:t>投标人名称</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357A4F9B">
            <w:pPr>
              <w:rPr>
                <w:rFonts w:ascii="宋体" w:hAnsi="宋体"/>
                <w:color w:val="auto"/>
                <w:szCs w:val="21"/>
                <w:highlight w:val="none"/>
              </w:rPr>
            </w:pPr>
            <w:r>
              <w:rPr>
                <w:rFonts w:hint="eastAsia" w:ascii="宋体" w:hAnsi="宋体"/>
                <w:color w:val="auto"/>
                <w:szCs w:val="21"/>
                <w:highlight w:val="none"/>
              </w:rPr>
              <w:t>与营业执照、资质证书、安全生产许可证一致</w:t>
            </w:r>
          </w:p>
        </w:tc>
      </w:tr>
      <w:tr w14:paraId="153B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6E3F13B0">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3CF3F151">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0907218A">
            <w:pPr>
              <w:rPr>
                <w:rFonts w:ascii="宋体" w:hAnsi="宋体"/>
                <w:color w:val="auto"/>
                <w:szCs w:val="21"/>
                <w:highlight w:val="none"/>
              </w:rPr>
            </w:pPr>
            <w:r>
              <w:rPr>
                <w:rFonts w:hint="eastAsia" w:ascii="宋体" w:hAnsi="宋体"/>
                <w:color w:val="auto"/>
                <w:szCs w:val="21"/>
                <w:highlight w:val="none"/>
              </w:rPr>
              <w:t>投标文件签字盖章</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7CAE11EB">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3.7.3</w:t>
            </w:r>
            <w:r>
              <w:rPr>
                <w:rFonts w:hint="eastAsia"/>
                <w:color w:val="auto"/>
                <w:szCs w:val="21"/>
                <w:highlight w:val="none"/>
              </w:rPr>
              <w:t>（</w:t>
            </w:r>
            <w:r>
              <w:rPr>
                <w:color w:val="auto"/>
                <w:szCs w:val="21"/>
                <w:highlight w:val="none"/>
              </w:rPr>
              <w:t>5</w:t>
            </w:r>
            <w:r>
              <w:rPr>
                <w:rFonts w:hint="eastAsia"/>
                <w:color w:val="auto"/>
                <w:szCs w:val="21"/>
                <w:highlight w:val="none"/>
              </w:rPr>
              <w:t>）</w:t>
            </w:r>
            <w:r>
              <w:rPr>
                <w:rFonts w:hint="eastAsia" w:ascii="宋体" w:hAnsi="宋体"/>
                <w:color w:val="auto"/>
                <w:szCs w:val="21"/>
                <w:highlight w:val="none"/>
              </w:rPr>
              <w:t>目规定</w:t>
            </w:r>
          </w:p>
        </w:tc>
      </w:tr>
      <w:tr w14:paraId="64B6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BD8E7E2">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27110E91">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6BBB6249">
            <w:pPr>
              <w:rPr>
                <w:rFonts w:ascii="宋体" w:hAnsi="宋体"/>
                <w:color w:val="auto"/>
                <w:szCs w:val="21"/>
                <w:highlight w:val="none"/>
              </w:rPr>
            </w:pPr>
            <w:r>
              <w:rPr>
                <w:rFonts w:hint="eastAsia" w:ascii="宋体" w:hAnsi="宋体"/>
                <w:color w:val="auto"/>
                <w:szCs w:val="21"/>
                <w:highlight w:val="none"/>
              </w:rPr>
              <w:t>投标文件格式、内容</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7A6A76B2">
            <w:pPr>
              <w:rPr>
                <w:rFonts w:ascii="宋体" w:hAnsi="宋体"/>
                <w:color w:val="auto"/>
                <w:szCs w:val="21"/>
                <w:highlight w:val="none"/>
              </w:rPr>
            </w:pPr>
            <w:r>
              <w:rPr>
                <w:rFonts w:hint="eastAsia" w:ascii="宋体" w:hAnsi="宋体"/>
                <w:color w:val="auto"/>
                <w:szCs w:val="21"/>
                <w:highlight w:val="none"/>
              </w:rPr>
              <w:t>符合第八章“投标文件格式”的要求，实质性内容齐全、关键字迹清晰可辨</w:t>
            </w:r>
          </w:p>
        </w:tc>
      </w:tr>
      <w:tr w14:paraId="2B7BC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6A30C81F">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2BE5FC06">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A02F1A2">
            <w:pPr>
              <w:rPr>
                <w:rFonts w:ascii="宋体" w:hAnsi="宋体"/>
                <w:color w:val="auto"/>
                <w:szCs w:val="21"/>
                <w:highlight w:val="none"/>
              </w:rPr>
            </w:pPr>
            <w:r>
              <w:rPr>
                <w:rFonts w:hint="eastAsia" w:ascii="宋体" w:hAnsi="宋体"/>
                <w:color w:val="auto"/>
                <w:szCs w:val="21"/>
                <w:highlight w:val="none"/>
              </w:rPr>
              <w:t>联合体投标人（如有）</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11556E9A">
            <w:pPr>
              <w:rPr>
                <w:rFonts w:ascii="宋体" w:hAnsi="宋体"/>
                <w:color w:val="auto"/>
                <w:szCs w:val="21"/>
                <w:highlight w:val="none"/>
              </w:rPr>
            </w:pPr>
            <w:r>
              <w:rPr>
                <w:rFonts w:hint="eastAsia" w:ascii="宋体" w:hAnsi="宋体"/>
                <w:color w:val="auto"/>
                <w:szCs w:val="21"/>
                <w:highlight w:val="none"/>
              </w:rPr>
              <w:t>提交联合体协议书，并明确联合体牵头人</w:t>
            </w:r>
          </w:p>
        </w:tc>
      </w:tr>
      <w:tr w14:paraId="4F8A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5CB3691C">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01286F6B">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7CDBA8CD">
            <w:pPr>
              <w:rPr>
                <w:rFonts w:ascii="宋体" w:hAnsi="宋体"/>
                <w:color w:val="auto"/>
                <w:szCs w:val="21"/>
                <w:highlight w:val="none"/>
              </w:rPr>
            </w:pPr>
            <w:r>
              <w:rPr>
                <w:rFonts w:hint="eastAsia" w:ascii="宋体" w:hAnsi="宋体"/>
                <w:color w:val="auto"/>
                <w:szCs w:val="21"/>
                <w:highlight w:val="none"/>
              </w:rPr>
              <w:t>报价唯一</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46BEDCB6">
            <w:pPr>
              <w:rPr>
                <w:rFonts w:ascii="宋体" w:hAnsi="宋体"/>
                <w:color w:val="auto"/>
                <w:szCs w:val="21"/>
                <w:highlight w:val="none"/>
              </w:rPr>
            </w:pPr>
            <w:r>
              <w:rPr>
                <w:rFonts w:hint="eastAsia" w:ascii="宋体" w:hAnsi="宋体"/>
                <w:color w:val="auto"/>
                <w:szCs w:val="21"/>
                <w:highlight w:val="none"/>
              </w:rPr>
              <w:t>只能有一个有效报价（指投标函中的大写报价）</w:t>
            </w:r>
          </w:p>
        </w:tc>
      </w:tr>
      <w:tr w14:paraId="16A6B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5EA3C10D">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788D5185">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0C358F8D">
            <w:pPr>
              <w:spacing w:line="440" w:lineRule="exact"/>
              <w:rPr>
                <w:color w:val="auto"/>
                <w:szCs w:val="21"/>
                <w:highlight w:val="none"/>
              </w:rPr>
            </w:pPr>
            <w:r>
              <w:rPr>
                <w:rFonts w:hint="eastAsia"/>
                <w:color w:val="auto"/>
                <w:szCs w:val="21"/>
                <w:highlight w:val="none"/>
              </w:rPr>
              <w:t>多标段投标</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7CF52C5F">
            <w:pPr>
              <w:spacing w:line="440" w:lineRule="exact"/>
              <w:rPr>
                <w:color w:val="auto"/>
                <w:szCs w:val="21"/>
                <w:highlight w:val="none"/>
              </w:rPr>
            </w:pPr>
            <w:r>
              <w:rPr>
                <w:rFonts w:hint="eastAsia"/>
                <w:color w:val="auto"/>
                <w:szCs w:val="21"/>
                <w:highlight w:val="none"/>
              </w:rPr>
              <w:t>符合第二章“投标人须知”第</w:t>
            </w:r>
            <w:r>
              <w:rPr>
                <w:color w:val="auto"/>
                <w:szCs w:val="21"/>
                <w:highlight w:val="none"/>
              </w:rPr>
              <w:t>10.1</w:t>
            </w:r>
            <w:r>
              <w:rPr>
                <w:rFonts w:hint="eastAsia"/>
                <w:color w:val="auto"/>
                <w:szCs w:val="21"/>
                <w:highlight w:val="none"/>
              </w:rPr>
              <w:t>款规定</w:t>
            </w:r>
          </w:p>
        </w:tc>
      </w:tr>
      <w:tr w14:paraId="2C0B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74CBB503">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48E6B720">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EF11E3B">
            <w:pPr>
              <w:rPr>
                <w:rFonts w:ascii="宋体" w:hAnsi="宋体"/>
                <w:color w:val="auto"/>
                <w:szCs w:val="21"/>
                <w:highlight w:val="none"/>
              </w:rPr>
            </w:pPr>
            <w:r>
              <w:rPr>
                <w:rFonts w:hint="eastAsia"/>
                <w:color w:val="auto"/>
                <w:szCs w:val="21"/>
                <w:highlight w:val="none"/>
              </w:rPr>
              <w:t>“技术</w:t>
            </w:r>
            <w:r>
              <w:rPr>
                <w:rFonts w:hint="eastAsia" w:ascii="宋体" w:hAnsi="宋体"/>
                <w:color w:val="auto"/>
                <w:szCs w:val="21"/>
                <w:highlight w:val="none"/>
              </w:rPr>
              <w:t>暗标”</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23148E0E">
            <w:pPr>
              <w:rPr>
                <w:rFonts w:ascii="宋体" w:hAnsi="宋体"/>
                <w:color w:val="auto"/>
                <w:szCs w:val="21"/>
                <w:highlight w:val="none"/>
              </w:rPr>
            </w:pPr>
            <w:r>
              <w:rPr>
                <w:rFonts w:hint="eastAsia" w:ascii="宋体" w:hAnsi="宋体"/>
                <w:color w:val="auto"/>
                <w:szCs w:val="21"/>
                <w:highlight w:val="none"/>
              </w:rPr>
              <w:t>符合</w:t>
            </w:r>
            <w:r>
              <w:rPr>
                <w:rFonts w:hint="eastAsia"/>
                <w:color w:val="auto"/>
                <w:szCs w:val="21"/>
                <w:highlight w:val="none"/>
              </w:rPr>
              <w:t>第二章“投标人须知”第</w:t>
            </w:r>
            <w:r>
              <w:rPr>
                <w:color w:val="auto"/>
                <w:highlight w:val="none"/>
              </w:rPr>
              <w:t>3.7.4</w:t>
            </w:r>
            <w:r>
              <w:rPr>
                <w:rFonts w:hint="eastAsia"/>
                <w:color w:val="auto"/>
                <w:highlight w:val="none"/>
              </w:rPr>
              <w:t>（</w:t>
            </w:r>
            <w:r>
              <w:rPr>
                <w:color w:val="auto"/>
                <w:highlight w:val="none"/>
              </w:rPr>
              <w:t>5</w:t>
            </w:r>
            <w:r>
              <w:rPr>
                <w:rFonts w:hint="eastAsia"/>
                <w:color w:val="auto"/>
                <w:highlight w:val="none"/>
              </w:rPr>
              <w:t>）</w:t>
            </w:r>
            <w:r>
              <w:rPr>
                <w:rFonts w:hint="eastAsia"/>
                <w:color w:val="auto"/>
                <w:szCs w:val="21"/>
                <w:highlight w:val="none"/>
              </w:rPr>
              <w:t>目规定</w:t>
            </w:r>
          </w:p>
        </w:tc>
      </w:tr>
      <w:tr w14:paraId="69ABF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tcBorders>
              <w:top w:val="single" w:color="auto" w:sz="4" w:space="0"/>
              <w:left w:val="single" w:color="auto" w:sz="4" w:space="0"/>
              <w:bottom w:val="single" w:color="auto" w:sz="4" w:space="0"/>
              <w:right w:val="single" w:color="auto" w:sz="4" w:space="0"/>
            </w:tcBorders>
            <w:noWrap w:val="0"/>
            <w:vAlign w:val="center"/>
          </w:tcPr>
          <w:p w14:paraId="6F818280">
            <w:pPr>
              <w:spacing w:line="440" w:lineRule="exact"/>
              <w:jc w:val="center"/>
              <w:rPr>
                <w:color w:val="auto"/>
                <w:szCs w:val="21"/>
                <w:highlight w:val="none"/>
              </w:rPr>
            </w:pPr>
            <w:r>
              <w:rPr>
                <w:color w:val="auto"/>
                <w:szCs w:val="21"/>
                <w:highlight w:val="none"/>
              </w:rPr>
              <w:t>2.1.2</w:t>
            </w:r>
          </w:p>
        </w:tc>
        <w:tc>
          <w:tcPr>
            <w:tcW w:w="1059" w:type="dxa"/>
            <w:vMerge w:val="restart"/>
            <w:tcBorders>
              <w:top w:val="single" w:color="auto" w:sz="4" w:space="0"/>
              <w:left w:val="single" w:color="auto" w:sz="4" w:space="0"/>
              <w:bottom w:val="single" w:color="auto" w:sz="4" w:space="0"/>
              <w:right w:val="single" w:color="auto" w:sz="4" w:space="0"/>
            </w:tcBorders>
            <w:noWrap w:val="0"/>
            <w:vAlign w:val="center"/>
          </w:tcPr>
          <w:p w14:paraId="1DEDAF0E">
            <w:pPr>
              <w:jc w:val="center"/>
              <w:rPr>
                <w:rFonts w:ascii="宋体" w:hAnsi="宋体"/>
                <w:color w:val="auto"/>
                <w:szCs w:val="21"/>
                <w:highlight w:val="none"/>
              </w:rPr>
            </w:pPr>
            <w:r>
              <w:rPr>
                <w:rFonts w:hint="eastAsia" w:ascii="宋体" w:hAnsi="宋体"/>
                <w:color w:val="auto"/>
                <w:szCs w:val="21"/>
                <w:highlight w:val="none"/>
              </w:rPr>
              <w:t>资格</w:t>
            </w:r>
          </w:p>
          <w:p w14:paraId="07AF6A16">
            <w:pPr>
              <w:jc w:val="center"/>
              <w:rPr>
                <w:rFonts w:hint="eastAsia" w:ascii="宋体" w:hAnsi="宋体"/>
                <w:color w:val="auto"/>
                <w:szCs w:val="21"/>
                <w:highlight w:val="none"/>
              </w:rPr>
            </w:pPr>
            <w:r>
              <w:rPr>
                <w:rFonts w:hint="eastAsia" w:ascii="宋体" w:hAnsi="宋体"/>
                <w:color w:val="auto"/>
                <w:szCs w:val="21"/>
                <w:highlight w:val="none"/>
              </w:rPr>
              <w:t>评审</w:t>
            </w:r>
          </w:p>
          <w:p w14:paraId="28B84C77">
            <w:pPr>
              <w:jc w:val="center"/>
              <w:rPr>
                <w:rFonts w:hint="eastAsia" w:ascii="宋体" w:hAnsi="宋体"/>
                <w:color w:val="auto"/>
                <w:szCs w:val="21"/>
                <w:highlight w:val="none"/>
              </w:rPr>
            </w:pPr>
            <w:r>
              <w:rPr>
                <w:rFonts w:hint="eastAsia" w:ascii="宋体" w:hAnsi="宋体"/>
                <w:color w:val="auto"/>
                <w:szCs w:val="21"/>
                <w:highlight w:val="none"/>
              </w:rPr>
              <w:t>标准</w:t>
            </w:r>
          </w:p>
          <w:p w14:paraId="5A70866D">
            <w:pPr>
              <w:jc w:val="center"/>
              <w:rPr>
                <w:rFonts w:ascii="宋体" w:hAnsi="宋体"/>
                <w:color w:val="auto"/>
                <w:szCs w:val="21"/>
                <w:highlight w:val="none"/>
              </w:rPr>
            </w:pPr>
            <w:r>
              <w:rPr>
                <w:rFonts w:hint="eastAsia" w:ascii="宋体" w:hAnsi="宋体"/>
                <w:color w:val="auto"/>
                <w:szCs w:val="21"/>
                <w:highlight w:val="none"/>
              </w:rPr>
              <w:t>﹙后审﹚</w:t>
            </w: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7A83C0EF">
            <w:pPr>
              <w:rPr>
                <w:rFonts w:ascii="宋体" w:hAnsi="宋体"/>
                <w:color w:val="auto"/>
                <w:szCs w:val="21"/>
                <w:highlight w:val="none"/>
              </w:rPr>
            </w:pPr>
            <w:r>
              <w:rPr>
                <w:rFonts w:hint="eastAsia" w:ascii="宋体" w:hAnsi="宋体"/>
                <w:color w:val="auto"/>
                <w:szCs w:val="21"/>
                <w:highlight w:val="none"/>
              </w:rPr>
              <w:t>营业执照</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638B2D50">
            <w:pPr>
              <w:rPr>
                <w:rFonts w:ascii="宋体" w:hAnsi="宋体"/>
                <w:color w:val="auto"/>
                <w:szCs w:val="21"/>
                <w:highlight w:val="none"/>
              </w:rPr>
            </w:pPr>
            <w:r>
              <w:rPr>
                <w:rFonts w:hint="eastAsia" w:ascii="宋体" w:hAnsi="宋体"/>
                <w:color w:val="auto"/>
                <w:szCs w:val="21"/>
                <w:highlight w:val="none"/>
              </w:rPr>
              <w:t>具备有效的营业执照</w:t>
            </w:r>
          </w:p>
        </w:tc>
      </w:tr>
      <w:tr w14:paraId="46F9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2F9D71B1">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61F50671">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6D904F5A">
            <w:pPr>
              <w:rPr>
                <w:rFonts w:ascii="宋体" w:hAnsi="宋体"/>
                <w:color w:val="auto"/>
                <w:szCs w:val="21"/>
                <w:highlight w:val="none"/>
              </w:rPr>
            </w:pPr>
            <w:r>
              <w:rPr>
                <w:rFonts w:hint="eastAsia" w:ascii="宋体" w:hAnsi="宋体"/>
                <w:color w:val="auto"/>
                <w:szCs w:val="21"/>
                <w:highlight w:val="none"/>
              </w:rPr>
              <w:t>安全生产许可证</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4CB3217C">
            <w:pPr>
              <w:rPr>
                <w:rFonts w:ascii="宋体" w:hAnsi="宋体"/>
                <w:color w:val="auto"/>
                <w:szCs w:val="21"/>
                <w:highlight w:val="none"/>
              </w:rPr>
            </w:pPr>
            <w:r>
              <w:rPr>
                <w:rFonts w:hint="eastAsia" w:ascii="宋体" w:hAnsi="宋体"/>
                <w:color w:val="auto"/>
                <w:szCs w:val="21"/>
                <w:highlight w:val="none"/>
              </w:rPr>
              <w:t>具备有效的安全生产许可证</w:t>
            </w:r>
          </w:p>
        </w:tc>
      </w:tr>
      <w:tr w14:paraId="314A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4FB2ECF">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1B7C2C3A">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89E7692">
            <w:pPr>
              <w:rPr>
                <w:rFonts w:ascii="宋体" w:hAnsi="宋体"/>
                <w:color w:val="auto"/>
                <w:szCs w:val="21"/>
                <w:highlight w:val="none"/>
              </w:rPr>
            </w:pPr>
            <w:r>
              <w:rPr>
                <w:rFonts w:hint="eastAsia" w:ascii="宋体" w:hAnsi="宋体"/>
                <w:color w:val="auto"/>
                <w:szCs w:val="21"/>
                <w:highlight w:val="none"/>
              </w:rPr>
              <w:t>资质等级</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574D960E">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1.4.1</w:t>
            </w:r>
            <w:r>
              <w:rPr>
                <w:rFonts w:hint="eastAsia"/>
                <w:color w:val="auto"/>
                <w:szCs w:val="21"/>
                <w:highlight w:val="none"/>
              </w:rPr>
              <w:t>项</w:t>
            </w:r>
            <w:r>
              <w:rPr>
                <w:rFonts w:hint="eastAsia" w:ascii="宋体" w:hAnsi="宋体"/>
                <w:color w:val="auto"/>
                <w:szCs w:val="21"/>
                <w:highlight w:val="none"/>
              </w:rPr>
              <w:t>规定</w:t>
            </w:r>
          </w:p>
        </w:tc>
      </w:tr>
      <w:tr w14:paraId="39BA9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645A947C">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589BBD26">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AC3C613">
            <w:pPr>
              <w:rPr>
                <w:rFonts w:ascii="宋体" w:hAnsi="宋体"/>
                <w:color w:val="auto"/>
                <w:szCs w:val="21"/>
                <w:highlight w:val="none"/>
              </w:rPr>
            </w:pPr>
            <w:r>
              <w:rPr>
                <w:rFonts w:hint="eastAsia" w:ascii="宋体" w:hAnsi="宋体"/>
                <w:color w:val="auto"/>
                <w:szCs w:val="21"/>
                <w:highlight w:val="none"/>
              </w:rPr>
              <w:t>财务状况</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38FC781B">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1.4.1</w:t>
            </w:r>
            <w:r>
              <w:rPr>
                <w:rFonts w:hint="eastAsia"/>
                <w:color w:val="auto"/>
                <w:szCs w:val="21"/>
                <w:highlight w:val="none"/>
              </w:rPr>
              <w:t>项</w:t>
            </w:r>
            <w:r>
              <w:rPr>
                <w:rFonts w:hint="eastAsia" w:ascii="宋体" w:hAnsi="宋体"/>
                <w:color w:val="auto"/>
                <w:szCs w:val="21"/>
                <w:highlight w:val="none"/>
              </w:rPr>
              <w:t>规定</w:t>
            </w:r>
          </w:p>
        </w:tc>
      </w:tr>
      <w:tr w14:paraId="57509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7B681CC">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7DF4DA91">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5D99CCAB">
            <w:pPr>
              <w:rPr>
                <w:rFonts w:ascii="宋体" w:hAnsi="宋体"/>
                <w:color w:val="auto"/>
                <w:szCs w:val="21"/>
                <w:highlight w:val="none"/>
              </w:rPr>
            </w:pPr>
            <w:r>
              <w:rPr>
                <w:rFonts w:hint="eastAsia" w:ascii="宋体" w:hAnsi="宋体"/>
                <w:color w:val="auto"/>
                <w:szCs w:val="21"/>
                <w:highlight w:val="none"/>
              </w:rPr>
              <w:t>类似项目业绩</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591B7E8E">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1.4.1</w:t>
            </w:r>
            <w:r>
              <w:rPr>
                <w:rFonts w:hint="eastAsia"/>
                <w:color w:val="auto"/>
                <w:szCs w:val="21"/>
                <w:highlight w:val="none"/>
              </w:rPr>
              <w:t>项</w:t>
            </w:r>
            <w:r>
              <w:rPr>
                <w:rFonts w:hint="eastAsia" w:ascii="宋体" w:hAnsi="宋体"/>
                <w:color w:val="auto"/>
                <w:szCs w:val="21"/>
                <w:highlight w:val="none"/>
              </w:rPr>
              <w:t>规定</w:t>
            </w:r>
          </w:p>
        </w:tc>
      </w:tr>
      <w:tr w14:paraId="7CB95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776AB3A">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20F4FE3F">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0E9DE9C5">
            <w:pPr>
              <w:rPr>
                <w:rFonts w:ascii="宋体" w:hAnsi="宋体"/>
                <w:color w:val="auto"/>
                <w:szCs w:val="21"/>
                <w:highlight w:val="none"/>
              </w:rPr>
            </w:pPr>
            <w:r>
              <w:rPr>
                <w:rFonts w:hint="eastAsia" w:ascii="宋体" w:hAnsi="宋体"/>
                <w:color w:val="auto"/>
                <w:szCs w:val="21"/>
                <w:highlight w:val="none"/>
              </w:rPr>
              <w:t>信誉</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59BACF2D">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1.4.1</w:t>
            </w:r>
            <w:r>
              <w:rPr>
                <w:rFonts w:hint="eastAsia"/>
                <w:color w:val="auto"/>
                <w:szCs w:val="21"/>
                <w:highlight w:val="none"/>
              </w:rPr>
              <w:t>项</w:t>
            </w:r>
            <w:r>
              <w:rPr>
                <w:rFonts w:hint="eastAsia" w:ascii="宋体" w:hAnsi="宋体"/>
                <w:color w:val="auto"/>
                <w:szCs w:val="21"/>
                <w:highlight w:val="none"/>
              </w:rPr>
              <w:t>规定</w:t>
            </w:r>
          </w:p>
        </w:tc>
      </w:tr>
      <w:tr w14:paraId="3708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3025C941">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3238BB6B">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56F953E1">
            <w:pPr>
              <w:rPr>
                <w:rFonts w:ascii="宋体" w:hAnsi="宋体"/>
                <w:color w:val="auto"/>
                <w:szCs w:val="21"/>
                <w:highlight w:val="none"/>
              </w:rPr>
            </w:pPr>
            <w:r>
              <w:rPr>
                <w:rFonts w:hint="eastAsia" w:ascii="宋体" w:hAnsi="宋体"/>
                <w:color w:val="auto"/>
                <w:szCs w:val="21"/>
                <w:highlight w:val="none"/>
              </w:rPr>
              <w:t>项目经理</w:t>
            </w:r>
            <w:r>
              <w:rPr>
                <w:rFonts w:hint="eastAsia"/>
                <w:color w:val="auto"/>
                <w:highlight w:val="none"/>
              </w:rPr>
              <w:t>资格</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3E0F4F52">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1.4.1</w:t>
            </w:r>
            <w:r>
              <w:rPr>
                <w:rFonts w:hint="eastAsia"/>
                <w:color w:val="auto"/>
                <w:szCs w:val="21"/>
                <w:highlight w:val="none"/>
              </w:rPr>
              <w:t>项</w:t>
            </w:r>
            <w:r>
              <w:rPr>
                <w:rFonts w:hint="eastAsia" w:ascii="宋体" w:hAnsi="宋体"/>
                <w:color w:val="auto"/>
                <w:szCs w:val="21"/>
                <w:highlight w:val="none"/>
              </w:rPr>
              <w:t>规定</w:t>
            </w:r>
          </w:p>
        </w:tc>
      </w:tr>
      <w:tr w14:paraId="1D9D9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37DC3BF">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20BF2DD1">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5E347101">
            <w:pPr>
              <w:rPr>
                <w:rFonts w:ascii="宋体" w:hAnsi="宋体"/>
                <w:color w:val="auto"/>
                <w:szCs w:val="21"/>
                <w:highlight w:val="none"/>
              </w:rPr>
            </w:pPr>
            <w:r>
              <w:rPr>
                <w:rFonts w:hint="eastAsia" w:ascii="宋体" w:hAnsi="宋体"/>
                <w:color w:val="auto"/>
                <w:szCs w:val="21"/>
                <w:highlight w:val="none"/>
              </w:rPr>
              <w:t>其他要求</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423FC638">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1.4.1</w:t>
            </w:r>
            <w:r>
              <w:rPr>
                <w:rFonts w:hint="eastAsia"/>
                <w:color w:val="auto"/>
                <w:szCs w:val="21"/>
                <w:highlight w:val="none"/>
              </w:rPr>
              <w:t>项</w:t>
            </w:r>
            <w:r>
              <w:rPr>
                <w:rFonts w:hint="eastAsia" w:ascii="宋体" w:hAnsi="宋体"/>
                <w:color w:val="auto"/>
                <w:szCs w:val="21"/>
                <w:highlight w:val="none"/>
              </w:rPr>
              <w:t>规定</w:t>
            </w:r>
          </w:p>
        </w:tc>
      </w:tr>
      <w:tr w14:paraId="356A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52B3C13">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311A27E2">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470DDD6E">
            <w:pPr>
              <w:rPr>
                <w:rFonts w:ascii="宋体" w:hAnsi="宋体"/>
                <w:color w:val="auto"/>
                <w:szCs w:val="21"/>
                <w:highlight w:val="none"/>
              </w:rPr>
            </w:pPr>
            <w:r>
              <w:rPr>
                <w:rFonts w:hint="eastAsia" w:ascii="宋体" w:hAnsi="宋体"/>
                <w:color w:val="auto"/>
                <w:szCs w:val="21"/>
                <w:highlight w:val="none"/>
              </w:rPr>
              <w:t>联合体投投人（如有）</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04DF0DE2">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1.4.2</w:t>
            </w:r>
            <w:r>
              <w:rPr>
                <w:rFonts w:hint="eastAsia"/>
                <w:color w:val="auto"/>
                <w:szCs w:val="21"/>
                <w:highlight w:val="none"/>
              </w:rPr>
              <w:t>项</w:t>
            </w:r>
            <w:r>
              <w:rPr>
                <w:rFonts w:hint="eastAsia" w:ascii="宋体" w:hAnsi="宋体"/>
                <w:color w:val="auto"/>
                <w:szCs w:val="21"/>
                <w:highlight w:val="none"/>
              </w:rPr>
              <w:t>规定</w:t>
            </w:r>
          </w:p>
        </w:tc>
      </w:tr>
      <w:tr w14:paraId="1FC1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74A8F2B">
            <w:pPr>
              <w:widowControl/>
              <w:jc w:val="left"/>
              <w:rPr>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4256C09E">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312286E">
            <w:pPr>
              <w:spacing w:line="420" w:lineRule="exact"/>
              <w:rPr>
                <w:color w:val="auto"/>
                <w:szCs w:val="24"/>
                <w:highlight w:val="none"/>
              </w:rPr>
            </w:pPr>
            <w:r>
              <w:rPr>
                <w:rFonts w:hint="eastAsia"/>
                <w:color w:val="auto"/>
                <w:highlight w:val="none"/>
              </w:rPr>
              <w:t>不存在禁止投标的情形</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267CE84B">
            <w:pPr>
              <w:rPr>
                <w:rFonts w:ascii="宋体" w:hAnsi="宋体"/>
                <w:color w:val="auto"/>
                <w:szCs w:val="21"/>
                <w:highlight w:val="none"/>
              </w:rPr>
            </w:pPr>
            <w:r>
              <w:rPr>
                <w:rFonts w:hint="eastAsia" w:ascii="宋体" w:hAnsi="宋体"/>
                <w:color w:val="auto"/>
                <w:szCs w:val="21"/>
                <w:highlight w:val="none"/>
              </w:rPr>
              <w:t>不存在第二章“投标人须知”</w:t>
            </w:r>
            <w:r>
              <w:rPr>
                <w:rFonts w:hint="eastAsia"/>
                <w:color w:val="auto"/>
                <w:szCs w:val="21"/>
                <w:highlight w:val="none"/>
              </w:rPr>
              <w:t>第</w:t>
            </w:r>
            <w:r>
              <w:rPr>
                <w:color w:val="auto"/>
                <w:szCs w:val="21"/>
                <w:highlight w:val="none"/>
              </w:rPr>
              <w:t>1.4.3</w:t>
            </w:r>
            <w:r>
              <w:rPr>
                <w:rFonts w:hint="eastAsia"/>
                <w:color w:val="auto"/>
                <w:szCs w:val="21"/>
                <w:highlight w:val="none"/>
              </w:rPr>
              <w:t>项</w:t>
            </w:r>
            <w:r>
              <w:rPr>
                <w:rFonts w:hint="eastAsia" w:ascii="宋体" w:hAnsi="宋体"/>
                <w:color w:val="auto"/>
                <w:szCs w:val="21"/>
                <w:highlight w:val="none"/>
              </w:rPr>
              <w:t>规定的</w:t>
            </w:r>
            <w:r>
              <w:rPr>
                <w:rFonts w:hint="eastAsia"/>
                <w:color w:val="auto"/>
                <w:highlight w:val="none"/>
              </w:rPr>
              <w:t>任何一种</w:t>
            </w:r>
            <w:r>
              <w:rPr>
                <w:rFonts w:hint="eastAsia" w:ascii="宋体" w:hAnsi="宋体"/>
                <w:color w:val="auto"/>
                <w:szCs w:val="21"/>
                <w:highlight w:val="none"/>
              </w:rPr>
              <w:t>情形</w:t>
            </w:r>
          </w:p>
        </w:tc>
      </w:tr>
      <w:tr w14:paraId="5C62E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tcBorders>
              <w:top w:val="single" w:color="auto" w:sz="4" w:space="0"/>
              <w:left w:val="single" w:color="auto" w:sz="4" w:space="0"/>
              <w:bottom w:val="single" w:color="auto" w:sz="4" w:space="0"/>
              <w:right w:val="single" w:color="auto" w:sz="4" w:space="0"/>
            </w:tcBorders>
            <w:noWrap w:val="0"/>
            <w:vAlign w:val="center"/>
          </w:tcPr>
          <w:p w14:paraId="7AB8D12D">
            <w:pPr>
              <w:spacing w:line="440" w:lineRule="exact"/>
              <w:jc w:val="center"/>
              <w:rPr>
                <w:rFonts w:ascii="宋体" w:hAnsi="宋体"/>
                <w:color w:val="auto"/>
                <w:szCs w:val="21"/>
                <w:highlight w:val="none"/>
              </w:rPr>
            </w:pPr>
            <w:r>
              <w:rPr>
                <w:color w:val="auto"/>
                <w:szCs w:val="21"/>
                <w:highlight w:val="none"/>
              </w:rPr>
              <w:t>2.1.3</w:t>
            </w:r>
          </w:p>
        </w:tc>
        <w:tc>
          <w:tcPr>
            <w:tcW w:w="1059" w:type="dxa"/>
            <w:vMerge w:val="restart"/>
            <w:tcBorders>
              <w:top w:val="single" w:color="auto" w:sz="4" w:space="0"/>
              <w:left w:val="single" w:color="auto" w:sz="4" w:space="0"/>
              <w:bottom w:val="single" w:color="auto" w:sz="4" w:space="0"/>
              <w:right w:val="single" w:color="auto" w:sz="4" w:space="0"/>
            </w:tcBorders>
            <w:noWrap w:val="0"/>
            <w:vAlign w:val="center"/>
          </w:tcPr>
          <w:p w14:paraId="58487C5E">
            <w:pPr>
              <w:jc w:val="center"/>
              <w:rPr>
                <w:rFonts w:ascii="宋体" w:hAnsi="宋体"/>
                <w:color w:val="auto"/>
                <w:szCs w:val="21"/>
                <w:highlight w:val="none"/>
              </w:rPr>
            </w:pPr>
            <w:r>
              <w:rPr>
                <w:rFonts w:hint="eastAsia" w:ascii="宋体" w:hAnsi="宋体"/>
                <w:color w:val="auto"/>
                <w:szCs w:val="21"/>
                <w:highlight w:val="none"/>
              </w:rPr>
              <w:t>响 应 性</w:t>
            </w:r>
          </w:p>
          <w:p w14:paraId="6726AF23">
            <w:pPr>
              <w:jc w:val="center"/>
              <w:rPr>
                <w:rFonts w:ascii="宋体" w:hAnsi="宋体"/>
                <w:color w:val="auto"/>
                <w:szCs w:val="21"/>
                <w:highlight w:val="none"/>
              </w:rPr>
            </w:pPr>
            <w:r>
              <w:rPr>
                <w:rFonts w:hint="eastAsia" w:ascii="宋体" w:hAnsi="宋体"/>
                <w:color w:val="auto"/>
                <w:szCs w:val="21"/>
                <w:highlight w:val="none"/>
              </w:rPr>
              <w:t>评审标准</w:t>
            </w: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3024ADF5">
            <w:pPr>
              <w:rPr>
                <w:rFonts w:ascii="宋体" w:hAnsi="宋体"/>
                <w:color w:val="auto"/>
                <w:szCs w:val="21"/>
                <w:highlight w:val="none"/>
              </w:rPr>
            </w:pPr>
            <w:r>
              <w:rPr>
                <w:rFonts w:hint="eastAsia" w:ascii="宋体" w:hAnsi="宋体"/>
                <w:color w:val="auto"/>
                <w:szCs w:val="21"/>
                <w:highlight w:val="none"/>
              </w:rPr>
              <w:t>投标内容</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3675DCD2">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1.3.1</w:t>
            </w:r>
            <w:r>
              <w:rPr>
                <w:rFonts w:hint="eastAsia"/>
                <w:color w:val="auto"/>
                <w:szCs w:val="21"/>
                <w:highlight w:val="none"/>
              </w:rPr>
              <w:t>项</w:t>
            </w:r>
            <w:r>
              <w:rPr>
                <w:rFonts w:hint="eastAsia" w:ascii="宋体" w:hAnsi="宋体"/>
                <w:color w:val="auto"/>
                <w:szCs w:val="21"/>
                <w:highlight w:val="none"/>
              </w:rPr>
              <w:t>规定</w:t>
            </w:r>
          </w:p>
        </w:tc>
      </w:tr>
      <w:tr w14:paraId="746E7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3F1995ED">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15A0DC1C">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1D8BE34">
            <w:pPr>
              <w:rPr>
                <w:rFonts w:ascii="宋体" w:hAnsi="宋体"/>
                <w:color w:val="auto"/>
                <w:szCs w:val="21"/>
                <w:highlight w:val="none"/>
              </w:rPr>
            </w:pPr>
            <w:r>
              <w:rPr>
                <w:rFonts w:hint="eastAsia" w:ascii="宋体" w:hAnsi="宋体"/>
                <w:color w:val="auto"/>
                <w:szCs w:val="21"/>
                <w:highlight w:val="none"/>
              </w:rPr>
              <w:t>工期</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61F69ADE">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1.3.2</w:t>
            </w:r>
            <w:r>
              <w:rPr>
                <w:rFonts w:hint="eastAsia"/>
                <w:color w:val="auto"/>
                <w:szCs w:val="21"/>
                <w:highlight w:val="none"/>
              </w:rPr>
              <w:t>项</w:t>
            </w:r>
            <w:r>
              <w:rPr>
                <w:rFonts w:hint="eastAsia" w:ascii="宋体" w:hAnsi="宋体"/>
                <w:color w:val="auto"/>
                <w:szCs w:val="21"/>
                <w:highlight w:val="none"/>
              </w:rPr>
              <w:t>规定</w:t>
            </w:r>
          </w:p>
        </w:tc>
      </w:tr>
      <w:tr w14:paraId="5A25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6DB675D5">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35B3BC16">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CA91B01">
            <w:pPr>
              <w:rPr>
                <w:rFonts w:ascii="宋体" w:hAnsi="宋体"/>
                <w:color w:val="auto"/>
                <w:szCs w:val="21"/>
                <w:highlight w:val="none"/>
              </w:rPr>
            </w:pPr>
            <w:r>
              <w:rPr>
                <w:rFonts w:hint="eastAsia" w:ascii="宋体" w:hAnsi="宋体"/>
                <w:color w:val="auto"/>
                <w:szCs w:val="21"/>
                <w:highlight w:val="none"/>
              </w:rPr>
              <w:t>工程质量</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1018693B">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1.3.3</w:t>
            </w:r>
            <w:r>
              <w:rPr>
                <w:rFonts w:hint="eastAsia"/>
                <w:color w:val="auto"/>
                <w:szCs w:val="21"/>
                <w:highlight w:val="none"/>
              </w:rPr>
              <w:t>项</w:t>
            </w:r>
            <w:r>
              <w:rPr>
                <w:rFonts w:hint="eastAsia" w:ascii="宋体" w:hAnsi="宋体"/>
                <w:color w:val="auto"/>
                <w:szCs w:val="21"/>
                <w:highlight w:val="none"/>
              </w:rPr>
              <w:t>规定</w:t>
            </w:r>
          </w:p>
          <w:p w14:paraId="5BCBFF3D">
            <w:pPr>
              <w:rPr>
                <w:rFonts w:ascii="宋体" w:hAnsi="宋体"/>
                <w:color w:val="auto"/>
                <w:szCs w:val="21"/>
                <w:highlight w:val="none"/>
              </w:rPr>
            </w:pPr>
            <w:r>
              <w:rPr>
                <w:rFonts w:hint="eastAsia" w:ascii="宋体" w:hAnsi="宋体"/>
                <w:color w:val="auto"/>
                <w:szCs w:val="21"/>
                <w:highlight w:val="none"/>
              </w:rPr>
              <w:t>（投标文件中载明的质量标准、质量奖项必须达到招标文件规定的质量标准、质量奖项，不能以质量奖项代替质量标准）</w:t>
            </w:r>
          </w:p>
        </w:tc>
      </w:tr>
      <w:tr w14:paraId="568E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2CD2A67F">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0F60687F">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746E7DE0">
            <w:pPr>
              <w:rPr>
                <w:rFonts w:ascii="宋体" w:hAnsi="宋体"/>
                <w:color w:val="auto"/>
                <w:szCs w:val="21"/>
                <w:highlight w:val="none"/>
              </w:rPr>
            </w:pPr>
            <w:r>
              <w:rPr>
                <w:rFonts w:hint="eastAsia" w:ascii="宋体" w:hAnsi="宋体"/>
                <w:color w:val="auto"/>
                <w:szCs w:val="21"/>
                <w:highlight w:val="none"/>
              </w:rPr>
              <w:t>投标有效期</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5F45BCB8">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3.3.1</w:t>
            </w:r>
            <w:r>
              <w:rPr>
                <w:rFonts w:hint="eastAsia"/>
                <w:color w:val="auto"/>
                <w:szCs w:val="21"/>
                <w:highlight w:val="none"/>
              </w:rPr>
              <w:t>项</w:t>
            </w:r>
            <w:r>
              <w:rPr>
                <w:rFonts w:hint="eastAsia" w:ascii="宋体" w:hAnsi="宋体"/>
                <w:color w:val="auto"/>
                <w:szCs w:val="21"/>
                <w:highlight w:val="none"/>
              </w:rPr>
              <w:t>规定</w:t>
            </w:r>
          </w:p>
        </w:tc>
      </w:tr>
      <w:tr w14:paraId="10BC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C72BD60">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55FCAD03">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00A83FA7">
            <w:pPr>
              <w:rPr>
                <w:rFonts w:ascii="宋体" w:hAnsi="宋体"/>
                <w:color w:val="auto"/>
                <w:szCs w:val="21"/>
                <w:highlight w:val="none"/>
              </w:rPr>
            </w:pPr>
            <w:r>
              <w:rPr>
                <w:rFonts w:hint="eastAsia" w:ascii="宋体" w:hAnsi="宋体"/>
                <w:color w:val="auto"/>
                <w:szCs w:val="21"/>
                <w:highlight w:val="none"/>
              </w:rPr>
              <w:t>投标保证金</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2AB8B2AB">
            <w:pPr>
              <w:rPr>
                <w:rFonts w:ascii="宋体" w:hAnsi="宋体"/>
                <w:color w:val="auto"/>
                <w:szCs w:val="21"/>
                <w:highlight w:val="none"/>
              </w:rPr>
            </w:pPr>
            <w:r>
              <w:rPr>
                <w:rFonts w:hint="eastAsia" w:ascii="宋体" w:hAnsi="宋体"/>
                <w:color w:val="auto"/>
                <w:szCs w:val="21"/>
                <w:highlight w:val="none"/>
              </w:rPr>
              <w:t>符合第二章“投标人须知”</w:t>
            </w:r>
            <w:r>
              <w:rPr>
                <w:rFonts w:hint="eastAsia"/>
                <w:color w:val="auto"/>
                <w:szCs w:val="21"/>
                <w:highlight w:val="none"/>
              </w:rPr>
              <w:t>第</w:t>
            </w:r>
            <w:r>
              <w:rPr>
                <w:color w:val="auto"/>
                <w:szCs w:val="21"/>
                <w:highlight w:val="none"/>
              </w:rPr>
              <w:t>3.4.1</w:t>
            </w:r>
            <w:r>
              <w:rPr>
                <w:rFonts w:hint="eastAsia"/>
                <w:color w:val="auto"/>
                <w:szCs w:val="21"/>
                <w:highlight w:val="none"/>
              </w:rPr>
              <w:t>项</w:t>
            </w:r>
            <w:r>
              <w:rPr>
                <w:rFonts w:hint="eastAsia" w:ascii="宋体" w:hAnsi="宋体"/>
                <w:color w:val="auto"/>
                <w:szCs w:val="21"/>
                <w:highlight w:val="none"/>
              </w:rPr>
              <w:t>规定</w:t>
            </w:r>
          </w:p>
          <w:p w14:paraId="112CEA9C">
            <w:pPr>
              <w:autoSpaceDE w:val="0"/>
              <w:autoSpaceDN w:val="0"/>
              <w:adjustRightInd w:val="0"/>
              <w:snapToGrid w:val="0"/>
              <w:jc w:val="left"/>
              <w:rPr>
                <w:rFonts w:ascii="宋体" w:hAnsi="宋体"/>
                <w:color w:val="auto"/>
                <w:szCs w:val="21"/>
                <w:highlight w:val="none"/>
              </w:rPr>
            </w:pPr>
            <w:r>
              <w:rPr>
                <w:rFonts w:hint="eastAsia" w:ascii="宋体" w:hAnsi="宋体"/>
                <w:color w:val="auto"/>
                <w:szCs w:val="21"/>
                <w:highlight w:val="none"/>
              </w:rPr>
              <w:t>（投标保证金符合要求是指</w:t>
            </w:r>
            <w:r>
              <w:rPr>
                <w:rFonts w:hint="eastAsia"/>
                <w:color w:val="auto"/>
                <w:highlight w:val="none"/>
              </w:rPr>
              <w:t>投标保证金的形式、金额、递交截止时间、递交方式</w:t>
            </w:r>
            <w:r>
              <w:rPr>
                <w:rFonts w:hint="eastAsia" w:ascii="宋体" w:hAnsi="宋体"/>
                <w:color w:val="auto"/>
                <w:szCs w:val="21"/>
                <w:highlight w:val="none"/>
              </w:rPr>
              <w:t>符合招标文件规定；以现金、支票方式提交的应从投标人基本账户转出，即投标人汇款凭证的账户号与其基本账户开户许可证的账户号一致）</w:t>
            </w:r>
          </w:p>
        </w:tc>
      </w:tr>
      <w:tr w14:paraId="21295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22252A7E">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2E050425">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E646986">
            <w:pPr>
              <w:rPr>
                <w:rFonts w:ascii="宋体" w:hAnsi="宋体"/>
                <w:color w:val="auto"/>
                <w:szCs w:val="21"/>
                <w:highlight w:val="none"/>
              </w:rPr>
            </w:pPr>
            <w:r>
              <w:rPr>
                <w:rFonts w:hint="eastAsia" w:ascii="宋体" w:hAnsi="宋体"/>
                <w:color w:val="auto"/>
                <w:szCs w:val="21"/>
                <w:highlight w:val="none"/>
              </w:rPr>
              <w:t>权利义务</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1C9378CA">
            <w:pPr>
              <w:rPr>
                <w:rFonts w:ascii="宋体" w:hAnsi="宋体"/>
                <w:color w:val="auto"/>
                <w:szCs w:val="21"/>
                <w:highlight w:val="none"/>
              </w:rPr>
            </w:pPr>
            <w:r>
              <w:rPr>
                <w:rFonts w:hint="eastAsia" w:ascii="宋体" w:hAnsi="宋体"/>
                <w:color w:val="auto"/>
                <w:szCs w:val="21"/>
                <w:highlight w:val="none"/>
              </w:rPr>
              <w:t>投标函附录中的相关承诺符合或优于第四章“合同条款及格式”的相关规定</w:t>
            </w:r>
          </w:p>
        </w:tc>
      </w:tr>
      <w:tr w14:paraId="12C5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D9A39F3">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0E6F71B0">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57999661">
            <w:pPr>
              <w:rPr>
                <w:rFonts w:ascii="宋体" w:hAnsi="宋体"/>
                <w:color w:val="auto"/>
                <w:szCs w:val="21"/>
                <w:highlight w:val="none"/>
              </w:rPr>
            </w:pPr>
            <w:r>
              <w:rPr>
                <w:rFonts w:hint="eastAsia" w:ascii="宋体" w:hAnsi="宋体"/>
                <w:color w:val="auto"/>
                <w:szCs w:val="21"/>
                <w:highlight w:val="none"/>
              </w:rPr>
              <w:t>技术标准和要求</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3D77F61F">
            <w:pPr>
              <w:rPr>
                <w:rFonts w:ascii="宋体" w:hAnsi="宋体"/>
                <w:color w:val="auto"/>
                <w:szCs w:val="21"/>
                <w:highlight w:val="none"/>
              </w:rPr>
            </w:pPr>
            <w:r>
              <w:rPr>
                <w:rFonts w:hint="eastAsia" w:ascii="宋体" w:hAnsi="宋体"/>
                <w:color w:val="auto"/>
                <w:szCs w:val="21"/>
                <w:highlight w:val="none"/>
              </w:rPr>
              <w:t>符合第七章“技术标准和要求”规定</w:t>
            </w:r>
          </w:p>
        </w:tc>
      </w:tr>
      <w:tr w14:paraId="012F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3D30CE57">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16F840FC">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679B3B8A">
            <w:pPr>
              <w:rPr>
                <w:rFonts w:ascii="宋体" w:hAnsi="宋体"/>
                <w:color w:val="auto"/>
                <w:szCs w:val="21"/>
                <w:highlight w:val="none"/>
              </w:rPr>
            </w:pPr>
            <w:r>
              <w:rPr>
                <w:rFonts w:hint="eastAsia" w:ascii="宋体" w:hAnsi="宋体"/>
                <w:color w:val="auto"/>
                <w:szCs w:val="21"/>
                <w:highlight w:val="none"/>
              </w:rPr>
              <w:t>分包计划</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16B3CB55">
            <w:pPr>
              <w:rPr>
                <w:rFonts w:ascii="宋体" w:hAnsi="宋体"/>
                <w:color w:val="auto"/>
                <w:szCs w:val="21"/>
                <w:highlight w:val="none"/>
              </w:rPr>
            </w:pPr>
            <w:r>
              <w:rPr>
                <w:rFonts w:hint="eastAsia" w:ascii="宋体" w:hAnsi="宋体"/>
                <w:color w:val="auto"/>
                <w:szCs w:val="21"/>
                <w:highlight w:val="none"/>
              </w:rPr>
              <w:t>符合第二章“投标人须知”第1.11款规定</w:t>
            </w:r>
          </w:p>
        </w:tc>
      </w:tr>
      <w:tr w14:paraId="22D12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D791E60">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31650156">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6BF9C771">
            <w:pPr>
              <w:rPr>
                <w:rFonts w:ascii="宋体" w:hAnsi="宋体"/>
                <w:color w:val="auto"/>
                <w:szCs w:val="21"/>
                <w:highlight w:val="none"/>
              </w:rPr>
            </w:pPr>
            <w:r>
              <w:rPr>
                <w:rFonts w:hint="eastAsia" w:ascii="宋体" w:hAnsi="宋体"/>
                <w:color w:val="auto"/>
                <w:szCs w:val="21"/>
                <w:highlight w:val="none"/>
              </w:rPr>
              <w:t>算术错误修正</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77F4F65B">
            <w:pPr>
              <w:autoSpaceDE w:val="0"/>
              <w:autoSpaceDN w:val="0"/>
              <w:adjustRightInd w:val="0"/>
              <w:spacing w:line="360" w:lineRule="auto"/>
              <w:rPr>
                <w:rFonts w:ascii="宋体" w:hAnsi="宋体"/>
                <w:color w:val="auto"/>
                <w:szCs w:val="21"/>
                <w:highlight w:val="none"/>
              </w:rPr>
            </w:pPr>
            <w:r>
              <w:rPr>
                <w:rFonts w:hint="eastAsia" w:ascii="宋体" w:hAnsi="宋体"/>
                <w:color w:val="auto"/>
                <w:szCs w:val="21"/>
                <w:highlight w:val="none"/>
              </w:rPr>
              <w:t>1) 投标人接受算术错误修正后的报价</w:t>
            </w:r>
          </w:p>
          <w:p w14:paraId="701D79CF">
            <w:pPr>
              <w:rPr>
                <w:rFonts w:ascii="宋体" w:hAnsi="宋体"/>
                <w:color w:val="auto"/>
                <w:szCs w:val="21"/>
                <w:highlight w:val="none"/>
              </w:rPr>
            </w:pPr>
            <w:r>
              <w:rPr>
                <w:rFonts w:hint="eastAsia" w:ascii="宋体" w:hAnsi="宋体"/>
                <w:color w:val="auto"/>
                <w:szCs w:val="21"/>
                <w:highlight w:val="none"/>
              </w:rPr>
              <w:t>2) 修正后的报价与投标报价相比偏差率不超过±1%</w:t>
            </w:r>
          </w:p>
        </w:tc>
      </w:tr>
      <w:tr w14:paraId="42DF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9"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58587CA4">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0A6B02E1">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12101B21">
            <w:pPr>
              <w:rPr>
                <w:rFonts w:ascii="宋体" w:hAnsi="宋体"/>
                <w:color w:val="auto"/>
                <w:szCs w:val="21"/>
                <w:highlight w:val="none"/>
              </w:rPr>
            </w:pPr>
            <w:r>
              <w:rPr>
                <w:rFonts w:hint="eastAsia" w:ascii="宋体" w:hAnsi="宋体"/>
                <w:color w:val="auto"/>
                <w:szCs w:val="21"/>
                <w:highlight w:val="none"/>
              </w:rPr>
              <w:t>投标价格</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3E3BBBC9">
            <w:pPr>
              <w:rPr>
                <w:rFonts w:ascii="宋体" w:hAnsi="宋体"/>
                <w:color w:val="auto"/>
                <w:szCs w:val="21"/>
                <w:highlight w:val="none"/>
              </w:rPr>
            </w:pPr>
            <w:r>
              <w:rPr>
                <w:rFonts w:hint="eastAsia" w:ascii="宋体" w:hAnsi="宋体"/>
                <w:color w:val="auto"/>
                <w:szCs w:val="21"/>
                <w:highlight w:val="none"/>
              </w:rPr>
              <w:t>1）投标函中的大写报价与已标价工程量清单中的投标总价一致</w:t>
            </w:r>
          </w:p>
          <w:p w14:paraId="034A4BBB">
            <w:pPr>
              <w:rPr>
                <w:rFonts w:hint="eastAsia" w:ascii="宋体" w:hAnsi="宋体"/>
                <w:color w:val="auto"/>
                <w:szCs w:val="21"/>
                <w:highlight w:val="none"/>
              </w:rPr>
            </w:pPr>
            <w:r>
              <w:rPr>
                <w:rFonts w:hint="eastAsia" w:ascii="宋体" w:hAnsi="宋体"/>
                <w:color w:val="auto"/>
                <w:szCs w:val="21"/>
                <w:highlight w:val="none"/>
              </w:rPr>
              <w:t>2）投标函中的大写报价不大于本标段招标控制价总价</w:t>
            </w:r>
          </w:p>
          <w:p w14:paraId="18FAF741">
            <w:pPr>
              <w:rPr>
                <w:rFonts w:hint="eastAsia" w:ascii="宋体" w:hAnsi="宋体"/>
                <w:color w:val="auto"/>
                <w:szCs w:val="21"/>
                <w:highlight w:val="none"/>
              </w:rPr>
            </w:pPr>
            <w:r>
              <w:rPr>
                <w:rFonts w:hint="eastAsia" w:ascii="宋体" w:hAnsi="宋体"/>
                <w:color w:val="auto"/>
                <w:szCs w:val="21"/>
                <w:highlight w:val="none"/>
              </w:rPr>
              <w:t>3）</w:t>
            </w:r>
            <w:r>
              <w:rPr>
                <w:rFonts w:hint="eastAsia"/>
                <w:color w:val="auto"/>
                <w:highlight w:val="none"/>
              </w:rPr>
              <w:t>算术错误修正后的投标总报价</w:t>
            </w:r>
            <w:r>
              <w:rPr>
                <w:rFonts w:hint="eastAsia" w:ascii="宋体" w:hAnsi="宋体"/>
                <w:color w:val="auto"/>
                <w:szCs w:val="21"/>
                <w:highlight w:val="none"/>
              </w:rPr>
              <w:t>不大于本标段招标控制价总价</w:t>
            </w:r>
          </w:p>
          <w:p w14:paraId="641CC75E">
            <w:pPr>
              <w:rPr>
                <w:rFonts w:ascii="宋体" w:hAnsi="宋体"/>
                <w:color w:val="auto"/>
                <w:szCs w:val="21"/>
                <w:highlight w:val="none"/>
              </w:rPr>
            </w:pPr>
            <w:r>
              <w:rPr>
                <w:rFonts w:hint="eastAsia" w:ascii="宋体" w:hAnsi="宋体"/>
                <w:color w:val="auto"/>
                <w:szCs w:val="21"/>
                <w:highlight w:val="none"/>
              </w:rPr>
              <w:t>4）投标报价不低于其成本</w:t>
            </w:r>
          </w:p>
        </w:tc>
      </w:tr>
      <w:tr w14:paraId="5C42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2"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7792AA1F">
            <w:pPr>
              <w:widowControl/>
              <w:jc w:val="left"/>
              <w:rPr>
                <w:rFonts w:ascii="宋体" w:hAnsi="宋体"/>
                <w:color w:val="auto"/>
                <w:szCs w:val="21"/>
                <w:highlight w:val="none"/>
              </w:rPr>
            </w:pPr>
          </w:p>
        </w:tc>
        <w:tc>
          <w:tcPr>
            <w:tcW w:w="1059" w:type="dxa"/>
            <w:vMerge w:val="continue"/>
            <w:tcBorders>
              <w:top w:val="single" w:color="auto" w:sz="4" w:space="0"/>
              <w:left w:val="single" w:color="auto" w:sz="4" w:space="0"/>
              <w:bottom w:val="single" w:color="auto" w:sz="4" w:space="0"/>
              <w:right w:val="single" w:color="auto" w:sz="4" w:space="0"/>
            </w:tcBorders>
            <w:noWrap w:val="0"/>
            <w:vAlign w:val="center"/>
          </w:tcPr>
          <w:p w14:paraId="5CC789B9">
            <w:pPr>
              <w:widowControl/>
              <w:jc w:val="left"/>
              <w:rPr>
                <w:rFonts w:ascii="宋体" w:hAnsi="宋体"/>
                <w:color w:val="auto"/>
                <w:szCs w:val="21"/>
                <w:highlight w:val="none"/>
              </w:rPr>
            </w:pPr>
          </w:p>
        </w:tc>
        <w:tc>
          <w:tcPr>
            <w:tcW w:w="2340" w:type="dxa"/>
            <w:gridSpan w:val="4"/>
            <w:tcBorders>
              <w:top w:val="single" w:color="auto" w:sz="4" w:space="0"/>
              <w:left w:val="single" w:color="auto" w:sz="4" w:space="0"/>
              <w:bottom w:val="single" w:color="auto" w:sz="4" w:space="0"/>
              <w:right w:val="single" w:color="auto" w:sz="4" w:space="0"/>
            </w:tcBorders>
            <w:noWrap w:val="0"/>
            <w:vAlign w:val="center"/>
          </w:tcPr>
          <w:p w14:paraId="401F1825">
            <w:pPr>
              <w:rPr>
                <w:rFonts w:ascii="宋体" w:hAnsi="宋体"/>
                <w:color w:val="auto"/>
                <w:szCs w:val="21"/>
                <w:highlight w:val="none"/>
              </w:rPr>
            </w:pPr>
            <w:r>
              <w:rPr>
                <w:rFonts w:hint="eastAsia" w:ascii="宋体" w:hAnsi="宋体"/>
                <w:color w:val="auto"/>
                <w:szCs w:val="21"/>
                <w:highlight w:val="none"/>
              </w:rPr>
              <w:t>已标价工程量清单</w:t>
            </w:r>
          </w:p>
        </w:tc>
        <w:tc>
          <w:tcPr>
            <w:tcW w:w="5040" w:type="dxa"/>
            <w:gridSpan w:val="2"/>
            <w:tcBorders>
              <w:top w:val="single" w:color="auto" w:sz="4" w:space="0"/>
              <w:left w:val="single" w:color="auto" w:sz="4" w:space="0"/>
              <w:bottom w:val="single" w:color="auto" w:sz="4" w:space="0"/>
              <w:right w:val="single" w:color="auto" w:sz="4" w:space="0"/>
            </w:tcBorders>
            <w:noWrap w:val="0"/>
            <w:vAlign w:val="center"/>
          </w:tcPr>
          <w:p w14:paraId="26537511">
            <w:pPr>
              <w:rPr>
                <w:rFonts w:ascii="宋体" w:hAnsi="宋体"/>
                <w:color w:val="auto"/>
                <w:szCs w:val="21"/>
                <w:highlight w:val="none"/>
              </w:rPr>
            </w:pPr>
            <w:r>
              <w:rPr>
                <w:rFonts w:hint="eastAsia" w:ascii="宋体" w:hAnsi="宋体"/>
                <w:color w:val="auto"/>
                <w:szCs w:val="21"/>
                <w:highlight w:val="none"/>
              </w:rPr>
              <w:t>1）已标价工程量清单项目编码顺序与第五章“工程量清单”给出的项目编码顺序一致；</w:t>
            </w:r>
          </w:p>
          <w:p w14:paraId="3FA6F466">
            <w:pPr>
              <w:rPr>
                <w:rFonts w:hint="eastAsia" w:ascii="宋体" w:hAnsi="宋体"/>
                <w:color w:val="auto"/>
                <w:szCs w:val="21"/>
                <w:highlight w:val="none"/>
              </w:rPr>
            </w:pPr>
            <w:r>
              <w:rPr>
                <w:rFonts w:hint="eastAsia" w:ascii="宋体" w:hAnsi="宋体"/>
                <w:color w:val="auto"/>
                <w:szCs w:val="21"/>
                <w:highlight w:val="none"/>
              </w:rPr>
              <w:t>2）已标价工程量清单符合第五章“工程量清单”给出的项目编码、项目名称、项目特征、计量单位和工程量；</w:t>
            </w:r>
          </w:p>
          <w:p w14:paraId="4BE3B66B">
            <w:pPr>
              <w:rPr>
                <w:rFonts w:hint="eastAsia" w:ascii="宋体" w:hAnsi="宋体"/>
                <w:color w:val="auto"/>
                <w:szCs w:val="21"/>
                <w:highlight w:val="none"/>
              </w:rPr>
            </w:pPr>
            <w:r>
              <w:rPr>
                <w:rFonts w:hint="eastAsia" w:ascii="宋体" w:hAnsi="宋体"/>
                <w:color w:val="auto"/>
                <w:szCs w:val="21"/>
                <w:highlight w:val="none"/>
              </w:rPr>
              <w:t>3）暂列金额符合第五章“工程量清单”列出的金额；</w:t>
            </w:r>
          </w:p>
          <w:p w14:paraId="03472178">
            <w:pPr>
              <w:rPr>
                <w:rFonts w:hint="eastAsia" w:ascii="宋体" w:hAnsi="宋体"/>
                <w:color w:val="auto"/>
                <w:szCs w:val="21"/>
                <w:highlight w:val="none"/>
              </w:rPr>
            </w:pPr>
            <w:r>
              <w:rPr>
                <w:rFonts w:hint="eastAsia" w:ascii="宋体" w:hAnsi="宋体"/>
                <w:color w:val="auto"/>
                <w:szCs w:val="21"/>
                <w:highlight w:val="none"/>
              </w:rPr>
              <w:t>4）专业工程暂估价符合第五章“工程量清单”列出的金额；</w:t>
            </w:r>
          </w:p>
          <w:p w14:paraId="19E6FFC3">
            <w:pPr>
              <w:rPr>
                <w:rFonts w:hint="eastAsia" w:ascii="宋体" w:hAnsi="宋体"/>
                <w:color w:val="auto"/>
                <w:szCs w:val="21"/>
                <w:highlight w:val="none"/>
              </w:rPr>
            </w:pPr>
            <w:r>
              <w:rPr>
                <w:rFonts w:hint="eastAsia" w:ascii="宋体" w:hAnsi="宋体"/>
                <w:color w:val="auto"/>
                <w:szCs w:val="21"/>
                <w:highlight w:val="none"/>
              </w:rPr>
              <w:t>5）材料（工程设备）暂估价符合第五章“工程量清单”列出的单价并计入综合单价；</w:t>
            </w:r>
          </w:p>
          <w:p w14:paraId="54FEDE27">
            <w:pPr>
              <w:rPr>
                <w:rFonts w:hint="eastAsia" w:ascii="宋体" w:hAnsi="宋体"/>
                <w:color w:val="auto"/>
                <w:szCs w:val="21"/>
                <w:highlight w:val="none"/>
              </w:rPr>
            </w:pPr>
            <w:r>
              <w:rPr>
                <w:rFonts w:hint="eastAsia" w:ascii="宋体" w:hAnsi="宋体"/>
                <w:color w:val="auto"/>
                <w:szCs w:val="21"/>
                <w:highlight w:val="none"/>
              </w:rPr>
              <w:t>6）安全文明施工费、规费和税金等不可竞争费用，按照规定的标准计取；</w:t>
            </w:r>
          </w:p>
          <w:p w14:paraId="1145A5B1">
            <w:pPr>
              <w:rPr>
                <w:rFonts w:hint="eastAsia" w:ascii="宋体" w:hAnsi="宋体"/>
                <w:color w:val="auto"/>
                <w:szCs w:val="21"/>
                <w:highlight w:val="none"/>
              </w:rPr>
            </w:pPr>
            <w:r>
              <w:rPr>
                <w:rFonts w:hint="eastAsia" w:ascii="宋体" w:hAnsi="宋体"/>
                <w:color w:val="auto"/>
                <w:szCs w:val="21"/>
                <w:highlight w:val="none"/>
              </w:rPr>
              <w:t>7）计税方法符合招标文件的约定；</w:t>
            </w:r>
          </w:p>
          <w:p w14:paraId="0C861847">
            <w:pPr>
              <w:rPr>
                <w:rFonts w:ascii="宋体" w:hAnsi="宋体"/>
                <w:color w:val="auto"/>
                <w:szCs w:val="21"/>
                <w:highlight w:val="none"/>
              </w:rPr>
            </w:pPr>
            <w:r>
              <w:rPr>
                <w:rFonts w:hint="eastAsia" w:ascii="宋体" w:hAnsi="宋体"/>
                <w:color w:val="auto"/>
                <w:szCs w:val="21"/>
                <w:highlight w:val="none"/>
              </w:rPr>
              <w:t>8）已标价工程量清单项目未填报的项目不超过三项，或不超过三项未填报的项目的费用合计（按招标控制价相应项目的费用合计计算）不超过其投标总报价（修正后的投标总报价，如有）的±1%</w:t>
            </w:r>
          </w:p>
        </w:tc>
      </w:tr>
      <w:tr w14:paraId="0AF8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7BC0D326">
            <w:pPr>
              <w:spacing w:line="420" w:lineRule="exact"/>
              <w:jc w:val="center"/>
              <w:rPr>
                <w:color w:val="auto"/>
                <w:szCs w:val="24"/>
                <w:highlight w:val="none"/>
              </w:rPr>
            </w:pPr>
            <w:r>
              <w:rPr>
                <w:color w:val="auto"/>
                <w:szCs w:val="21"/>
                <w:highlight w:val="none"/>
              </w:rPr>
              <w:t>3.2.2</w:t>
            </w:r>
          </w:p>
        </w:tc>
        <w:tc>
          <w:tcPr>
            <w:tcW w:w="7380" w:type="dxa"/>
            <w:gridSpan w:val="6"/>
            <w:tcBorders>
              <w:top w:val="single" w:color="auto" w:sz="4" w:space="0"/>
              <w:left w:val="single" w:color="auto" w:sz="4" w:space="0"/>
              <w:bottom w:val="single" w:color="auto" w:sz="4" w:space="0"/>
              <w:right w:val="single" w:color="auto" w:sz="4" w:space="0"/>
            </w:tcBorders>
            <w:noWrap w:val="0"/>
            <w:vAlign w:val="center"/>
          </w:tcPr>
          <w:p w14:paraId="45032F6B">
            <w:pPr>
              <w:spacing w:line="420" w:lineRule="exact"/>
              <w:rPr>
                <w:color w:val="auto"/>
                <w:szCs w:val="24"/>
                <w:highlight w:val="none"/>
              </w:rPr>
            </w:pPr>
            <w:r>
              <w:rPr>
                <w:rFonts w:hint="eastAsia"/>
                <w:color w:val="auto"/>
                <w:szCs w:val="21"/>
                <w:highlight w:val="none"/>
              </w:rPr>
              <w:t>投标人不得存在的其他情形：</w:t>
            </w:r>
          </w:p>
          <w:p w14:paraId="2A9A63CC">
            <w:pPr>
              <w:spacing w:line="420" w:lineRule="exact"/>
              <w:rPr>
                <w:color w:val="auto"/>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r>
              <w:rPr>
                <w:rFonts w:hint="eastAsia"/>
                <w:color w:val="auto"/>
                <w:highlight w:val="none"/>
              </w:rPr>
              <w:t>不按评标委员会要求澄清、说明或补正；</w:t>
            </w:r>
          </w:p>
          <w:p w14:paraId="5E728937">
            <w:pPr>
              <w:spacing w:line="420" w:lineRule="exact"/>
              <w:rPr>
                <w:color w:val="auto"/>
                <w:szCs w:val="24"/>
                <w:highlight w:val="none"/>
              </w:rPr>
            </w:pPr>
            <w:r>
              <w:rPr>
                <w:rFonts w:hint="eastAsia"/>
                <w:color w:val="auto"/>
                <w:highlight w:val="none"/>
              </w:rPr>
              <w:t>（</w:t>
            </w:r>
            <w:r>
              <w:rPr>
                <w:color w:val="auto"/>
                <w:highlight w:val="none"/>
              </w:rPr>
              <w:t>2</w:t>
            </w:r>
            <w:r>
              <w:rPr>
                <w:rFonts w:hint="eastAsia"/>
                <w:color w:val="auto"/>
                <w:highlight w:val="none"/>
              </w:rPr>
              <w:t>）</w:t>
            </w:r>
            <w:r>
              <w:rPr>
                <w:rFonts w:hint="eastAsia"/>
                <w:color w:val="auto"/>
                <w:szCs w:val="21"/>
                <w:highlight w:val="none"/>
              </w:rPr>
              <w:t>有</w:t>
            </w:r>
            <w:r>
              <w:rPr>
                <w:rFonts w:hint="eastAsia"/>
                <w:color w:val="auto"/>
                <w:highlight w:val="none"/>
              </w:rPr>
              <w:t>串通投标、弄虚作假、行贿或有其他违法行为。</w:t>
            </w:r>
          </w:p>
        </w:tc>
      </w:tr>
      <w:tr w14:paraId="083B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5B1ADCE9">
            <w:pPr>
              <w:jc w:val="center"/>
              <w:rPr>
                <w:rFonts w:ascii="宋体" w:hAnsi="宋体"/>
                <w:b/>
                <w:color w:val="auto"/>
                <w:szCs w:val="21"/>
                <w:highlight w:val="none"/>
              </w:rPr>
            </w:pPr>
            <w:r>
              <w:rPr>
                <w:rFonts w:hint="eastAsia" w:ascii="宋体" w:hAnsi="宋体"/>
                <w:b/>
                <w:color w:val="auto"/>
                <w:szCs w:val="21"/>
                <w:highlight w:val="none"/>
              </w:rPr>
              <w:t>条款号</w:t>
            </w: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567B57CE">
            <w:pPr>
              <w:jc w:val="center"/>
              <w:rPr>
                <w:rFonts w:ascii="宋体" w:hAnsi="宋体"/>
                <w:b/>
                <w:color w:val="auto"/>
                <w:szCs w:val="21"/>
                <w:highlight w:val="none"/>
              </w:rPr>
            </w:pPr>
            <w:r>
              <w:rPr>
                <w:rFonts w:hint="eastAsia" w:ascii="宋体" w:hAnsi="宋体"/>
                <w:b/>
                <w:color w:val="auto"/>
                <w:szCs w:val="21"/>
                <w:highlight w:val="none"/>
              </w:rPr>
              <w:t>条款内容</w:t>
            </w:r>
          </w:p>
        </w:tc>
        <w:tc>
          <w:tcPr>
            <w:tcW w:w="5295" w:type="dxa"/>
            <w:gridSpan w:val="3"/>
            <w:tcBorders>
              <w:top w:val="single" w:color="auto" w:sz="4" w:space="0"/>
              <w:left w:val="single" w:color="auto" w:sz="4" w:space="0"/>
              <w:bottom w:val="single" w:color="auto" w:sz="4" w:space="0"/>
              <w:right w:val="single" w:color="auto" w:sz="4" w:space="0"/>
            </w:tcBorders>
            <w:noWrap w:val="0"/>
            <w:vAlign w:val="center"/>
          </w:tcPr>
          <w:p w14:paraId="2E216303">
            <w:pPr>
              <w:jc w:val="center"/>
              <w:rPr>
                <w:rFonts w:ascii="宋体" w:hAnsi="宋体"/>
                <w:b/>
                <w:color w:val="auto"/>
                <w:szCs w:val="21"/>
                <w:highlight w:val="none"/>
              </w:rPr>
            </w:pPr>
            <w:r>
              <w:rPr>
                <w:rFonts w:hint="eastAsia" w:ascii="宋体" w:hAnsi="宋体"/>
                <w:b/>
                <w:color w:val="auto"/>
                <w:szCs w:val="21"/>
                <w:highlight w:val="none"/>
              </w:rPr>
              <w:t>编列内容</w:t>
            </w:r>
          </w:p>
        </w:tc>
      </w:tr>
      <w:tr w14:paraId="620F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1E628FF8">
            <w:pPr>
              <w:spacing w:line="440" w:lineRule="exact"/>
              <w:jc w:val="center"/>
              <w:rPr>
                <w:rFonts w:ascii="宋体" w:hAnsi="宋体"/>
                <w:color w:val="auto"/>
                <w:szCs w:val="21"/>
                <w:highlight w:val="none"/>
              </w:rPr>
            </w:pPr>
            <w:r>
              <w:rPr>
                <w:color w:val="auto"/>
                <w:szCs w:val="21"/>
                <w:highlight w:val="none"/>
              </w:rPr>
              <w:t>2.2.1</w:t>
            </w: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289D1D4D">
            <w:pPr>
              <w:rPr>
                <w:rFonts w:ascii="宋体" w:hAnsi="宋体"/>
                <w:color w:val="auto"/>
                <w:szCs w:val="21"/>
                <w:highlight w:val="none"/>
              </w:rPr>
            </w:pPr>
            <w:r>
              <w:rPr>
                <w:rFonts w:hint="eastAsia" w:ascii="宋体" w:hAnsi="宋体"/>
                <w:color w:val="auto"/>
                <w:szCs w:val="21"/>
                <w:highlight w:val="none"/>
              </w:rPr>
              <w:t>分值构成</w:t>
            </w:r>
          </w:p>
          <w:p w14:paraId="6961C044">
            <w:pPr>
              <w:rPr>
                <w:rFonts w:ascii="宋体" w:hAnsi="宋体"/>
                <w:color w:val="auto"/>
                <w:szCs w:val="21"/>
                <w:highlight w:val="none"/>
              </w:rPr>
            </w:pPr>
            <w:r>
              <w:rPr>
                <w:rFonts w:hint="eastAsia" w:ascii="宋体" w:hAnsi="宋体"/>
                <w:color w:val="auto"/>
                <w:szCs w:val="21"/>
                <w:highlight w:val="none"/>
              </w:rPr>
              <w:t>（总分103.5分）</w:t>
            </w:r>
          </w:p>
        </w:tc>
        <w:tc>
          <w:tcPr>
            <w:tcW w:w="5295" w:type="dxa"/>
            <w:gridSpan w:val="3"/>
            <w:tcBorders>
              <w:top w:val="single" w:color="auto" w:sz="4" w:space="0"/>
              <w:left w:val="single" w:color="auto" w:sz="4" w:space="0"/>
              <w:bottom w:val="single" w:color="auto" w:sz="4" w:space="0"/>
              <w:right w:val="single" w:color="auto" w:sz="4" w:space="0"/>
            </w:tcBorders>
            <w:noWrap w:val="0"/>
            <w:vAlign w:val="center"/>
          </w:tcPr>
          <w:p w14:paraId="7516C416">
            <w:pPr>
              <w:rPr>
                <w:rFonts w:ascii="宋体" w:hAnsi="宋体"/>
                <w:color w:val="auto"/>
                <w:szCs w:val="21"/>
                <w:highlight w:val="none"/>
              </w:rPr>
            </w:pPr>
            <w:r>
              <w:rPr>
                <w:rFonts w:hint="eastAsia" w:ascii="宋体" w:hAnsi="宋体"/>
                <w:color w:val="auto"/>
                <w:szCs w:val="21"/>
                <w:highlight w:val="none"/>
              </w:rPr>
              <w:t>投标报价：     73.5分</w:t>
            </w:r>
          </w:p>
          <w:p w14:paraId="35752B1F">
            <w:pPr>
              <w:rPr>
                <w:rFonts w:hint="eastAsia" w:ascii="宋体" w:hAnsi="宋体"/>
                <w:color w:val="auto"/>
                <w:szCs w:val="21"/>
                <w:highlight w:val="none"/>
              </w:rPr>
            </w:pPr>
            <w:r>
              <w:rPr>
                <w:rFonts w:hint="eastAsia" w:ascii="宋体" w:hAnsi="宋体"/>
                <w:color w:val="auto"/>
                <w:szCs w:val="21"/>
                <w:highlight w:val="none"/>
              </w:rPr>
              <w:t xml:space="preserve">施工组织设计： 16分       </w:t>
            </w:r>
          </w:p>
          <w:p w14:paraId="50C3E7B9">
            <w:pPr>
              <w:rPr>
                <w:rFonts w:hint="eastAsia" w:ascii="宋体" w:hAnsi="宋体"/>
                <w:color w:val="auto"/>
                <w:szCs w:val="21"/>
                <w:highlight w:val="none"/>
              </w:rPr>
            </w:pPr>
            <w:r>
              <w:rPr>
                <w:rFonts w:hint="eastAsia" w:ascii="宋体" w:hAnsi="宋体"/>
                <w:color w:val="auto"/>
                <w:szCs w:val="21"/>
                <w:highlight w:val="none"/>
              </w:rPr>
              <w:t xml:space="preserve">项目管理机构：  6分         </w:t>
            </w:r>
          </w:p>
          <w:p w14:paraId="140C645C">
            <w:pPr>
              <w:rPr>
                <w:rFonts w:ascii="宋体" w:hAnsi="宋体"/>
                <w:color w:val="auto"/>
                <w:szCs w:val="21"/>
                <w:highlight w:val="none"/>
              </w:rPr>
            </w:pPr>
            <w:r>
              <w:rPr>
                <w:rFonts w:hint="eastAsia" w:ascii="宋体" w:hAnsi="宋体"/>
                <w:color w:val="auto"/>
                <w:szCs w:val="21"/>
                <w:highlight w:val="none"/>
              </w:rPr>
              <w:t xml:space="preserve">其他评分因素：  8分         </w:t>
            </w:r>
          </w:p>
        </w:tc>
      </w:tr>
      <w:tr w14:paraId="226F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699D3BCA">
            <w:pPr>
              <w:spacing w:line="440" w:lineRule="exact"/>
              <w:jc w:val="center"/>
              <w:rPr>
                <w:color w:val="auto"/>
                <w:szCs w:val="21"/>
                <w:highlight w:val="none"/>
              </w:rPr>
            </w:pPr>
            <w:r>
              <w:rPr>
                <w:color w:val="auto"/>
                <w:szCs w:val="21"/>
                <w:highlight w:val="none"/>
              </w:rPr>
              <w:t>2.2.2</w:t>
            </w:r>
          </w:p>
          <w:p w14:paraId="6F3584B3">
            <w:pPr>
              <w:spacing w:line="440" w:lineRule="exact"/>
              <w:jc w:val="center"/>
              <w:rPr>
                <w:rFonts w:ascii="宋体" w:hAnsi="宋体"/>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0F7E440C">
            <w:pPr>
              <w:rPr>
                <w:rFonts w:ascii="宋体" w:hAnsi="宋体"/>
                <w:color w:val="auto"/>
                <w:szCs w:val="21"/>
                <w:highlight w:val="none"/>
              </w:rPr>
            </w:pPr>
            <w:r>
              <w:rPr>
                <w:rFonts w:hint="eastAsia" w:ascii="宋体" w:hAnsi="宋体"/>
                <w:color w:val="auto"/>
                <w:szCs w:val="21"/>
                <w:highlight w:val="none"/>
              </w:rPr>
              <w:t>评标价确定方法</w:t>
            </w:r>
          </w:p>
        </w:tc>
        <w:tc>
          <w:tcPr>
            <w:tcW w:w="5295" w:type="dxa"/>
            <w:gridSpan w:val="3"/>
            <w:tcBorders>
              <w:top w:val="single" w:color="auto" w:sz="4" w:space="0"/>
              <w:left w:val="single" w:color="auto" w:sz="4" w:space="0"/>
              <w:bottom w:val="single" w:color="auto" w:sz="4" w:space="0"/>
              <w:right w:val="single" w:color="auto" w:sz="4" w:space="0"/>
            </w:tcBorders>
            <w:noWrap w:val="0"/>
            <w:vAlign w:val="center"/>
          </w:tcPr>
          <w:p w14:paraId="495C6CFE">
            <w:pPr>
              <w:ind w:right="113"/>
              <w:rPr>
                <w:rFonts w:ascii="宋体" w:hAnsi="宋体"/>
                <w:color w:val="auto"/>
                <w:szCs w:val="21"/>
                <w:highlight w:val="none"/>
              </w:rPr>
            </w:pPr>
            <w:r>
              <w:rPr>
                <w:rFonts w:hint="eastAsia" w:ascii="宋体" w:hAnsi="宋体"/>
                <w:color w:val="auto"/>
                <w:szCs w:val="21"/>
                <w:highlight w:val="none"/>
              </w:rPr>
              <w:t>评标价＝投标函大写</w:t>
            </w:r>
            <w:r>
              <w:rPr>
                <w:rFonts w:hint="eastAsia"/>
                <w:color w:val="auto"/>
                <w:highlight w:val="none"/>
              </w:rPr>
              <w:t>投标报价（经投标人书面确认的算术错误修正后的投标总报价）</w:t>
            </w:r>
            <w:r>
              <w:rPr>
                <w:rFonts w:hint="eastAsia" w:ascii="宋体" w:hAnsi="宋体"/>
                <w:color w:val="auto"/>
                <w:szCs w:val="21"/>
                <w:highlight w:val="none"/>
              </w:rPr>
              <w:t>-（暂列金额+税金）-（专业工程暂估价+税金）</w:t>
            </w:r>
          </w:p>
        </w:tc>
      </w:tr>
      <w:tr w14:paraId="7D14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504E3617">
            <w:pPr>
              <w:spacing w:line="440" w:lineRule="exact"/>
              <w:jc w:val="center"/>
              <w:rPr>
                <w:color w:val="auto"/>
                <w:szCs w:val="21"/>
                <w:highlight w:val="none"/>
              </w:rPr>
            </w:pPr>
            <w:r>
              <w:rPr>
                <w:color w:val="auto"/>
                <w:szCs w:val="21"/>
                <w:highlight w:val="none"/>
              </w:rPr>
              <w:t>2.2.2</w:t>
            </w:r>
          </w:p>
          <w:p w14:paraId="617CAE52">
            <w:pPr>
              <w:spacing w:line="440" w:lineRule="exact"/>
              <w:jc w:val="center"/>
              <w:rPr>
                <w:rFonts w:ascii="宋体" w:hAnsi="宋体"/>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w:t>
            </w: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628FCD96">
            <w:pPr>
              <w:rPr>
                <w:rFonts w:ascii="宋体" w:hAnsi="宋体"/>
                <w:color w:val="auto"/>
                <w:szCs w:val="21"/>
                <w:highlight w:val="none"/>
              </w:rPr>
            </w:pPr>
            <w:r>
              <w:rPr>
                <w:rFonts w:hint="eastAsia" w:ascii="宋体" w:hAnsi="宋体"/>
                <w:color w:val="auto"/>
                <w:szCs w:val="21"/>
                <w:highlight w:val="none"/>
              </w:rPr>
              <w:t>评标基准价计算方法</w:t>
            </w:r>
          </w:p>
        </w:tc>
        <w:tc>
          <w:tcPr>
            <w:tcW w:w="5295" w:type="dxa"/>
            <w:gridSpan w:val="3"/>
            <w:tcBorders>
              <w:top w:val="single" w:color="auto" w:sz="4" w:space="0"/>
              <w:left w:val="single" w:color="auto" w:sz="4" w:space="0"/>
              <w:bottom w:val="single" w:color="auto" w:sz="4" w:space="0"/>
              <w:right w:val="single" w:color="auto" w:sz="4" w:space="0"/>
            </w:tcBorders>
            <w:noWrap w:val="0"/>
            <w:vAlign w:val="center"/>
          </w:tcPr>
          <w:p w14:paraId="6687C6D5">
            <w:pPr>
              <w:ind w:right="113"/>
              <w:rPr>
                <w:rFonts w:ascii="宋体" w:hAnsi="宋体"/>
                <w:color w:val="auto"/>
                <w:szCs w:val="21"/>
                <w:highlight w:val="none"/>
              </w:rPr>
            </w:pPr>
            <w:r>
              <w:rPr>
                <w:rFonts w:hint="eastAsia" w:ascii="宋体" w:hAnsi="宋体"/>
                <w:color w:val="auto"/>
                <w:szCs w:val="21"/>
                <w:highlight w:val="none"/>
              </w:rPr>
              <w:t>所有有效投标的评标价去掉</w:t>
            </w:r>
            <w:r>
              <w:rPr>
                <w:rFonts w:hint="eastAsia" w:ascii="宋体" w:hAnsi="宋体" w:cs="宋体"/>
                <w:color w:val="auto"/>
                <w:kern w:val="0"/>
                <w:szCs w:val="21"/>
                <w:highlight w:val="none"/>
              </w:rPr>
              <w:t>六分之一（不能整除的按小数前整数取整，不足六家报价则不去掉）的最低价</w:t>
            </w:r>
            <w:r>
              <w:rPr>
                <w:rFonts w:hint="eastAsia" w:ascii="宋体" w:hAnsi="宋体"/>
                <w:color w:val="auto"/>
                <w:szCs w:val="21"/>
                <w:highlight w:val="none"/>
              </w:rPr>
              <w:t>和</w:t>
            </w:r>
            <w:r>
              <w:rPr>
                <w:rFonts w:hint="eastAsia" w:ascii="宋体" w:hAnsi="宋体" w:cs="宋体"/>
                <w:color w:val="auto"/>
                <w:kern w:val="0"/>
                <w:szCs w:val="21"/>
                <w:highlight w:val="none"/>
              </w:rPr>
              <w:t>相同数量的最高价后的算术平均值</w:t>
            </w:r>
            <w:r>
              <w:rPr>
                <w:rFonts w:hint="eastAsia" w:ascii="宋体" w:hAnsi="宋体"/>
                <w:color w:val="auto"/>
                <w:szCs w:val="21"/>
                <w:highlight w:val="none"/>
              </w:rPr>
              <w:t>下浮E%，作为评标基准价。</w:t>
            </w:r>
          </w:p>
          <w:p w14:paraId="1D302291">
            <w:pPr>
              <w:ind w:right="113"/>
              <w:rPr>
                <w:rFonts w:ascii="宋体" w:hAnsi="宋体"/>
                <w:color w:val="auto"/>
                <w:szCs w:val="21"/>
                <w:highlight w:val="none"/>
              </w:rPr>
            </w:pPr>
            <w:r>
              <w:rPr>
                <w:rFonts w:hint="eastAsia" w:ascii="宋体" w:hAnsi="宋体"/>
                <w:color w:val="auto"/>
                <w:szCs w:val="21"/>
                <w:highlight w:val="none"/>
              </w:rPr>
              <w:t>E:为评标基准价下浮系数，范围为1-3的整数，由招标人确定。E的取值见第二章投标人须知前附表第</w:t>
            </w:r>
            <w:r>
              <w:rPr>
                <w:color w:val="auto"/>
                <w:highlight w:val="none"/>
              </w:rPr>
              <w:t>10.2.1</w:t>
            </w:r>
            <w:r>
              <w:rPr>
                <w:rFonts w:hint="eastAsia" w:ascii="宋体" w:hAnsi="宋体"/>
                <w:color w:val="auto"/>
                <w:szCs w:val="21"/>
                <w:highlight w:val="none"/>
              </w:rPr>
              <w:t>项。</w:t>
            </w:r>
          </w:p>
        </w:tc>
      </w:tr>
      <w:tr w14:paraId="55FFF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31740816">
            <w:pPr>
              <w:spacing w:line="440" w:lineRule="exact"/>
              <w:jc w:val="center"/>
              <w:rPr>
                <w:rFonts w:ascii="宋体" w:hAnsi="宋体"/>
                <w:color w:val="auto"/>
                <w:szCs w:val="21"/>
                <w:highlight w:val="none"/>
              </w:rPr>
            </w:pPr>
            <w:r>
              <w:rPr>
                <w:color w:val="auto"/>
                <w:szCs w:val="21"/>
                <w:highlight w:val="none"/>
              </w:rPr>
              <w:t>2.2.3</w:t>
            </w: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1C18E75C">
            <w:pPr>
              <w:rPr>
                <w:rFonts w:ascii="宋体" w:hAnsi="宋体"/>
                <w:color w:val="auto"/>
                <w:szCs w:val="21"/>
                <w:highlight w:val="none"/>
              </w:rPr>
            </w:pPr>
            <w:r>
              <w:rPr>
                <w:rFonts w:hint="eastAsia" w:ascii="宋体" w:hAnsi="宋体"/>
                <w:color w:val="auto"/>
                <w:szCs w:val="21"/>
                <w:highlight w:val="none"/>
              </w:rPr>
              <w:t>投标报价的偏差率</w:t>
            </w:r>
          </w:p>
          <w:p w14:paraId="294ED995">
            <w:pPr>
              <w:rPr>
                <w:rFonts w:ascii="宋体" w:hAnsi="宋体"/>
                <w:color w:val="auto"/>
                <w:szCs w:val="21"/>
                <w:highlight w:val="none"/>
              </w:rPr>
            </w:pPr>
            <w:r>
              <w:rPr>
                <w:rFonts w:hint="eastAsia" w:ascii="宋体" w:hAnsi="宋体"/>
                <w:color w:val="auto"/>
                <w:szCs w:val="21"/>
                <w:highlight w:val="none"/>
              </w:rPr>
              <w:t>计算公式</w:t>
            </w:r>
          </w:p>
        </w:tc>
        <w:tc>
          <w:tcPr>
            <w:tcW w:w="5295" w:type="dxa"/>
            <w:gridSpan w:val="3"/>
            <w:tcBorders>
              <w:top w:val="single" w:color="auto" w:sz="4" w:space="0"/>
              <w:left w:val="single" w:color="auto" w:sz="4" w:space="0"/>
              <w:bottom w:val="single" w:color="auto" w:sz="4" w:space="0"/>
              <w:right w:val="single" w:color="auto" w:sz="4" w:space="0"/>
            </w:tcBorders>
            <w:noWrap w:val="0"/>
            <w:vAlign w:val="center"/>
          </w:tcPr>
          <w:p w14:paraId="55294579">
            <w:pPr>
              <w:rPr>
                <w:rFonts w:ascii="宋体" w:hAnsi="宋体"/>
                <w:color w:val="auto"/>
                <w:szCs w:val="21"/>
                <w:highlight w:val="none"/>
              </w:rPr>
            </w:pPr>
            <w:r>
              <w:rPr>
                <w:rFonts w:hint="eastAsia" w:ascii="宋体" w:hAnsi="宋体"/>
                <w:color w:val="auto"/>
                <w:szCs w:val="21"/>
                <w:highlight w:val="none"/>
              </w:rPr>
              <w:t>偏差率=100%×（投标人评标价－评标基准价）÷评标基准价</w:t>
            </w:r>
          </w:p>
        </w:tc>
      </w:tr>
      <w:tr w14:paraId="2B76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800" w:type="dxa"/>
            <w:gridSpan w:val="2"/>
            <w:tcBorders>
              <w:top w:val="single" w:color="auto" w:sz="4" w:space="0"/>
              <w:left w:val="single" w:color="auto" w:sz="4" w:space="0"/>
              <w:bottom w:val="single" w:color="auto" w:sz="4" w:space="0"/>
              <w:right w:val="single" w:color="auto" w:sz="4" w:space="0"/>
            </w:tcBorders>
            <w:noWrap w:val="0"/>
            <w:vAlign w:val="center"/>
          </w:tcPr>
          <w:p w14:paraId="62220182">
            <w:pPr>
              <w:jc w:val="center"/>
              <w:rPr>
                <w:rFonts w:ascii="宋体" w:hAnsi="宋体"/>
                <w:b/>
                <w:color w:val="auto"/>
                <w:szCs w:val="21"/>
                <w:highlight w:val="none"/>
              </w:rPr>
            </w:pPr>
            <w:r>
              <w:rPr>
                <w:rFonts w:hint="eastAsia" w:ascii="宋体" w:hAnsi="宋体"/>
                <w:b/>
                <w:color w:val="auto"/>
                <w:szCs w:val="21"/>
                <w:highlight w:val="none"/>
              </w:rPr>
              <w:t>条款号</w:t>
            </w: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1FC3C60E">
            <w:pPr>
              <w:jc w:val="center"/>
              <w:rPr>
                <w:rFonts w:ascii="宋体" w:hAnsi="宋体"/>
                <w:b/>
                <w:color w:val="auto"/>
                <w:szCs w:val="21"/>
                <w:highlight w:val="none"/>
              </w:rPr>
            </w:pPr>
            <w:r>
              <w:rPr>
                <w:rFonts w:hint="eastAsia" w:ascii="宋体" w:hAnsi="宋体"/>
                <w:b/>
                <w:color w:val="auto"/>
                <w:szCs w:val="21"/>
                <w:highlight w:val="none"/>
              </w:rPr>
              <w:t>评分因素</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1BB5646F">
            <w:pPr>
              <w:jc w:val="center"/>
              <w:rPr>
                <w:rFonts w:ascii="宋体" w:hAnsi="宋体"/>
                <w:b/>
                <w:color w:val="auto"/>
                <w:szCs w:val="21"/>
                <w:highlight w:val="none"/>
              </w:rPr>
            </w:pPr>
            <w:r>
              <w:rPr>
                <w:rFonts w:hint="eastAsia" w:ascii="宋体" w:hAnsi="宋体"/>
                <w:b/>
                <w:color w:val="auto"/>
                <w:szCs w:val="21"/>
                <w:highlight w:val="none"/>
              </w:rPr>
              <w:t>标准分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40EDB5A3">
            <w:pPr>
              <w:jc w:val="center"/>
              <w:rPr>
                <w:rFonts w:ascii="宋体" w:hAnsi="宋体"/>
                <w:b/>
                <w:color w:val="auto"/>
                <w:szCs w:val="21"/>
                <w:highlight w:val="none"/>
              </w:rPr>
            </w:pPr>
            <w:r>
              <w:rPr>
                <w:rFonts w:hint="eastAsia" w:ascii="宋体" w:hAnsi="宋体"/>
                <w:b/>
                <w:color w:val="auto"/>
                <w:szCs w:val="21"/>
                <w:highlight w:val="none"/>
              </w:rPr>
              <w:t>评分标准</w:t>
            </w:r>
          </w:p>
        </w:tc>
      </w:tr>
      <w:tr w14:paraId="2A26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741" w:type="dxa"/>
            <w:vMerge w:val="restart"/>
            <w:tcBorders>
              <w:top w:val="single" w:color="auto" w:sz="4" w:space="0"/>
              <w:left w:val="single" w:color="auto" w:sz="4" w:space="0"/>
              <w:right w:val="single" w:color="auto" w:sz="4" w:space="0"/>
            </w:tcBorders>
            <w:noWrap w:val="0"/>
            <w:vAlign w:val="center"/>
          </w:tcPr>
          <w:p w14:paraId="3D118E5A">
            <w:pPr>
              <w:spacing w:line="440" w:lineRule="exact"/>
              <w:jc w:val="center"/>
              <w:rPr>
                <w:color w:val="auto"/>
                <w:szCs w:val="21"/>
                <w:highlight w:val="none"/>
              </w:rPr>
            </w:pPr>
            <w:r>
              <w:rPr>
                <w:color w:val="auto"/>
                <w:szCs w:val="21"/>
                <w:highlight w:val="none"/>
              </w:rPr>
              <w:t>2.2.4</w:t>
            </w:r>
          </w:p>
          <w:p w14:paraId="2CA53645">
            <w:pPr>
              <w:spacing w:line="440" w:lineRule="exact"/>
              <w:jc w:val="center"/>
              <w:rPr>
                <w:rFonts w:ascii="宋体" w:hAnsi="宋体"/>
                <w:color w:val="auto"/>
                <w:szCs w:val="21"/>
                <w:highlight w:val="none"/>
              </w:rPr>
            </w:pPr>
            <w:r>
              <w:rPr>
                <w:color w:val="auto"/>
                <w:szCs w:val="21"/>
                <w:highlight w:val="none"/>
              </w:rPr>
              <w:t>(1)</w:t>
            </w:r>
          </w:p>
        </w:tc>
        <w:tc>
          <w:tcPr>
            <w:tcW w:w="1059" w:type="dxa"/>
            <w:vMerge w:val="restart"/>
            <w:tcBorders>
              <w:top w:val="single" w:color="auto" w:sz="4" w:space="0"/>
              <w:left w:val="single" w:color="auto" w:sz="4" w:space="0"/>
              <w:right w:val="single" w:color="auto" w:sz="4" w:space="0"/>
            </w:tcBorders>
            <w:noWrap w:val="0"/>
            <w:vAlign w:val="center"/>
          </w:tcPr>
          <w:p w14:paraId="761B719E">
            <w:pPr>
              <w:jc w:val="center"/>
              <w:rPr>
                <w:rFonts w:ascii="宋体" w:hAnsi="宋体"/>
                <w:color w:val="auto"/>
                <w:szCs w:val="21"/>
                <w:highlight w:val="none"/>
              </w:rPr>
            </w:pPr>
            <w:r>
              <w:rPr>
                <w:rFonts w:hint="eastAsia" w:ascii="宋体" w:hAnsi="宋体"/>
                <w:color w:val="auto"/>
                <w:szCs w:val="21"/>
                <w:highlight w:val="none"/>
              </w:rPr>
              <w:t>投标报价</w:t>
            </w:r>
          </w:p>
          <w:p w14:paraId="35421772">
            <w:pPr>
              <w:jc w:val="center"/>
              <w:rPr>
                <w:rFonts w:ascii="宋体" w:hAnsi="宋体"/>
                <w:color w:val="auto"/>
                <w:szCs w:val="21"/>
                <w:highlight w:val="none"/>
              </w:rPr>
            </w:pPr>
            <w:r>
              <w:rPr>
                <w:rFonts w:hint="eastAsia" w:ascii="宋体" w:hAnsi="宋体"/>
                <w:color w:val="auto"/>
                <w:szCs w:val="21"/>
                <w:highlight w:val="none"/>
              </w:rPr>
              <w:t>评分标准</w:t>
            </w: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7467F400">
            <w:pPr>
              <w:rPr>
                <w:rFonts w:ascii="宋体" w:hAnsi="宋体"/>
                <w:color w:val="auto"/>
                <w:szCs w:val="21"/>
                <w:highlight w:val="none"/>
              </w:rPr>
            </w:pPr>
            <w:r>
              <w:rPr>
                <w:rFonts w:hint="eastAsia" w:ascii="宋体" w:hAnsi="宋体"/>
                <w:color w:val="auto"/>
                <w:szCs w:val="21"/>
                <w:highlight w:val="none"/>
              </w:rPr>
              <w:t>计算投标报价得分</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4510C76E">
            <w:pPr>
              <w:jc w:val="center"/>
              <w:rPr>
                <w:rFonts w:ascii="宋体" w:hAnsi="宋体"/>
                <w:color w:val="auto"/>
                <w:szCs w:val="44"/>
                <w:highlight w:val="none"/>
              </w:rPr>
            </w:pPr>
            <w:r>
              <w:rPr>
                <w:rFonts w:hint="eastAsia" w:ascii="宋体" w:hAnsi="宋体"/>
                <w:color w:val="auto"/>
                <w:szCs w:val="21"/>
                <w:highlight w:val="none"/>
              </w:rPr>
              <w:t>70分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DECBBC2">
            <w:pPr>
              <w:pStyle w:val="5"/>
              <w:rPr>
                <w:rFonts w:ascii="宋体" w:hAnsi="宋体"/>
                <w:color w:val="auto"/>
                <w:szCs w:val="21"/>
                <w:highlight w:val="none"/>
              </w:rPr>
            </w:pPr>
          </w:p>
          <w:p w14:paraId="414CCB5B">
            <w:pPr>
              <w:pStyle w:val="5"/>
              <w:rPr>
                <w:rFonts w:hint="eastAsia" w:ascii="宋体" w:hAnsi="宋体"/>
                <w:color w:val="auto"/>
                <w:szCs w:val="21"/>
                <w:highlight w:val="none"/>
              </w:rPr>
            </w:pPr>
            <w:r>
              <w:rPr>
                <w:rFonts w:hint="eastAsia" w:ascii="宋体" w:hAnsi="宋体"/>
                <w:color w:val="auto"/>
                <w:szCs w:val="21"/>
                <w:highlight w:val="none"/>
              </w:rPr>
              <w:t>F＝70-（投标人评标价-评标基准价）÷评标基准价×100×1.2  （评标价＞基准价时）</w:t>
            </w:r>
          </w:p>
          <w:p w14:paraId="2987771B">
            <w:pPr>
              <w:pStyle w:val="5"/>
              <w:rPr>
                <w:rFonts w:hint="eastAsia" w:ascii="宋体" w:hAnsi="宋体"/>
                <w:color w:val="auto"/>
                <w:szCs w:val="21"/>
                <w:highlight w:val="none"/>
              </w:rPr>
            </w:pPr>
            <w:r>
              <w:rPr>
                <w:rFonts w:hint="eastAsia" w:ascii="宋体" w:hAnsi="宋体"/>
                <w:color w:val="auto"/>
                <w:szCs w:val="21"/>
                <w:highlight w:val="none"/>
              </w:rPr>
              <w:t>F＝70-（评标基准价-投标人评标价）÷评标基准价×100×0.8 （评标价≤基准价时）</w:t>
            </w:r>
          </w:p>
          <w:p w14:paraId="74A55E63">
            <w:pPr>
              <w:pStyle w:val="5"/>
              <w:rPr>
                <w:color w:val="auto"/>
                <w:highlight w:val="none"/>
              </w:rPr>
            </w:pPr>
            <w:r>
              <w:rPr>
                <w:rFonts w:hint="eastAsia"/>
                <w:color w:val="auto"/>
                <w:highlight w:val="none"/>
              </w:rPr>
              <w:t>其中：</w:t>
            </w:r>
            <w:r>
              <w:rPr>
                <w:color w:val="auto"/>
                <w:highlight w:val="none"/>
              </w:rPr>
              <w:t>F</w:t>
            </w:r>
            <w:r>
              <w:rPr>
                <w:rFonts w:hint="eastAsia"/>
                <w:color w:val="auto"/>
                <w:highlight w:val="none"/>
              </w:rPr>
              <w:t>≥</w:t>
            </w:r>
            <w:r>
              <w:rPr>
                <w:color w:val="auto"/>
                <w:highlight w:val="none"/>
              </w:rPr>
              <w:t>0</w:t>
            </w:r>
            <w:r>
              <w:rPr>
                <w:rFonts w:hint="eastAsia"/>
                <w:color w:val="auto"/>
                <w:highlight w:val="none"/>
              </w:rPr>
              <w:t>。</w:t>
            </w:r>
          </w:p>
        </w:tc>
      </w:tr>
      <w:tr w14:paraId="56CC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8" w:hRule="atLeast"/>
        </w:trPr>
        <w:tc>
          <w:tcPr>
            <w:tcW w:w="741" w:type="dxa"/>
            <w:vMerge w:val="continue"/>
            <w:tcBorders>
              <w:left w:val="single" w:color="auto" w:sz="4" w:space="0"/>
              <w:right w:val="single" w:color="auto" w:sz="4" w:space="0"/>
            </w:tcBorders>
            <w:noWrap w:val="0"/>
            <w:vAlign w:val="center"/>
          </w:tcPr>
          <w:p w14:paraId="6BCDA995">
            <w:pPr>
              <w:widowControl/>
              <w:jc w:val="left"/>
              <w:rPr>
                <w:rFonts w:ascii="宋体" w:hAnsi="宋体"/>
                <w:color w:val="auto"/>
                <w:szCs w:val="21"/>
                <w:highlight w:val="none"/>
              </w:rPr>
            </w:pPr>
          </w:p>
        </w:tc>
        <w:tc>
          <w:tcPr>
            <w:tcW w:w="1059" w:type="dxa"/>
            <w:vMerge w:val="continue"/>
            <w:tcBorders>
              <w:left w:val="single" w:color="auto" w:sz="4" w:space="0"/>
              <w:right w:val="single" w:color="auto" w:sz="4" w:space="0"/>
            </w:tcBorders>
            <w:noWrap w:val="0"/>
            <w:vAlign w:val="center"/>
          </w:tcPr>
          <w:p w14:paraId="273DD62B">
            <w:pPr>
              <w:widowControl/>
              <w:jc w:val="left"/>
              <w:rPr>
                <w:rFonts w:ascii="宋体" w:hAnsi="宋体"/>
                <w:color w:val="auto"/>
                <w:szCs w:val="21"/>
                <w:highlight w:val="none"/>
              </w:rPr>
            </w:pP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5DC141B6">
            <w:pPr>
              <w:rPr>
                <w:rFonts w:ascii="宋体" w:hAnsi="宋体"/>
                <w:color w:val="auto"/>
                <w:szCs w:val="21"/>
                <w:highlight w:val="none"/>
              </w:rPr>
            </w:pPr>
            <w:r>
              <w:rPr>
                <w:rFonts w:hint="eastAsia" w:ascii="宋体" w:hAnsi="宋体"/>
                <w:color w:val="auto"/>
                <w:szCs w:val="21"/>
                <w:highlight w:val="none"/>
              </w:rPr>
              <w:t>不平衡报价扣分</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554C5E28">
            <w:pPr>
              <w:rPr>
                <w:rFonts w:ascii="宋体" w:hAnsi="宋体"/>
                <w:color w:val="auto"/>
                <w:szCs w:val="21"/>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4941C29B">
            <w:pPr>
              <w:pStyle w:val="5"/>
              <w:rPr>
                <w:rFonts w:ascii="宋体" w:hAnsi="宋体"/>
                <w:color w:val="auto"/>
                <w:szCs w:val="24"/>
                <w:highlight w:val="none"/>
              </w:rPr>
            </w:pPr>
            <w:r>
              <w:rPr>
                <w:rFonts w:hint="eastAsia"/>
                <w:color w:val="auto"/>
                <w:szCs w:val="21"/>
                <w:highlight w:val="none"/>
              </w:rPr>
              <w:t>〔单位工程投标报价</w:t>
            </w:r>
            <w:r>
              <w:rPr>
                <w:rFonts w:hint="eastAsia" w:ascii="宋体" w:hAnsi="宋体"/>
                <w:color w:val="auto"/>
                <w:highlight w:val="none"/>
              </w:rPr>
              <w:t>-</w:t>
            </w:r>
            <w:r>
              <w:rPr>
                <w:rFonts w:hint="eastAsia" w:ascii="宋体" w:hAnsi="宋体"/>
                <w:color w:val="auto"/>
                <w:szCs w:val="21"/>
                <w:highlight w:val="none"/>
              </w:rPr>
              <w:t>（暂列金额+税金）-（专业工程暂估价+税金）</w:t>
            </w:r>
            <w:r>
              <w:rPr>
                <w:rFonts w:hint="eastAsia"/>
                <w:color w:val="auto"/>
                <w:szCs w:val="21"/>
                <w:highlight w:val="none"/>
              </w:rPr>
              <w:t>〕</w:t>
            </w:r>
            <w:r>
              <w:rPr>
                <w:rFonts w:hint="eastAsia" w:ascii="宋体" w:hAnsi="宋体"/>
                <w:color w:val="auto"/>
                <w:highlight w:val="none"/>
              </w:rPr>
              <w:t>低于（不含）〔</w:t>
            </w:r>
            <w:r>
              <w:rPr>
                <w:rFonts w:hint="eastAsia"/>
                <w:color w:val="auto"/>
                <w:szCs w:val="21"/>
                <w:highlight w:val="none"/>
              </w:rPr>
              <w:t>单位工程招标控制价</w:t>
            </w:r>
            <w:r>
              <w:rPr>
                <w:rFonts w:hint="eastAsia" w:ascii="宋体" w:hAnsi="宋体"/>
                <w:color w:val="auto"/>
                <w:highlight w:val="none"/>
              </w:rPr>
              <w:t>-</w:t>
            </w:r>
            <w:r>
              <w:rPr>
                <w:rFonts w:hint="eastAsia" w:ascii="宋体" w:hAnsi="宋体"/>
                <w:color w:val="auto"/>
                <w:szCs w:val="21"/>
                <w:highlight w:val="none"/>
              </w:rPr>
              <w:t>（暂列金额+税金）-（专业工程暂估价+税金）</w:t>
            </w:r>
            <w:r>
              <w:rPr>
                <w:rFonts w:hint="eastAsia" w:ascii="宋体" w:hAnsi="宋体"/>
                <w:color w:val="auto"/>
                <w:highlight w:val="none"/>
              </w:rPr>
              <w:t>〕</w:t>
            </w:r>
            <w:r>
              <w:rPr>
                <w:rFonts w:hint="eastAsia" w:ascii="宋体" w:hAnsi="宋体"/>
                <w:color w:val="auto"/>
                <w:szCs w:val="21"/>
                <w:highlight w:val="none"/>
                <w:u w:val="single"/>
              </w:rPr>
              <w:t xml:space="preserve">   H%    </w:t>
            </w:r>
            <w:r>
              <w:rPr>
                <w:rFonts w:hint="eastAsia" w:ascii="宋体" w:hAnsi="宋体"/>
                <w:color w:val="auto"/>
                <w:highlight w:val="none"/>
              </w:rPr>
              <w:t>的,视为不平衡报价，每发现一项，扣5分，该项计分公式为：</w:t>
            </w:r>
          </w:p>
          <w:p w14:paraId="28F636C0">
            <w:pPr>
              <w:pStyle w:val="5"/>
              <w:rPr>
                <w:rFonts w:hint="eastAsia" w:ascii="宋体" w:hAnsi="宋体"/>
                <w:color w:val="auto"/>
                <w:szCs w:val="21"/>
                <w:highlight w:val="none"/>
                <w:vertAlign w:val="subscript"/>
              </w:rPr>
            </w:pPr>
            <w:r>
              <w:rPr>
                <w:rFonts w:hint="eastAsia" w:ascii="宋体" w:hAnsi="宋体"/>
                <w:color w:val="auto"/>
                <w:highlight w:val="none"/>
              </w:rPr>
              <w:t xml:space="preserve">   </w:t>
            </w:r>
            <w:r>
              <w:rPr>
                <w:rFonts w:hint="eastAsia" w:ascii="宋体" w:hAnsi="宋体"/>
                <w:color w:val="auto"/>
                <w:szCs w:val="21"/>
                <w:highlight w:val="none"/>
              </w:rPr>
              <w:t>K =k</w:t>
            </w:r>
            <w:r>
              <w:rPr>
                <w:rFonts w:hint="eastAsia" w:ascii="宋体" w:hAnsi="宋体"/>
                <w:color w:val="auto"/>
                <w:szCs w:val="21"/>
                <w:highlight w:val="none"/>
                <w:vertAlign w:val="subscript"/>
              </w:rPr>
              <w:t>1</w:t>
            </w:r>
            <w:r>
              <w:rPr>
                <w:rFonts w:hint="eastAsia" w:ascii="宋体" w:hAnsi="宋体"/>
                <w:color w:val="auto"/>
                <w:szCs w:val="21"/>
                <w:highlight w:val="none"/>
              </w:rPr>
              <w:t xml:space="preserve"> + k</w:t>
            </w:r>
            <w:r>
              <w:rPr>
                <w:rFonts w:hint="eastAsia" w:ascii="宋体" w:hAnsi="宋体"/>
                <w:color w:val="auto"/>
                <w:szCs w:val="21"/>
                <w:highlight w:val="none"/>
                <w:vertAlign w:val="subscript"/>
              </w:rPr>
              <w:t xml:space="preserve">2 </w:t>
            </w:r>
            <w:r>
              <w:rPr>
                <w:rFonts w:hint="eastAsia" w:ascii="宋体" w:hAnsi="宋体"/>
                <w:color w:val="auto"/>
                <w:szCs w:val="21"/>
                <w:highlight w:val="none"/>
              </w:rPr>
              <w:t>+ … + k</w:t>
            </w:r>
            <w:r>
              <w:rPr>
                <w:rFonts w:hint="eastAsia" w:ascii="宋体" w:hAnsi="宋体"/>
                <w:color w:val="auto"/>
                <w:szCs w:val="21"/>
                <w:highlight w:val="none"/>
                <w:vertAlign w:val="subscript"/>
              </w:rPr>
              <w:t>n</w:t>
            </w:r>
          </w:p>
          <w:p w14:paraId="2BFAA2A0">
            <w:pPr>
              <w:pStyle w:val="5"/>
              <w:ind w:firstLine="315" w:firstLineChars="150"/>
              <w:rPr>
                <w:rFonts w:hint="eastAsia" w:ascii="宋体" w:hAnsi="宋体"/>
                <w:color w:val="auto"/>
                <w:szCs w:val="21"/>
                <w:highlight w:val="none"/>
              </w:rPr>
            </w:pPr>
            <w:r>
              <w:rPr>
                <w:rFonts w:hint="eastAsia" w:ascii="宋体" w:hAnsi="宋体"/>
                <w:color w:val="auto"/>
                <w:szCs w:val="21"/>
                <w:highlight w:val="none"/>
              </w:rPr>
              <w:t>其中:K为扣分合计；</w:t>
            </w:r>
          </w:p>
          <w:p w14:paraId="382FF4D6">
            <w:pPr>
              <w:pStyle w:val="5"/>
              <w:ind w:firstLine="840" w:firstLineChars="400"/>
              <w:rPr>
                <w:rFonts w:hint="eastAsia" w:ascii="宋体" w:hAnsi="宋体"/>
                <w:color w:val="auto"/>
                <w:szCs w:val="21"/>
                <w:highlight w:val="none"/>
              </w:rPr>
            </w:pPr>
            <w:r>
              <w:rPr>
                <w:rFonts w:hint="eastAsia" w:ascii="宋体" w:hAnsi="宋体"/>
                <w:color w:val="auto"/>
                <w:szCs w:val="21"/>
                <w:highlight w:val="none"/>
              </w:rPr>
              <w:t>k为单次扣分分值；</w:t>
            </w:r>
          </w:p>
          <w:p w14:paraId="5BB09D2F">
            <w:pPr>
              <w:pStyle w:val="5"/>
              <w:ind w:firstLine="840" w:firstLineChars="400"/>
              <w:rPr>
                <w:rFonts w:hint="eastAsia" w:ascii="宋体" w:hAnsi="宋体"/>
                <w:color w:val="auto"/>
                <w:szCs w:val="21"/>
                <w:highlight w:val="none"/>
              </w:rPr>
            </w:pPr>
            <w:r>
              <w:rPr>
                <w:rFonts w:hint="eastAsia" w:ascii="宋体" w:hAnsi="宋体"/>
                <w:color w:val="auto"/>
                <w:szCs w:val="21"/>
                <w:highlight w:val="none"/>
              </w:rPr>
              <w:t>n为扣分次数；</w:t>
            </w:r>
          </w:p>
          <w:p w14:paraId="2168973B">
            <w:pPr>
              <w:pStyle w:val="5"/>
              <w:ind w:firstLine="840" w:firstLineChars="400"/>
              <w:rPr>
                <w:rFonts w:hint="eastAsia" w:ascii="宋体" w:hAnsi="宋体"/>
                <w:color w:val="auto"/>
                <w:szCs w:val="21"/>
                <w:highlight w:val="none"/>
              </w:rPr>
            </w:pPr>
            <w:r>
              <w:rPr>
                <w:rFonts w:hint="eastAsia" w:ascii="宋体" w:hAnsi="宋体"/>
                <w:color w:val="auto"/>
                <w:szCs w:val="21"/>
                <w:highlight w:val="none"/>
              </w:rPr>
              <w:t>H为不平衡报价系数。H的取值见第二章投标人须知前附表第</w:t>
            </w:r>
            <w:r>
              <w:rPr>
                <w:color w:val="auto"/>
                <w:highlight w:val="none"/>
              </w:rPr>
              <w:t>10.2.2</w:t>
            </w:r>
            <w:r>
              <w:rPr>
                <w:rFonts w:hint="eastAsia" w:ascii="宋体" w:hAnsi="宋体"/>
                <w:color w:val="auto"/>
                <w:szCs w:val="21"/>
                <w:highlight w:val="none"/>
              </w:rPr>
              <w:t>项。</w:t>
            </w:r>
          </w:p>
          <w:p w14:paraId="7F113C2A">
            <w:pPr>
              <w:rPr>
                <w:rFonts w:ascii="宋体" w:hAnsi="宋体"/>
                <w:bCs/>
                <w:color w:val="auto"/>
                <w:szCs w:val="21"/>
                <w:highlight w:val="none"/>
              </w:rPr>
            </w:pPr>
            <w:r>
              <w:rPr>
                <w:rFonts w:hint="eastAsia"/>
                <w:color w:val="auto"/>
                <w:szCs w:val="21"/>
                <w:highlight w:val="none"/>
              </w:rPr>
              <w:t>单位工程投标报价如有算术性错误修正，以修正后的单位工程投标报价计算。</w:t>
            </w:r>
          </w:p>
        </w:tc>
      </w:tr>
      <w:tr w14:paraId="44260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1" w:type="dxa"/>
            <w:vMerge w:val="continue"/>
            <w:tcBorders>
              <w:left w:val="single" w:color="auto" w:sz="4" w:space="0"/>
              <w:right w:val="single" w:color="auto" w:sz="4" w:space="0"/>
            </w:tcBorders>
            <w:noWrap w:val="0"/>
            <w:vAlign w:val="center"/>
          </w:tcPr>
          <w:p w14:paraId="5C40E4AA">
            <w:pPr>
              <w:widowControl/>
              <w:jc w:val="left"/>
              <w:rPr>
                <w:rFonts w:ascii="宋体" w:hAnsi="宋体"/>
                <w:color w:val="auto"/>
                <w:szCs w:val="21"/>
                <w:highlight w:val="none"/>
              </w:rPr>
            </w:pPr>
          </w:p>
        </w:tc>
        <w:tc>
          <w:tcPr>
            <w:tcW w:w="1059" w:type="dxa"/>
            <w:vMerge w:val="continue"/>
            <w:tcBorders>
              <w:left w:val="single" w:color="auto" w:sz="4" w:space="0"/>
              <w:right w:val="single" w:color="auto" w:sz="4" w:space="0"/>
            </w:tcBorders>
            <w:noWrap w:val="0"/>
            <w:vAlign w:val="center"/>
          </w:tcPr>
          <w:p w14:paraId="29C56EBF">
            <w:pPr>
              <w:widowControl/>
              <w:jc w:val="left"/>
              <w:rPr>
                <w:rFonts w:ascii="宋体" w:hAnsi="宋体"/>
                <w:color w:val="auto"/>
                <w:szCs w:val="21"/>
                <w:highlight w:val="none"/>
              </w:rPr>
            </w:pP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5D19D148">
            <w:pPr>
              <w:rPr>
                <w:rFonts w:ascii="宋体" w:hAnsi="宋体"/>
                <w:color w:val="auto"/>
                <w:szCs w:val="21"/>
                <w:highlight w:val="none"/>
              </w:rPr>
            </w:pPr>
            <w:r>
              <w:rPr>
                <w:rFonts w:hint="eastAsia" w:ascii="宋体" w:hAnsi="宋体"/>
                <w:color w:val="auto"/>
                <w:szCs w:val="21"/>
                <w:highlight w:val="none"/>
              </w:rPr>
              <w:t>投标报价得分</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73C54F88">
            <w:pPr>
              <w:rPr>
                <w:rFonts w:ascii="宋体" w:hAnsi="宋体"/>
                <w:color w:val="auto"/>
                <w:szCs w:val="21"/>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53AEFE1E">
            <w:pPr>
              <w:rPr>
                <w:rFonts w:ascii="宋体" w:hAnsi="宋体"/>
                <w:color w:val="auto"/>
                <w:szCs w:val="44"/>
                <w:highlight w:val="none"/>
              </w:rPr>
            </w:pPr>
            <w:r>
              <w:rPr>
                <w:color w:val="auto"/>
                <w:szCs w:val="21"/>
                <w:highlight w:val="none"/>
              </w:rPr>
              <w:t xml:space="preserve">M = F – K      </w:t>
            </w:r>
            <w:r>
              <w:rPr>
                <w:rFonts w:hint="eastAsia"/>
                <w:color w:val="auto"/>
                <w:highlight w:val="none"/>
              </w:rPr>
              <w:t>其中：</w:t>
            </w:r>
            <w:r>
              <w:rPr>
                <w:color w:val="auto"/>
                <w:highlight w:val="none"/>
              </w:rPr>
              <w:t>M</w:t>
            </w:r>
            <w:r>
              <w:rPr>
                <w:rFonts w:hint="eastAsia"/>
                <w:color w:val="auto"/>
                <w:highlight w:val="none"/>
              </w:rPr>
              <w:t>≥</w:t>
            </w:r>
            <w:r>
              <w:rPr>
                <w:color w:val="auto"/>
                <w:highlight w:val="none"/>
              </w:rPr>
              <w:t>0</w:t>
            </w:r>
            <w:r>
              <w:rPr>
                <w:rFonts w:hint="eastAsia"/>
                <w:color w:val="auto"/>
                <w:highlight w:val="none"/>
              </w:rPr>
              <w:t>。</w:t>
            </w:r>
          </w:p>
        </w:tc>
      </w:tr>
      <w:tr w14:paraId="23ED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41" w:type="dxa"/>
            <w:vMerge w:val="continue"/>
            <w:tcBorders>
              <w:left w:val="single" w:color="auto" w:sz="4" w:space="0"/>
              <w:bottom w:val="single" w:color="auto" w:sz="4" w:space="0"/>
              <w:right w:val="single" w:color="auto" w:sz="4" w:space="0"/>
            </w:tcBorders>
            <w:noWrap w:val="0"/>
            <w:vAlign w:val="center"/>
          </w:tcPr>
          <w:p w14:paraId="6F8C3387">
            <w:pPr>
              <w:widowControl/>
              <w:jc w:val="left"/>
              <w:rPr>
                <w:rFonts w:ascii="宋体" w:hAnsi="宋体"/>
                <w:color w:val="auto"/>
                <w:szCs w:val="21"/>
                <w:highlight w:val="none"/>
              </w:rPr>
            </w:pPr>
          </w:p>
        </w:tc>
        <w:tc>
          <w:tcPr>
            <w:tcW w:w="1059" w:type="dxa"/>
            <w:vMerge w:val="continue"/>
            <w:tcBorders>
              <w:left w:val="single" w:color="auto" w:sz="4" w:space="0"/>
              <w:bottom w:val="single" w:color="auto" w:sz="4" w:space="0"/>
              <w:right w:val="single" w:color="auto" w:sz="4" w:space="0"/>
            </w:tcBorders>
            <w:noWrap w:val="0"/>
            <w:vAlign w:val="center"/>
          </w:tcPr>
          <w:p w14:paraId="2387BD67">
            <w:pPr>
              <w:widowControl/>
              <w:jc w:val="left"/>
              <w:rPr>
                <w:rFonts w:ascii="宋体" w:hAnsi="宋体"/>
                <w:color w:val="auto"/>
                <w:szCs w:val="21"/>
                <w:highlight w:val="none"/>
              </w:rPr>
            </w:pP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7701D9A4">
            <w:pPr>
              <w:rPr>
                <w:rFonts w:ascii="宋体" w:hAnsi="宋体"/>
                <w:color w:val="auto"/>
                <w:szCs w:val="21"/>
                <w:highlight w:val="none"/>
              </w:rPr>
            </w:pPr>
          </w:p>
          <w:p w14:paraId="6E081A8B">
            <w:pPr>
              <w:rPr>
                <w:rFonts w:hint="eastAsia" w:ascii="宋体" w:hAnsi="宋体"/>
                <w:color w:val="auto"/>
                <w:szCs w:val="21"/>
                <w:highlight w:val="none"/>
              </w:rPr>
            </w:pPr>
            <w:r>
              <w:rPr>
                <w:rFonts w:hint="eastAsia" w:ascii="宋体" w:hAnsi="宋体"/>
                <w:color w:val="auto"/>
                <w:szCs w:val="21"/>
                <w:highlight w:val="none"/>
              </w:rPr>
              <w:t>政府采购工程</w:t>
            </w:r>
          </w:p>
          <w:p w14:paraId="465D2B43">
            <w:pPr>
              <w:rPr>
                <w:rFonts w:hint="eastAsia" w:ascii="宋体" w:hAnsi="宋体"/>
                <w:color w:val="auto"/>
                <w:szCs w:val="21"/>
                <w:highlight w:val="none"/>
              </w:rPr>
            </w:pPr>
            <w:r>
              <w:rPr>
                <w:rFonts w:hint="eastAsia" w:ascii="宋体" w:hAnsi="宋体"/>
                <w:color w:val="auto"/>
                <w:szCs w:val="21"/>
                <w:highlight w:val="none"/>
              </w:rPr>
              <w:t>价格评审优惠</w:t>
            </w:r>
          </w:p>
          <w:p w14:paraId="04839F71">
            <w:pPr>
              <w:rPr>
                <w:rFonts w:hint="eastAsia" w:ascii="宋体" w:hAnsi="宋体"/>
                <w:color w:val="auto"/>
                <w:szCs w:val="21"/>
                <w:highlight w:val="none"/>
              </w:rPr>
            </w:pP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35EC2FE9">
            <w:pPr>
              <w:rPr>
                <w:rFonts w:ascii="宋体" w:hAnsi="宋体"/>
                <w:color w:val="auto"/>
                <w:szCs w:val="21"/>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187BB0DF">
            <w:pPr>
              <w:rPr>
                <w:color w:val="auto"/>
                <w:highlight w:val="none"/>
              </w:rPr>
            </w:pPr>
            <w:r>
              <w:rPr>
                <w:rFonts w:hint="eastAsia"/>
                <w:color w:val="auto"/>
                <w:szCs w:val="21"/>
                <w:highlight w:val="none"/>
              </w:rPr>
              <w:t>对</w:t>
            </w:r>
            <w:r>
              <w:rPr>
                <w:rFonts w:hint="eastAsia"/>
                <w:color w:val="auto"/>
                <w:highlight w:val="none"/>
              </w:rPr>
              <w:t>项目未预留份额专门面向中小企业采购的</w:t>
            </w:r>
          </w:p>
          <w:p w14:paraId="732BF7D1">
            <w:pPr>
              <w:rPr>
                <w:rFonts w:ascii="宋体" w:hAnsi="宋体"/>
                <w:color w:val="auto"/>
                <w:szCs w:val="21"/>
                <w:highlight w:val="none"/>
              </w:rPr>
            </w:pPr>
            <w:r>
              <w:rPr>
                <w:color w:val="auto"/>
                <w:highlight w:val="none"/>
              </w:rPr>
              <w:t>1.</w:t>
            </w:r>
            <w:r>
              <w:rPr>
                <w:rFonts w:hint="eastAsia"/>
                <w:color w:val="auto"/>
                <w:highlight w:val="none"/>
              </w:rPr>
              <w:t>如</w:t>
            </w:r>
            <w:r>
              <w:rPr>
                <w:rFonts w:hint="eastAsia" w:ascii="宋体" w:hAnsi="宋体"/>
                <w:color w:val="auto"/>
                <w:szCs w:val="21"/>
                <w:highlight w:val="none"/>
              </w:rPr>
              <w:t>投标人属于小微企业的，评标时在其投标报价得分的基础上增加</w:t>
            </w:r>
            <w:r>
              <w:rPr>
                <w:rFonts w:hint="eastAsia" w:ascii="宋体" w:hAnsi="宋体"/>
                <w:color w:val="auto"/>
                <w:szCs w:val="21"/>
                <w:highlight w:val="none"/>
                <w:u w:val="single"/>
              </w:rPr>
              <w:t xml:space="preserve">  P%  </w:t>
            </w:r>
            <w:r>
              <w:rPr>
                <w:rFonts w:hint="eastAsia" w:ascii="宋体" w:hAnsi="宋体"/>
                <w:color w:val="auto"/>
                <w:szCs w:val="21"/>
                <w:highlight w:val="none"/>
              </w:rPr>
              <w:t>作为其投标报价最终得分。</w:t>
            </w:r>
          </w:p>
          <w:p w14:paraId="0EF3F413">
            <w:pPr>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即S= M×(1+P%) </w:t>
            </w:r>
          </w:p>
          <w:p w14:paraId="744486F7">
            <w:pPr>
              <w:ind w:firstLine="420" w:firstLineChars="200"/>
              <w:rPr>
                <w:rFonts w:hint="eastAsia" w:ascii="宋体" w:hAnsi="宋体"/>
                <w:color w:val="auto"/>
                <w:szCs w:val="21"/>
                <w:highlight w:val="none"/>
              </w:rPr>
            </w:pPr>
            <w:r>
              <w:rPr>
                <w:rFonts w:hint="eastAsia" w:ascii="宋体" w:hAnsi="宋体"/>
                <w:color w:val="auto"/>
                <w:szCs w:val="21"/>
                <w:highlight w:val="none"/>
              </w:rPr>
              <w:t>P：为小微企业报价优惠系数，范围为3-5的整数，由招标人确定。P的取值见第二章投标人须知前附表第10.2.4项。</w:t>
            </w:r>
          </w:p>
          <w:p w14:paraId="5352A3C0">
            <w:pPr>
              <w:ind w:firstLine="420" w:firstLineChars="200"/>
              <w:rPr>
                <w:rFonts w:hint="eastAsia" w:ascii="宋体" w:hAnsi="宋体"/>
                <w:color w:val="auto"/>
                <w:szCs w:val="21"/>
                <w:highlight w:val="none"/>
              </w:rPr>
            </w:pPr>
            <w:r>
              <w:rPr>
                <w:rFonts w:hint="eastAsia" w:ascii="宋体" w:hAnsi="宋体"/>
                <w:color w:val="auto"/>
                <w:szCs w:val="21"/>
                <w:highlight w:val="none"/>
              </w:rPr>
              <w:t>如招标人接受联合体，</w:t>
            </w:r>
            <w:r>
              <w:rPr>
                <w:rFonts w:hint="eastAsia" w:ascii="宋体" w:hAnsi="宋体" w:cs="宋体"/>
                <w:color w:val="auto"/>
                <w:kern w:val="0"/>
                <w:szCs w:val="21"/>
                <w:highlight w:val="none"/>
              </w:rPr>
              <w:t>联合体各方均为小微企业的，联合体视同小微企业。</w:t>
            </w:r>
          </w:p>
          <w:p w14:paraId="0CE24888">
            <w:pPr>
              <w:rPr>
                <w:rFonts w:hint="eastAsia" w:ascii="宋体" w:hAnsi="宋体"/>
                <w:color w:val="auto"/>
                <w:szCs w:val="21"/>
                <w:highlight w:val="none"/>
              </w:rPr>
            </w:pPr>
            <w:r>
              <w:rPr>
                <w:rFonts w:hint="eastAsia" w:ascii="宋体" w:hAnsi="宋体"/>
                <w:color w:val="auto"/>
                <w:szCs w:val="21"/>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eastAsia" w:ascii="宋体" w:hAnsi="宋体"/>
                <w:color w:val="auto"/>
                <w:szCs w:val="21"/>
                <w:highlight w:val="none"/>
                <w:u w:val="single"/>
              </w:rPr>
              <w:t xml:space="preserve">  Q%  </w:t>
            </w:r>
            <w:r>
              <w:rPr>
                <w:rFonts w:hint="eastAsia" w:ascii="宋体" w:hAnsi="宋体"/>
                <w:color w:val="auto"/>
                <w:szCs w:val="21"/>
                <w:highlight w:val="none"/>
              </w:rPr>
              <w:t>作为其投标报价最终得分。</w:t>
            </w:r>
          </w:p>
          <w:p w14:paraId="3BC81927">
            <w:pPr>
              <w:ind w:firstLine="420" w:firstLineChars="200"/>
              <w:rPr>
                <w:rFonts w:hint="eastAsia" w:ascii="宋体" w:hAnsi="宋体"/>
                <w:color w:val="auto"/>
                <w:szCs w:val="21"/>
                <w:highlight w:val="none"/>
              </w:rPr>
            </w:pPr>
            <w:r>
              <w:rPr>
                <w:rFonts w:hint="eastAsia" w:ascii="宋体" w:hAnsi="宋体"/>
                <w:color w:val="auto"/>
                <w:szCs w:val="21"/>
                <w:highlight w:val="none"/>
              </w:rPr>
              <w:t>即S</w:t>
            </w:r>
            <w:r>
              <w:rPr>
                <w:color w:val="auto"/>
                <w:szCs w:val="21"/>
                <w:highlight w:val="none"/>
              </w:rPr>
              <w:t>= M</w:t>
            </w:r>
            <w:r>
              <w:rPr>
                <w:rFonts w:hint="eastAsia" w:ascii="宋体" w:hAnsi="宋体"/>
                <w:color w:val="auto"/>
                <w:szCs w:val="21"/>
                <w:highlight w:val="none"/>
              </w:rPr>
              <w:t xml:space="preserve">×(1+Q%) </w:t>
            </w:r>
          </w:p>
          <w:p w14:paraId="50B58709">
            <w:pPr>
              <w:ind w:firstLine="420" w:firstLineChars="200"/>
              <w:rPr>
                <w:rFonts w:hint="eastAsia" w:ascii="宋体" w:hAnsi="宋体"/>
                <w:color w:val="auto"/>
                <w:szCs w:val="21"/>
                <w:highlight w:val="none"/>
              </w:rPr>
            </w:pPr>
            <w:r>
              <w:rPr>
                <w:rFonts w:hint="eastAsia" w:ascii="宋体" w:hAnsi="宋体"/>
                <w:color w:val="auto"/>
                <w:szCs w:val="21"/>
                <w:highlight w:val="none"/>
              </w:rPr>
              <w:t>Q：为满足条件的联合体或者分包企业报价优惠系数，范围为1-2的整数，由招标人确定。Q的取值见第二章投标人须知前附表第10.2.5项。</w:t>
            </w:r>
          </w:p>
          <w:p w14:paraId="0A62ACAE">
            <w:pPr>
              <w:ind w:firstLine="420" w:firstLineChars="200"/>
              <w:rPr>
                <w:rFonts w:hint="eastAsia" w:ascii="宋体" w:hAnsi="宋体"/>
                <w:color w:val="auto"/>
                <w:szCs w:val="21"/>
                <w:highlight w:val="none"/>
              </w:rPr>
            </w:pPr>
          </w:p>
          <w:p w14:paraId="3F3633EA">
            <w:pPr>
              <w:rPr>
                <w:color w:val="auto"/>
                <w:szCs w:val="21"/>
                <w:highlight w:val="none"/>
              </w:rPr>
            </w:pPr>
            <w:r>
              <w:rPr>
                <w:rFonts w:hint="eastAsia" w:ascii="宋体" w:hAnsi="宋体"/>
                <w:color w:val="auto"/>
                <w:szCs w:val="21"/>
                <w:highlight w:val="none"/>
              </w:rPr>
              <w:t>3.组成联合体或者接受分包的小微企业与联合体内其他企业、分包企业之间存在直接控股、管理关系的，不享受价格评审优惠政策。</w:t>
            </w:r>
          </w:p>
        </w:tc>
      </w:tr>
      <w:tr w14:paraId="274C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41" w:type="dxa"/>
            <w:tcBorders>
              <w:left w:val="single" w:color="auto" w:sz="4" w:space="0"/>
              <w:bottom w:val="single" w:color="auto" w:sz="4" w:space="0"/>
              <w:right w:val="single" w:color="auto" w:sz="4" w:space="0"/>
            </w:tcBorders>
            <w:noWrap w:val="0"/>
            <w:vAlign w:val="center"/>
          </w:tcPr>
          <w:p w14:paraId="3E50C86A">
            <w:pPr>
              <w:widowControl/>
              <w:jc w:val="left"/>
              <w:rPr>
                <w:rFonts w:ascii="宋体" w:hAnsi="宋体"/>
                <w:color w:val="auto"/>
                <w:szCs w:val="21"/>
                <w:highlight w:val="none"/>
              </w:rPr>
            </w:pPr>
          </w:p>
        </w:tc>
        <w:tc>
          <w:tcPr>
            <w:tcW w:w="1059" w:type="dxa"/>
            <w:tcBorders>
              <w:left w:val="single" w:color="auto" w:sz="4" w:space="0"/>
              <w:bottom w:val="single" w:color="auto" w:sz="4" w:space="0"/>
              <w:right w:val="single" w:color="auto" w:sz="4" w:space="0"/>
            </w:tcBorders>
            <w:noWrap w:val="0"/>
            <w:vAlign w:val="center"/>
          </w:tcPr>
          <w:p w14:paraId="438AC2A2">
            <w:pPr>
              <w:widowControl/>
              <w:jc w:val="left"/>
              <w:rPr>
                <w:rFonts w:ascii="宋体" w:hAnsi="宋体"/>
                <w:color w:val="auto"/>
                <w:szCs w:val="21"/>
                <w:highlight w:val="none"/>
              </w:rPr>
            </w:pPr>
          </w:p>
        </w:tc>
        <w:tc>
          <w:tcPr>
            <w:tcW w:w="2085" w:type="dxa"/>
            <w:gridSpan w:val="3"/>
            <w:tcBorders>
              <w:top w:val="single" w:color="auto" w:sz="4" w:space="0"/>
              <w:left w:val="single" w:color="auto" w:sz="4" w:space="0"/>
              <w:bottom w:val="single" w:color="auto" w:sz="4" w:space="0"/>
              <w:right w:val="single" w:color="auto" w:sz="4" w:space="0"/>
            </w:tcBorders>
            <w:noWrap w:val="0"/>
            <w:vAlign w:val="center"/>
          </w:tcPr>
          <w:p w14:paraId="3A4D849A">
            <w:pPr>
              <w:rPr>
                <w:rFonts w:ascii="宋体" w:hAnsi="宋体"/>
                <w:color w:val="auto"/>
                <w:szCs w:val="21"/>
                <w:highlight w:val="none"/>
              </w:rPr>
            </w:pPr>
            <w:r>
              <w:rPr>
                <w:rFonts w:hint="eastAsia" w:ascii="宋体" w:hAnsi="宋体"/>
                <w:color w:val="auto"/>
                <w:szCs w:val="21"/>
                <w:highlight w:val="none"/>
              </w:rPr>
              <w:t>投标报价最终得分</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4E67940C">
            <w:pPr>
              <w:rPr>
                <w:rFonts w:ascii="宋体" w:hAnsi="宋体"/>
                <w:color w:val="auto"/>
                <w:szCs w:val="21"/>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88E0774">
            <w:pPr>
              <w:rPr>
                <w:rFonts w:hint="eastAsia"/>
                <w:color w:val="auto"/>
                <w:szCs w:val="21"/>
                <w:highlight w:val="none"/>
              </w:rPr>
            </w:pPr>
            <w:r>
              <w:rPr>
                <w:rFonts w:hint="eastAsia"/>
                <w:color w:val="auto"/>
                <w:szCs w:val="21"/>
                <w:highlight w:val="none"/>
              </w:rPr>
              <w:t>S= M×(1+P%) 或S= M×(1+Q%)</w:t>
            </w:r>
          </w:p>
        </w:tc>
      </w:tr>
      <w:tr w14:paraId="2BC9F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41" w:type="dxa"/>
            <w:tcBorders>
              <w:top w:val="single" w:color="auto" w:sz="4" w:space="0"/>
              <w:left w:val="single" w:color="auto" w:sz="4" w:space="0"/>
              <w:bottom w:val="single" w:color="auto" w:sz="4" w:space="0"/>
              <w:right w:val="single" w:color="auto" w:sz="4" w:space="0"/>
            </w:tcBorders>
            <w:noWrap w:val="0"/>
            <w:vAlign w:val="center"/>
          </w:tcPr>
          <w:p w14:paraId="4D1F6C86">
            <w:pPr>
              <w:jc w:val="center"/>
              <w:rPr>
                <w:rFonts w:ascii="宋体" w:hAnsi="宋体"/>
                <w:color w:val="auto"/>
                <w:szCs w:val="21"/>
                <w:highlight w:val="none"/>
              </w:rPr>
            </w:pPr>
          </w:p>
        </w:tc>
        <w:tc>
          <w:tcPr>
            <w:tcW w:w="8439" w:type="dxa"/>
            <w:gridSpan w:val="7"/>
            <w:tcBorders>
              <w:top w:val="single" w:color="auto" w:sz="4" w:space="0"/>
              <w:left w:val="single" w:color="auto" w:sz="4" w:space="0"/>
              <w:bottom w:val="single" w:color="auto" w:sz="4" w:space="0"/>
              <w:right w:val="single" w:color="auto" w:sz="4" w:space="0"/>
            </w:tcBorders>
            <w:noWrap w:val="0"/>
            <w:vAlign w:val="center"/>
          </w:tcPr>
          <w:p w14:paraId="249EAE00">
            <w:pPr>
              <w:rPr>
                <w:color w:val="auto"/>
                <w:szCs w:val="21"/>
                <w:highlight w:val="none"/>
              </w:rPr>
            </w:pPr>
            <w:r>
              <w:rPr>
                <w:rFonts w:hint="eastAsia" w:ascii="宋体" w:hAnsi="宋体"/>
                <w:color w:val="auto"/>
                <w:szCs w:val="21"/>
                <w:highlight w:val="none"/>
              </w:rPr>
              <w:t>通过初步评审的有效投标多于9家时，评标委员会选择投标报价得分高的前9名的有效投标进行后续详细评审，其他有效投标不再进行详细评审。</w:t>
            </w:r>
          </w:p>
        </w:tc>
      </w:tr>
      <w:tr w14:paraId="5427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restart"/>
            <w:tcBorders>
              <w:top w:val="single" w:color="auto" w:sz="4" w:space="0"/>
              <w:left w:val="single" w:color="auto" w:sz="4" w:space="0"/>
              <w:bottom w:val="single" w:color="auto" w:sz="4" w:space="0"/>
              <w:right w:val="single" w:color="auto" w:sz="4" w:space="0"/>
            </w:tcBorders>
            <w:noWrap w:val="0"/>
            <w:vAlign w:val="center"/>
          </w:tcPr>
          <w:p w14:paraId="6BB47232">
            <w:pPr>
              <w:spacing w:line="440" w:lineRule="exact"/>
              <w:jc w:val="center"/>
              <w:rPr>
                <w:color w:val="auto"/>
                <w:szCs w:val="21"/>
                <w:highlight w:val="none"/>
              </w:rPr>
            </w:pPr>
            <w:r>
              <w:rPr>
                <w:color w:val="auto"/>
                <w:szCs w:val="21"/>
                <w:highlight w:val="none"/>
              </w:rPr>
              <w:t>2.2.4</w:t>
            </w:r>
          </w:p>
          <w:p w14:paraId="7341ABCD">
            <w:pPr>
              <w:spacing w:line="440" w:lineRule="exact"/>
              <w:jc w:val="center"/>
              <w:rPr>
                <w:rFonts w:ascii="宋体" w:hAnsi="宋体"/>
                <w:color w:val="auto"/>
                <w:szCs w:val="21"/>
                <w:highlight w:val="none"/>
              </w:rPr>
            </w:pPr>
            <w:r>
              <w:rPr>
                <w:color w:val="auto"/>
                <w:szCs w:val="21"/>
                <w:highlight w:val="none"/>
              </w:rPr>
              <w:t>(2)</w:t>
            </w:r>
          </w:p>
        </w:tc>
        <w:tc>
          <w:tcPr>
            <w:tcW w:w="110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1F61A5C5">
            <w:pPr>
              <w:jc w:val="center"/>
              <w:rPr>
                <w:rFonts w:ascii="宋体" w:hAnsi="宋体"/>
                <w:color w:val="auto"/>
                <w:szCs w:val="21"/>
                <w:highlight w:val="none"/>
              </w:rPr>
            </w:pPr>
            <w:r>
              <w:rPr>
                <w:rFonts w:hint="eastAsia" w:ascii="宋体" w:hAnsi="宋体"/>
                <w:color w:val="auto"/>
                <w:szCs w:val="21"/>
                <w:highlight w:val="none"/>
              </w:rPr>
              <w:t>施工组织</w:t>
            </w:r>
          </w:p>
          <w:p w14:paraId="094DC706">
            <w:pPr>
              <w:jc w:val="center"/>
              <w:rPr>
                <w:rFonts w:hint="eastAsia" w:ascii="宋体" w:hAnsi="宋体"/>
                <w:color w:val="auto"/>
                <w:szCs w:val="21"/>
                <w:highlight w:val="none"/>
              </w:rPr>
            </w:pPr>
            <w:r>
              <w:rPr>
                <w:rFonts w:hint="eastAsia" w:ascii="宋体" w:hAnsi="宋体"/>
                <w:color w:val="auto"/>
                <w:szCs w:val="21"/>
                <w:highlight w:val="none"/>
              </w:rPr>
              <w:t>设计评分</w:t>
            </w:r>
          </w:p>
          <w:p w14:paraId="54D3C72E">
            <w:pPr>
              <w:jc w:val="center"/>
              <w:rPr>
                <w:rFonts w:hint="eastAsia" w:ascii="宋体" w:hAnsi="宋体"/>
                <w:color w:val="auto"/>
                <w:szCs w:val="21"/>
                <w:highlight w:val="none"/>
              </w:rPr>
            </w:pPr>
            <w:r>
              <w:rPr>
                <w:rFonts w:hint="eastAsia" w:ascii="宋体" w:hAnsi="宋体"/>
                <w:color w:val="auto"/>
                <w:szCs w:val="21"/>
                <w:highlight w:val="none"/>
              </w:rPr>
              <w:t>标   准</w:t>
            </w:r>
          </w:p>
          <w:p w14:paraId="1EA1FF19">
            <w:pPr>
              <w:jc w:val="center"/>
              <w:rPr>
                <w:rFonts w:ascii="宋体" w:hAnsi="宋体"/>
                <w:color w:val="auto"/>
                <w:szCs w:val="21"/>
                <w:highlight w:val="none"/>
              </w:rPr>
            </w:pPr>
          </w:p>
        </w:tc>
        <w:tc>
          <w:tcPr>
            <w:tcW w:w="204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384F96E0">
            <w:pPr>
              <w:rPr>
                <w:rFonts w:ascii="宋体" w:hAnsi="宋体"/>
                <w:color w:val="auto"/>
                <w:szCs w:val="21"/>
                <w:highlight w:val="none"/>
              </w:rPr>
            </w:pPr>
            <w:r>
              <w:rPr>
                <w:rFonts w:hint="eastAsia" w:ascii="宋体" w:hAnsi="宋体"/>
                <w:color w:val="auto"/>
                <w:szCs w:val="21"/>
                <w:highlight w:val="none"/>
              </w:rPr>
              <w:t>工程概况</w:t>
            </w:r>
          </w:p>
        </w:tc>
        <w:tc>
          <w:tcPr>
            <w:tcW w:w="73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7C1F660">
            <w:pPr>
              <w:rPr>
                <w:rFonts w:ascii="宋体" w:hAnsi="宋体"/>
                <w:color w:val="auto"/>
                <w:szCs w:val="21"/>
                <w:highlight w:val="none"/>
              </w:rPr>
            </w:pPr>
            <w:r>
              <w:rPr>
                <w:rFonts w:hint="eastAsia" w:ascii="宋体" w:hAnsi="宋体"/>
                <w:color w:val="auto"/>
                <w:szCs w:val="44"/>
                <w:highlight w:val="none"/>
              </w:rPr>
              <w:t>1</w:t>
            </w:r>
            <w:r>
              <w:rPr>
                <w:rFonts w:hint="eastAsia" w:ascii="宋体" w:hAnsi="宋体"/>
                <w:bCs/>
                <w:color w:val="auto"/>
                <w:szCs w:val="21"/>
                <w:highlight w:val="none"/>
              </w:rPr>
              <w:t>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99A1BF2">
            <w:pPr>
              <w:rPr>
                <w:rFonts w:ascii="宋体" w:hAnsi="宋体"/>
                <w:bCs/>
                <w:color w:val="auto"/>
                <w:szCs w:val="21"/>
                <w:highlight w:val="none"/>
              </w:rPr>
            </w:pPr>
            <w:r>
              <w:rPr>
                <w:rFonts w:hint="eastAsia" w:ascii="宋体" w:hAnsi="宋体"/>
                <w:bCs/>
                <w:color w:val="auto"/>
                <w:szCs w:val="21"/>
                <w:highlight w:val="none"/>
              </w:rPr>
              <w:t>描述准确、清晰                      1分</w:t>
            </w:r>
          </w:p>
        </w:tc>
      </w:tr>
      <w:tr w14:paraId="42193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266C8EAD">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B5C42E9">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6BF47A3">
            <w:pPr>
              <w:widowControl/>
              <w:jc w:val="left"/>
              <w:rPr>
                <w:rFonts w:ascii="宋体" w:hAnsi="宋体"/>
                <w:color w:val="auto"/>
                <w:szCs w:val="21"/>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05D92DC">
            <w:pPr>
              <w:widowControl/>
              <w:jc w:val="left"/>
              <w:rPr>
                <w:rFonts w:ascii="宋体" w:hAnsi="宋体"/>
                <w:color w:val="auto"/>
                <w:szCs w:val="21"/>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024CDD1">
            <w:pPr>
              <w:rPr>
                <w:rFonts w:ascii="宋体" w:hAnsi="宋体"/>
                <w:bCs/>
                <w:color w:val="auto"/>
                <w:szCs w:val="21"/>
                <w:highlight w:val="none"/>
              </w:rPr>
            </w:pPr>
            <w:r>
              <w:rPr>
                <w:rFonts w:hint="eastAsia" w:ascii="宋体" w:hAnsi="宋体"/>
                <w:bCs/>
                <w:color w:val="auto"/>
                <w:szCs w:val="21"/>
                <w:highlight w:val="none"/>
              </w:rPr>
              <w:t>描述基本准确                  0.9-0.8分</w:t>
            </w:r>
          </w:p>
        </w:tc>
      </w:tr>
      <w:tr w14:paraId="1327E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066557D9">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8330A00">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27F6D9F">
            <w:pPr>
              <w:widowControl/>
              <w:jc w:val="left"/>
              <w:rPr>
                <w:rFonts w:ascii="宋体" w:hAnsi="宋体"/>
                <w:color w:val="auto"/>
                <w:szCs w:val="21"/>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C4E856F">
            <w:pPr>
              <w:widowControl/>
              <w:jc w:val="left"/>
              <w:rPr>
                <w:rFonts w:ascii="宋体" w:hAnsi="宋体"/>
                <w:color w:val="auto"/>
                <w:szCs w:val="21"/>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286F1D60">
            <w:pPr>
              <w:rPr>
                <w:rFonts w:ascii="宋体" w:hAnsi="宋体"/>
                <w:bCs/>
                <w:color w:val="auto"/>
                <w:szCs w:val="21"/>
                <w:highlight w:val="none"/>
              </w:rPr>
            </w:pPr>
            <w:r>
              <w:rPr>
                <w:rFonts w:hint="eastAsia" w:ascii="宋体" w:hAnsi="宋体"/>
                <w:bCs/>
                <w:color w:val="auto"/>
                <w:szCs w:val="21"/>
                <w:highlight w:val="none"/>
              </w:rPr>
              <w:t>描述不准确                          0分</w:t>
            </w:r>
          </w:p>
        </w:tc>
      </w:tr>
      <w:tr w14:paraId="65EE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378B7620">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CCE4DEA">
            <w:pPr>
              <w:widowControl/>
              <w:jc w:val="left"/>
              <w:rPr>
                <w:rFonts w:ascii="宋体" w:hAnsi="宋体"/>
                <w:color w:val="auto"/>
                <w:szCs w:val="21"/>
                <w:highlight w:val="none"/>
              </w:rPr>
            </w:pPr>
          </w:p>
        </w:tc>
        <w:tc>
          <w:tcPr>
            <w:tcW w:w="204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4A4EE580">
            <w:pPr>
              <w:rPr>
                <w:rFonts w:ascii="宋体" w:hAnsi="宋体"/>
                <w:color w:val="auto"/>
                <w:szCs w:val="44"/>
                <w:highlight w:val="none"/>
              </w:rPr>
            </w:pPr>
            <w:r>
              <w:rPr>
                <w:rFonts w:hint="eastAsia" w:ascii="宋体" w:hAnsi="宋体"/>
                <w:color w:val="auto"/>
                <w:szCs w:val="21"/>
                <w:highlight w:val="none"/>
              </w:rPr>
              <w:t>施工部署</w:t>
            </w:r>
          </w:p>
        </w:tc>
        <w:tc>
          <w:tcPr>
            <w:tcW w:w="73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38546E30">
            <w:pPr>
              <w:rPr>
                <w:rFonts w:ascii="宋体" w:hAnsi="宋体"/>
                <w:color w:val="auto"/>
                <w:szCs w:val="44"/>
                <w:highlight w:val="none"/>
              </w:rPr>
            </w:pPr>
            <w:r>
              <w:rPr>
                <w:rFonts w:hint="eastAsia" w:ascii="宋体" w:hAnsi="宋体"/>
                <w:color w:val="auto"/>
                <w:szCs w:val="44"/>
                <w:highlight w:val="none"/>
              </w:rPr>
              <w:t>1</w:t>
            </w:r>
            <w:r>
              <w:rPr>
                <w:rFonts w:hint="eastAsia" w:ascii="宋体" w:hAnsi="宋体"/>
                <w:bCs/>
                <w:color w:val="auto"/>
                <w:szCs w:val="21"/>
                <w:highlight w:val="none"/>
              </w:rPr>
              <w:t>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B50D21F">
            <w:pPr>
              <w:rPr>
                <w:rFonts w:ascii="宋体" w:hAnsi="宋体"/>
                <w:bCs/>
                <w:color w:val="auto"/>
                <w:szCs w:val="21"/>
                <w:highlight w:val="none"/>
              </w:rPr>
            </w:pPr>
            <w:r>
              <w:rPr>
                <w:rFonts w:hint="eastAsia" w:ascii="宋体" w:hAnsi="宋体"/>
                <w:bCs/>
                <w:color w:val="auto"/>
                <w:szCs w:val="21"/>
                <w:highlight w:val="none"/>
              </w:rPr>
              <w:t>科学、合理、针对性强                1分</w:t>
            </w:r>
          </w:p>
        </w:tc>
      </w:tr>
      <w:tr w14:paraId="7D11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29EA1C9">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582E75D">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4866A91">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00BC5BF">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5B8C95FB">
            <w:pPr>
              <w:rPr>
                <w:rFonts w:ascii="宋体" w:hAnsi="宋体"/>
                <w:bCs/>
                <w:color w:val="auto"/>
                <w:szCs w:val="21"/>
                <w:highlight w:val="none"/>
              </w:rPr>
            </w:pPr>
            <w:r>
              <w:rPr>
                <w:rFonts w:hint="eastAsia" w:ascii="宋体" w:hAnsi="宋体"/>
                <w:bCs/>
                <w:color w:val="auto"/>
                <w:szCs w:val="21"/>
                <w:highlight w:val="none"/>
              </w:rPr>
              <w:t>合理、可行                    0.9-0.8分</w:t>
            </w:r>
          </w:p>
        </w:tc>
      </w:tr>
      <w:tr w14:paraId="1A5F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041D9B91">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4236DAD">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7E7A583">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115383A">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554D3EBD">
            <w:pPr>
              <w:rPr>
                <w:rFonts w:ascii="宋体" w:hAnsi="宋体"/>
                <w:bCs/>
                <w:color w:val="auto"/>
                <w:szCs w:val="21"/>
                <w:highlight w:val="none"/>
              </w:rPr>
            </w:pPr>
            <w:r>
              <w:rPr>
                <w:rFonts w:hint="eastAsia" w:ascii="宋体" w:hAnsi="宋体"/>
                <w:bCs/>
                <w:color w:val="auto"/>
                <w:szCs w:val="21"/>
                <w:highlight w:val="none"/>
              </w:rPr>
              <w:t>不可行，不能满足工程需要            0分</w:t>
            </w:r>
          </w:p>
        </w:tc>
      </w:tr>
      <w:tr w14:paraId="400A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623EF528">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DEC8671">
            <w:pPr>
              <w:widowControl/>
              <w:jc w:val="left"/>
              <w:rPr>
                <w:rFonts w:ascii="宋体" w:hAnsi="宋体"/>
                <w:color w:val="auto"/>
                <w:szCs w:val="21"/>
                <w:highlight w:val="none"/>
              </w:rPr>
            </w:pPr>
          </w:p>
        </w:tc>
        <w:tc>
          <w:tcPr>
            <w:tcW w:w="204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782D697">
            <w:pPr>
              <w:rPr>
                <w:rFonts w:ascii="宋体" w:hAnsi="宋体"/>
                <w:color w:val="auto"/>
                <w:szCs w:val="44"/>
                <w:highlight w:val="none"/>
              </w:rPr>
            </w:pPr>
            <w:r>
              <w:rPr>
                <w:rFonts w:hint="eastAsia" w:ascii="宋体" w:hAnsi="宋体"/>
                <w:color w:val="auto"/>
                <w:szCs w:val="21"/>
                <w:highlight w:val="none"/>
              </w:rPr>
              <w:t>施工进度计划</w:t>
            </w:r>
          </w:p>
        </w:tc>
        <w:tc>
          <w:tcPr>
            <w:tcW w:w="73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164F95B">
            <w:pPr>
              <w:rPr>
                <w:rFonts w:ascii="宋体" w:hAnsi="宋体"/>
                <w:color w:val="auto"/>
                <w:szCs w:val="44"/>
                <w:highlight w:val="none"/>
              </w:rPr>
            </w:pPr>
            <w:r>
              <w:rPr>
                <w:rFonts w:hint="eastAsia" w:ascii="宋体" w:hAnsi="宋体"/>
                <w:color w:val="auto"/>
                <w:szCs w:val="44"/>
                <w:highlight w:val="none"/>
              </w:rPr>
              <w:t>2</w:t>
            </w:r>
            <w:r>
              <w:rPr>
                <w:rFonts w:hint="eastAsia" w:ascii="宋体" w:hAnsi="宋体"/>
                <w:bCs/>
                <w:color w:val="auto"/>
                <w:szCs w:val="21"/>
                <w:highlight w:val="none"/>
              </w:rPr>
              <w:t>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2074A6EC">
            <w:pPr>
              <w:rPr>
                <w:rFonts w:ascii="宋体" w:hAnsi="宋体"/>
                <w:bCs/>
                <w:color w:val="auto"/>
                <w:szCs w:val="21"/>
                <w:highlight w:val="none"/>
              </w:rPr>
            </w:pPr>
            <w:r>
              <w:rPr>
                <w:rFonts w:hint="eastAsia" w:ascii="宋体" w:hAnsi="宋体"/>
                <w:bCs/>
                <w:color w:val="auto"/>
                <w:szCs w:val="21"/>
                <w:highlight w:val="none"/>
              </w:rPr>
              <w:t>科学、合理、针对性强            2-1.9分</w:t>
            </w:r>
          </w:p>
        </w:tc>
      </w:tr>
      <w:tr w14:paraId="7966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7BD6673A">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4C92D2D">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C0E69DD">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F4172D8">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D5D5688">
            <w:pPr>
              <w:rPr>
                <w:rFonts w:ascii="宋体" w:hAnsi="宋体"/>
                <w:bCs/>
                <w:color w:val="auto"/>
                <w:szCs w:val="21"/>
                <w:highlight w:val="none"/>
              </w:rPr>
            </w:pPr>
            <w:r>
              <w:rPr>
                <w:rFonts w:hint="eastAsia" w:ascii="宋体" w:hAnsi="宋体"/>
                <w:bCs/>
                <w:color w:val="auto"/>
                <w:szCs w:val="21"/>
                <w:highlight w:val="none"/>
              </w:rPr>
              <w:t>合理、可行、                  1.8-1.6分</w:t>
            </w:r>
          </w:p>
        </w:tc>
      </w:tr>
      <w:tr w14:paraId="1161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789FB81B">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150CFEE">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AA24D9E">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1A3FABF">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5994A99D">
            <w:pPr>
              <w:rPr>
                <w:rFonts w:ascii="宋体" w:hAnsi="宋体"/>
                <w:bCs/>
                <w:color w:val="auto"/>
                <w:szCs w:val="21"/>
                <w:highlight w:val="none"/>
              </w:rPr>
            </w:pPr>
            <w:r>
              <w:rPr>
                <w:rFonts w:hint="eastAsia" w:ascii="宋体" w:hAnsi="宋体"/>
                <w:bCs/>
                <w:color w:val="auto"/>
                <w:szCs w:val="21"/>
                <w:highlight w:val="none"/>
              </w:rPr>
              <w:t>欠合理，基本可行              1.5-1.4分</w:t>
            </w:r>
          </w:p>
        </w:tc>
      </w:tr>
      <w:tr w14:paraId="0F8CD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2F68D8B0">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434F5EA">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0F991AE">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101BB00">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74ABCA92">
            <w:pPr>
              <w:rPr>
                <w:rFonts w:ascii="宋体" w:hAnsi="宋体"/>
                <w:bCs/>
                <w:color w:val="auto"/>
                <w:szCs w:val="21"/>
                <w:highlight w:val="none"/>
              </w:rPr>
            </w:pPr>
            <w:r>
              <w:rPr>
                <w:rFonts w:hint="eastAsia" w:ascii="宋体" w:hAnsi="宋体"/>
                <w:bCs/>
                <w:color w:val="auto"/>
                <w:szCs w:val="21"/>
                <w:highlight w:val="none"/>
              </w:rPr>
              <w:t>不可行，不能满足招标文件要求        0分</w:t>
            </w:r>
          </w:p>
        </w:tc>
      </w:tr>
      <w:tr w14:paraId="2C01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5EC9504F">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ED18AFB">
            <w:pPr>
              <w:widowControl/>
              <w:jc w:val="left"/>
              <w:rPr>
                <w:rFonts w:ascii="宋体" w:hAnsi="宋体"/>
                <w:color w:val="auto"/>
                <w:szCs w:val="21"/>
                <w:highlight w:val="none"/>
              </w:rPr>
            </w:pPr>
          </w:p>
        </w:tc>
        <w:tc>
          <w:tcPr>
            <w:tcW w:w="204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0648680A">
            <w:pPr>
              <w:rPr>
                <w:rFonts w:ascii="宋体" w:hAnsi="宋体"/>
                <w:color w:val="auto"/>
                <w:szCs w:val="21"/>
                <w:highlight w:val="none"/>
              </w:rPr>
            </w:pPr>
            <w:r>
              <w:rPr>
                <w:rFonts w:hint="eastAsia" w:ascii="宋体" w:hAnsi="宋体"/>
                <w:color w:val="auto"/>
                <w:szCs w:val="21"/>
                <w:highlight w:val="none"/>
              </w:rPr>
              <w:t>施工准备与</w:t>
            </w:r>
          </w:p>
          <w:p w14:paraId="7EE07983">
            <w:pPr>
              <w:rPr>
                <w:rFonts w:ascii="宋体" w:hAnsi="宋体"/>
                <w:color w:val="auto"/>
                <w:szCs w:val="44"/>
                <w:highlight w:val="none"/>
              </w:rPr>
            </w:pPr>
            <w:r>
              <w:rPr>
                <w:rFonts w:hint="eastAsia" w:ascii="宋体" w:hAnsi="宋体"/>
                <w:color w:val="auto"/>
                <w:szCs w:val="21"/>
                <w:highlight w:val="none"/>
              </w:rPr>
              <w:t>资源配置计划</w:t>
            </w:r>
          </w:p>
        </w:tc>
        <w:tc>
          <w:tcPr>
            <w:tcW w:w="73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08431BB">
            <w:pPr>
              <w:rPr>
                <w:rFonts w:ascii="宋体" w:hAnsi="宋体"/>
                <w:color w:val="auto"/>
                <w:szCs w:val="44"/>
                <w:highlight w:val="none"/>
              </w:rPr>
            </w:pPr>
            <w:r>
              <w:rPr>
                <w:rFonts w:hint="eastAsia" w:ascii="宋体" w:hAnsi="宋体"/>
                <w:color w:val="auto"/>
                <w:szCs w:val="44"/>
                <w:highlight w:val="none"/>
              </w:rPr>
              <w:t>2</w:t>
            </w:r>
            <w:r>
              <w:rPr>
                <w:rFonts w:hint="eastAsia" w:ascii="宋体" w:hAnsi="宋体"/>
                <w:bCs/>
                <w:color w:val="auto"/>
                <w:szCs w:val="21"/>
                <w:highlight w:val="none"/>
              </w:rPr>
              <w:t>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2CF4F964">
            <w:pPr>
              <w:rPr>
                <w:rFonts w:ascii="宋体" w:hAnsi="宋体"/>
                <w:bCs/>
                <w:color w:val="auto"/>
                <w:szCs w:val="21"/>
                <w:highlight w:val="none"/>
              </w:rPr>
            </w:pPr>
            <w:r>
              <w:rPr>
                <w:rFonts w:hint="eastAsia" w:ascii="宋体" w:hAnsi="宋体"/>
                <w:color w:val="auto"/>
                <w:szCs w:val="44"/>
                <w:highlight w:val="none"/>
              </w:rPr>
              <w:t>内容完备，</w:t>
            </w:r>
            <w:r>
              <w:rPr>
                <w:rFonts w:hint="eastAsia" w:ascii="宋体" w:hAnsi="宋体"/>
                <w:bCs/>
                <w:color w:val="auto"/>
                <w:szCs w:val="21"/>
                <w:highlight w:val="none"/>
              </w:rPr>
              <w:t>合理、针对性强        2-1.9分</w:t>
            </w:r>
          </w:p>
        </w:tc>
      </w:tr>
      <w:tr w14:paraId="0D80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5A612F33">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E27B742">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3C6AF8A">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C0BF74E">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F1AE4E5">
            <w:pPr>
              <w:rPr>
                <w:rFonts w:ascii="宋体" w:hAnsi="宋体"/>
                <w:bCs/>
                <w:color w:val="auto"/>
                <w:szCs w:val="21"/>
                <w:highlight w:val="none"/>
              </w:rPr>
            </w:pPr>
            <w:r>
              <w:rPr>
                <w:rFonts w:hint="eastAsia" w:ascii="宋体" w:hAnsi="宋体"/>
                <w:color w:val="auto"/>
                <w:szCs w:val="44"/>
                <w:highlight w:val="none"/>
              </w:rPr>
              <w:t>内容完备，</w:t>
            </w:r>
            <w:r>
              <w:rPr>
                <w:rFonts w:hint="eastAsia" w:ascii="宋体" w:hAnsi="宋体"/>
                <w:bCs/>
                <w:color w:val="auto"/>
                <w:szCs w:val="21"/>
                <w:highlight w:val="none"/>
              </w:rPr>
              <w:t>可行                1.8-1.6分</w:t>
            </w:r>
          </w:p>
        </w:tc>
      </w:tr>
      <w:tr w14:paraId="76F8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0E47E06">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4097984">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C055929">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A3DB74C">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01B75A18">
            <w:pPr>
              <w:rPr>
                <w:rFonts w:ascii="宋体" w:hAnsi="宋体"/>
                <w:bCs/>
                <w:color w:val="auto"/>
                <w:szCs w:val="21"/>
                <w:highlight w:val="none"/>
              </w:rPr>
            </w:pPr>
            <w:r>
              <w:rPr>
                <w:rFonts w:hint="eastAsia" w:ascii="宋体" w:hAnsi="宋体"/>
                <w:color w:val="auto"/>
                <w:szCs w:val="44"/>
                <w:highlight w:val="none"/>
              </w:rPr>
              <w:t>内容欠完备，</w:t>
            </w:r>
            <w:r>
              <w:rPr>
                <w:rFonts w:hint="eastAsia" w:ascii="宋体" w:hAnsi="宋体"/>
                <w:bCs/>
                <w:color w:val="auto"/>
                <w:szCs w:val="21"/>
                <w:highlight w:val="none"/>
              </w:rPr>
              <w:t>基本可行          1.5-1.4分</w:t>
            </w:r>
          </w:p>
        </w:tc>
      </w:tr>
      <w:tr w14:paraId="78EF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0C95E90">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5E8B04D">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8E97ED0">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D1D97AB">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D69E020">
            <w:pPr>
              <w:rPr>
                <w:rFonts w:ascii="宋体" w:hAnsi="宋体"/>
                <w:color w:val="auto"/>
                <w:szCs w:val="44"/>
                <w:highlight w:val="none"/>
              </w:rPr>
            </w:pPr>
            <w:r>
              <w:rPr>
                <w:rFonts w:hint="eastAsia" w:ascii="宋体" w:hAnsi="宋体"/>
                <w:bCs/>
                <w:color w:val="auto"/>
                <w:szCs w:val="21"/>
                <w:highlight w:val="none"/>
              </w:rPr>
              <w:t>不可行                              0分</w:t>
            </w:r>
          </w:p>
        </w:tc>
      </w:tr>
      <w:tr w14:paraId="4FE3B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7A864818">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C919971">
            <w:pPr>
              <w:widowControl/>
              <w:jc w:val="left"/>
              <w:rPr>
                <w:rFonts w:ascii="宋体" w:hAnsi="宋体"/>
                <w:color w:val="auto"/>
                <w:szCs w:val="21"/>
                <w:highlight w:val="none"/>
              </w:rPr>
            </w:pPr>
          </w:p>
        </w:tc>
        <w:tc>
          <w:tcPr>
            <w:tcW w:w="204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AE09768">
            <w:pPr>
              <w:rPr>
                <w:rFonts w:ascii="宋体" w:hAnsi="宋体"/>
                <w:color w:val="auto"/>
                <w:szCs w:val="44"/>
                <w:highlight w:val="none"/>
              </w:rPr>
            </w:pPr>
            <w:r>
              <w:rPr>
                <w:rFonts w:hint="eastAsia" w:ascii="宋体" w:hAnsi="宋体"/>
                <w:color w:val="auto"/>
                <w:szCs w:val="21"/>
                <w:highlight w:val="none"/>
              </w:rPr>
              <w:t>主要施工方案</w:t>
            </w:r>
          </w:p>
        </w:tc>
        <w:tc>
          <w:tcPr>
            <w:tcW w:w="73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4B49FD97">
            <w:pPr>
              <w:rPr>
                <w:rFonts w:ascii="宋体" w:hAnsi="宋体"/>
                <w:color w:val="auto"/>
                <w:szCs w:val="44"/>
                <w:highlight w:val="none"/>
              </w:rPr>
            </w:pPr>
            <w:r>
              <w:rPr>
                <w:rFonts w:hint="eastAsia" w:ascii="宋体" w:hAnsi="宋体"/>
                <w:color w:val="auto"/>
                <w:szCs w:val="44"/>
                <w:highlight w:val="none"/>
              </w:rPr>
              <w:t>5</w:t>
            </w:r>
            <w:r>
              <w:rPr>
                <w:rFonts w:hint="eastAsia" w:ascii="宋体" w:hAnsi="宋体"/>
                <w:bCs/>
                <w:color w:val="auto"/>
                <w:szCs w:val="21"/>
                <w:highlight w:val="none"/>
              </w:rPr>
              <w:t>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481BF710">
            <w:pPr>
              <w:rPr>
                <w:rFonts w:ascii="宋体" w:hAnsi="宋体"/>
                <w:bCs/>
                <w:color w:val="auto"/>
                <w:szCs w:val="21"/>
                <w:highlight w:val="none"/>
              </w:rPr>
            </w:pPr>
            <w:r>
              <w:rPr>
                <w:rFonts w:hint="eastAsia" w:ascii="宋体" w:hAnsi="宋体"/>
                <w:bCs/>
                <w:color w:val="auto"/>
                <w:szCs w:val="21"/>
                <w:highlight w:val="none"/>
              </w:rPr>
              <w:t>科学、合理、针对性强            5-4.6分</w:t>
            </w:r>
          </w:p>
        </w:tc>
      </w:tr>
      <w:tr w14:paraId="7838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26FDF0B2">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7A9D205">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D89C067">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33783B3">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CB82706">
            <w:pPr>
              <w:rPr>
                <w:rFonts w:ascii="宋体" w:hAnsi="宋体"/>
                <w:bCs/>
                <w:color w:val="auto"/>
                <w:szCs w:val="21"/>
                <w:highlight w:val="none"/>
              </w:rPr>
            </w:pPr>
            <w:r>
              <w:rPr>
                <w:rFonts w:hint="eastAsia" w:ascii="宋体" w:hAnsi="宋体"/>
                <w:bCs/>
                <w:color w:val="auto"/>
                <w:szCs w:val="21"/>
                <w:highlight w:val="none"/>
              </w:rPr>
              <w:t>合理、可行                      4.5-4分</w:t>
            </w:r>
          </w:p>
        </w:tc>
      </w:tr>
      <w:tr w14:paraId="580C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05F37092">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7EA28B4">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B41AEC4">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3775C01">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E2CD3A9">
            <w:pPr>
              <w:rPr>
                <w:rFonts w:ascii="宋体" w:hAnsi="宋体"/>
                <w:bCs/>
                <w:color w:val="auto"/>
                <w:szCs w:val="21"/>
                <w:highlight w:val="none"/>
              </w:rPr>
            </w:pPr>
            <w:r>
              <w:rPr>
                <w:rFonts w:hint="eastAsia" w:ascii="宋体" w:hAnsi="宋体"/>
                <w:bCs/>
                <w:color w:val="auto"/>
                <w:szCs w:val="21"/>
                <w:highlight w:val="none"/>
              </w:rPr>
              <w:t>欠合理，基本可行              3.9-3.5分</w:t>
            </w:r>
          </w:p>
        </w:tc>
      </w:tr>
      <w:tr w14:paraId="7A65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3697D0EE">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F5A4F29">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4AF7F15">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EF2DC68">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A83F861">
            <w:pPr>
              <w:rPr>
                <w:rFonts w:ascii="宋体" w:hAnsi="宋体"/>
                <w:bCs/>
                <w:color w:val="auto"/>
                <w:szCs w:val="21"/>
                <w:highlight w:val="none"/>
              </w:rPr>
            </w:pPr>
            <w:r>
              <w:rPr>
                <w:rFonts w:hint="eastAsia" w:ascii="宋体" w:hAnsi="宋体"/>
                <w:bCs/>
                <w:color w:val="auto"/>
                <w:szCs w:val="21"/>
                <w:highlight w:val="none"/>
              </w:rPr>
              <w:t>不可行，不能满足工程需要            0分</w:t>
            </w:r>
          </w:p>
        </w:tc>
      </w:tr>
      <w:tr w14:paraId="085D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05512461">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5DEBEF1">
            <w:pPr>
              <w:widowControl/>
              <w:jc w:val="left"/>
              <w:rPr>
                <w:rFonts w:ascii="宋体" w:hAnsi="宋体"/>
                <w:color w:val="auto"/>
                <w:szCs w:val="21"/>
                <w:highlight w:val="none"/>
              </w:rPr>
            </w:pPr>
          </w:p>
        </w:tc>
        <w:tc>
          <w:tcPr>
            <w:tcW w:w="204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7487095">
            <w:pPr>
              <w:rPr>
                <w:rFonts w:ascii="宋体" w:hAnsi="宋体"/>
                <w:color w:val="auto"/>
                <w:szCs w:val="44"/>
                <w:highlight w:val="none"/>
              </w:rPr>
            </w:pPr>
            <w:r>
              <w:rPr>
                <w:rFonts w:hint="eastAsia" w:ascii="宋体" w:hAnsi="宋体"/>
                <w:color w:val="auto"/>
                <w:szCs w:val="21"/>
                <w:highlight w:val="none"/>
              </w:rPr>
              <w:t>施工现场平面布置</w:t>
            </w:r>
          </w:p>
        </w:tc>
        <w:tc>
          <w:tcPr>
            <w:tcW w:w="73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5EAB8B82">
            <w:pPr>
              <w:rPr>
                <w:rFonts w:ascii="宋体" w:hAnsi="宋体"/>
                <w:color w:val="auto"/>
                <w:szCs w:val="44"/>
                <w:highlight w:val="none"/>
              </w:rPr>
            </w:pPr>
            <w:r>
              <w:rPr>
                <w:rFonts w:hint="eastAsia" w:ascii="宋体" w:hAnsi="宋体"/>
                <w:color w:val="auto"/>
                <w:szCs w:val="44"/>
                <w:highlight w:val="none"/>
              </w:rPr>
              <w:t>2</w:t>
            </w:r>
            <w:r>
              <w:rPr>
                <w:rFonts w:hint="eastAsia" w:ascii="宋体" w:hAnsi="宋体"/>
                <w:bCs/>
                <w:color w:val="auto"/>
                <w:szCs w:val="21"/>
                <w:highlight w:val="none"/>
              </w:rPr>
              <w:t>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07FC723">
            <w:pPr>
              <w:rPr>
                <w:rFonts w:ascii="宋体" w:hAnsi="宋体"/>
                <w:color w:val="auto"/>
                <w:szCs w:val="44"/>
                <w:highlight w:val="none"/>
              </w:rPr>
            </w:pPr>
            <w:r>
              <w:rPr>
                <w:rFonts w:hint="eastAsia" w:ascii="宋体" w:hAnsi="宋体"/>
                <w:color w:val="auto"/>
                <w:szCs w:val="44"/>
                <w:highlight w:val="none"/>
              </w:rPr>
              <w:t>现场布置合理                    2-1.9</w:t>
            </w:r>
            <w:r>
              <w:rPr>
                <w:rFonts w:hint="eastAsia" w:ascii="宋体" w:hAnsi="宋体"/>
                <w:bCs/>
                <w:color w:val="auto"/>
                <w:szCs w:val="21"/>
                <w:highlight w:val="none"/>
              </w:rPr>
              <w:t>分</w:t>
            </w:r>
          </w:p>
        </w:tc>
      </w:tr>
      <w:tr w14:paraId="766D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2F2D7BB5">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A0342EA">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8CCE9FE">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AE03221">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0D3B67E7">
            <w:pPr>
              <w:rPr>
                <w:rFonts w:ascii="宋体" w:hAnsi="宋体"/>
                <w:color w:val="auto"/>
                <w:szCs w:val="44"/>
                <w:highlight w:val="none"/>
              </w:rPr>
            </w:pPr>
            <w:r>
              <w:rPr>
                <w:rFonts w:hint="eastAsia" w:ascii="宋体" w:hAnsi="宋体"/>
                <w:color w:val="auto"/>
                <w:szCs w:val="44"/>
                <w:highlight w:val="none"/>
              </w:rPr>
              <w:t>现场布置可行                  1.8-1.6</w:t>
            </w:r>
            <w:r>
              <w:rPr>
                <w:rFonts w:hint="eastAsia" w:ascii="宋体" w:hAnsi="宋体"/>
                <w:bCs/>
                <w:color w:val="auto"/>
                <w:szCs w:val="21"/>
                <w:highlight w:val="none"/>
              </w:rPr>
              <w:t>分</w:t>
            </w:r>
          </w:p>
        </w:tc>
      </w:tr>
      <w:tr w14:paraId="30F2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0F65B2E">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C655CD0">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E1A04D2">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88EDD8C">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22A050EC">
            <w:pPr>
              <w:rPr>
                <w:rFonts w:ascii="宋体" w:hAnsi="宋体"/>
                <w:color w:val="auto"/>
                <w:szCs w:val="44"/>
                <w:highlight w:val="none"/>
              </w:rPr>
            </w:pPr>
            <w:r>
              <w:rPr>
                <w:rFonts w:hint="eastAsia" w:ascii="宋体" w:hAnsi="宋体"/>
                <w:color w:val="auto"/>
                <w:szCs w:val="44"/>
                <w:highlight w:val="none"/>
              </w:rPr>
              <w:t>现场布置基本可行              1.5-1.4</w:t>
            </w:r>
            <w:r>
              <w:rPr>
                <w:rFonts w:hint="eastAsia" w:ascii="宋体" w:hAnsi="宋体"/>
                <w:bCs/>
                <w:color w:val="auto"/>
                <w:szCs w:val="21"/>
                <w:highlight w:val="none"/>
              </w:rPr>
              <w:t>分</w:t>
            </w:r>
          </w:p>
        </w:tc>
      </w:tr>
      <w:tr w14:paraId="7343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682F05C">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38EC60F">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A00A35C">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B6F9B7F">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267BDDBB">
            <w:pPr>
              <w:rPr>
                <w:rFonts w:ascii="宋体" w:hAnsi="宋体"/>
                <w:color w:val="auto"/>
                <w:szCs w:val="44"/>
                <w:highlight w:val="none"/>
              </w:rPr>
            </w:pPr>
            <w:r>
              <w:rPr>
                <w:rFonts w:hint="eastAsia" w:ascii="宋体" w:hAnsi="宋体"/>
                <w:color w:val="auto"/>
                <w:szCs w:val="44"/>
                <w:highlight w:val="none"/>
              </w:rPr>
              <w:t>现场布置不可行                      0</w:t>
            </w:r>
            <w:r>
              <w:rPr>
                <w:rFonts w:hint="eastAsia" w:ascii="宋体" w:hAnsi="宋体"/>
                <w:bCs/>
                <w:color w:val="auto"/>
                <w:szCs w:val="21"/>
                <w:highlight w:val="none"/>
              </w:rPr>
              <w:t>分</w:t>
            </w:r>
          </w:p>
        </w:tc>
      </w:tr>
      <w:tr w14:paraId="51FC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52FD6BA3">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D08E033">
            <w:pPr>
              <w:widowControl/>
              <w:jc w:val="left"/>
              <w:rPr>
                <w:rFonts w:ascii="宋体" w:hAnsi="宋体"/>
                <w:color w:val="auto"/>
                <w:szCs w:val="21"/>
                <w:highlight w:val="none"/>
              </w:rPr>
            </w:pPr>
          </w:p>
        </w:tc>
        <w:tc>
          <w:tcPr>
            <w:tcW w:w="204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58D1011">
            <w:pPr>
              <w:rPr>
                <w:rFonts w:ascii="宋体" w:hAnsi="宋体"/>
                <w:color w:val="auto"/>
                <w:szCs w:val="44"/>
                <w:highlight w:val="none"/>
              </w:rPr>
            </w:pPr>
            <w:r>
              <w:rPr>
                <w:rFonts w:hint="eastAsia" w:ascii="宋体" w:hAnsi="宋体"/>
                <w:color w:val="auto"/>
                <w:szCs w:val="21"/>
                <w:highlight w:val="none"/>
              </w:rPr>
              <w:t>主要施工管理计划</w:t>
            </w:r>
          </w:p>
        </w:tc>
        <w:tc>
          <w:tcPr>
            <w:tcW w:w="73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0BD560F9">
            <w:pPr>
              <w:rPr>
                <w:rFonts w:ascii="宋体" w:hAnsi="宋体"/>
                <w:color w:val="auto"/>
                <w:szCs w:val="44"/>
                <w:highlight w:val="none"/>
              </w:rPr>
            </w:pPr>
            <w:r>
              <w:rPr>
                <w:rFonts w:hint="eastAsia" w:ascii="宋体" w:hAnsi="宋体"/>
                <w:color w:val="auto"/>
                <w:szCs w:val="44"/>
                <w:highlight w:val="none"/>
              </w:rPr>
              <w:t>3</w:t>
            </w:r>
            <w:r>
              <w:rPr>
                <w:rFonts w:hint="eastAsia" w:ascii="宋体" w:hAnsi="宋体"/>
                <w:bCs/>
                <w:color w:val="auto"/>
                <w:szCs w:val="21"/>
                <w:highlight w:val="none"/>
              </w:rPr>
              <w:t>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53762C87">
            <w:pPr>
              <w:rPr>
                <w:rFonts w:ascii="宋体" w:hAnsi="宋体"/>
                <w:color w:val="auto"/>
                <w:szCs w:val="44"/>
                <w:highlight w:val="none"/>
              </w:rPr>
            </w:pPr>
            <w:r>
              <w:rPr>
                <w:rFonts w:hint="eastAsia" w:ascii="宋体" w:hAnsi="宋体"/>
                <w:color w:val="auto"/>
                <w:szCs w:val="44"/>
                <w:highlight w:val="none"/>
              </w:rPr>
              <w:t xml:space="preserve">内容完备，合理、针对性强        </w:t>
            </w:r>
            <w:r>
              <w:rPr>
                <w:rFonts w:hint="eastAsia" w:ascii="宋体" w:hAnsi="宋体"/>
                <w:bCs/>
                <w:color w:val="auto"/>
                <w:szCs w:val="21"/>
                <w:highlight w:val="none"/>
              </w:rPr>
              <w:t>3-2.8分</w:t>
            </w:r>
          </w:p>
        </w:tc>
      </w:tr>
      <w:tr w14:paraId="11D9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0984D5F4">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C8CFD63">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5780290">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FFE6E16">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33F1B48">
            <w:pPr>
              <w:rPr>
                <w:rFonts w:ascii="宋体" w:hAnsi="宋体"/>
                <w:color w:val="auto"/>
                <w:szCs w:val="44"/>
                <w:highlight w:val="none"/>
              </w:rPr>
            </w:pPr>
            <w:r>
              <w:rPr>
                <w:rFonts w:hint="eastAsia" w:ascii="宋体" w:hAnsi="宋体"/>
                <w:color w:val="auto"/>
                <w:szCs w:val="44"/>
                <w:highlight w:val="none"/>
              </w:rPr>
              <w:t xml:space="preserve">内容完备，可行                </w:t>
            </w:r>
            <w:r>
              <w:rPr>
                <w:rFonts w:hint="eastAsia" w:ascii="宋体" w:hAnsi="宋体"/>
                <w:bCs/>
                <w:color w:val="auto"/>
                <w:szCs w:val="21"/>
                <w:highlight w:val="none"/>
              </w:rPr>
              <w:t>2.7-2.4分</w:t>
            </w:r>
          </w:p>
        </w:tc>
      </w:tr>
      <w:tr w14:paraId="6E8F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1BBB3CE9">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0B1A646">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22B9144">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676C1D6">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12558FB">
            <w:pPr>
              <w:rPr>
                <w:rFonts w:ascii="宋体" w:hAnsi="宋体"/>
                <w:color w:val="auto"/>
                <w:szCs w:val="44"/>
                <w:highlight w:val="none"/>
              </w:rPr>
            </w:pPr>
            <w:r>
              <w:rPr>
                <w:rFonts w:hint="eastAsia" w:ascii="宋体" w:hAnsi="宋体"/>
                <w:color w:val="auto"/>
                <w:szCs w:val="44"/>
                <w:highlight w:val="none"/>
              </w:rPr>
              <w:t>内容欠完备，基本可行          2.3-</w:t>
            </w:r>
            <w:r>
              <w:rPr>
                <w:rFonts w:hint="eastAsia" w:ascii="宋体" w:hAnsi="宋体"/>
                <w:bCs/>
                <w:color w:val="auto"/>
                <w:szCs w:val="21"/>
                <w:highlight w:val="none"/>
              </w:rPr>
              <w:t>2.1分</w:t>
            </w:r>
          </w:p>
        </w:tc>
      </w:tr>
      <w:tr w14:paraId="354B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51E5B86">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C4E6482">
            <w:pPr>
              <w:widowControl/>
              <w:jc w:val="left"/>
              <w:rPr>
                <w:rFonts w:ascii="宋体" w:hAnsi="宋体"/>
                <w:color w:val="auto"/>
                <w:szCs w:val="21"/>
                <w:highlight w:val="none"/>
              </w:rPr>
            </w:pPr>
          </w:p>
        </w:tc>
        <w:tc>
          <w:tcPr>
            <w:tcW w:w="204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02F00DB">
            <w:pPr>
              <w:widowControl/>
              <w:jc w:val="left"/>
              <w:rPr>
                <w:rFonts w:ascii="宋体" w:hAnsi="宋体"/>
                <w:color w:val="auto"/>
                <w:szCs w:val="44"/>
                <w:highlight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BF18F62">
            <w:pPr>
              <w:widowControl/>
              <w:jc w:val="left"/>
              <w:rPr>
                <w:rFonts w:ascii="宋体" w:hAnsi="宋体"/>
                <w:color w:val="auto"/>
                <w:szCs w:val="44"/>
                <w:highlight w:val="none"/>
              </w:rPr>
            </w:pP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588806F">
            <w:pPr>
              <w:rPr>
                <w:rFonts w:ascii="宋体" w:hAnsi="宋体"/>
                <w:color w:val="auto"/>
                <w:szCs w:val="44"/>
                <w:highlight w:val="none"/>
              </w:rPr>
            </w:pPr>
            <w:r>
              <w:rPr>
                <w:rFonts w:hint="eastAsia" w:ascii="宋体" w:hAnsi="宋体"/>
                <w:color w:val="auto"/>
                <w:szCs w:val="44"/>
                <w:highlight w:val="none"/>
              </w:rPr>
              <w:t xml:space="preserve">不可行                              </w:t>
            </w:r>
            <w:r>
              <w:rPr>
                <w:rFonts w:hint="eastAsia" w:ascii="宋体" w:hAnsi="宋体"/>
                <w:bCs/>
                <w:color w:val="auto"/>
                <w:szCs w:val="21"/>
                <w:highlight w:val="none"/>
              </w:rPr>
              <w:t>0分</w:t>
            </w:r>
          </w:p>
        </w:tc>
      </w:tr>
      <w:tr w14:paraId="6776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741" w:type="dxa"/>
            <w:vMerge w:val="restart"/>
            <w:tcBorders>
              <w:top w:val="single" w:color="auto" w:sz="4" w:space="0"/>
              <w:left w:val="single" w:color="auto" w:sz="4" w:space="0"/>
              <w:bottom w:val="single" w:color="auto" w:sz="4" w:space="0"/>
              <w:right w:val="single" w:color="auto" w:sz="4" w:space="0"/>
            </w:tcBorders>
            <w:noWrap w:val="0"/>
            <w:vAlign w:val="center"/>
          </w:tcPr>
          <w:p w14:paraId="3ABD2712">
            <w:pPr>
              <w:spacing w:line="440" w:lineRule="exact"/>
              <w:jc w:val="center"/>
              <w:rPr>
                <w:color w:val="auto"/>
                <w:szCs w:val="21"/>
                <w:highlight w:val="none"/>
              </w:rPr>
            </w:pPr>
            <w:r>
              <w:rPr>
                <w:color w:val="auto"/>
                <w:szCs w:val="21"/>
                <w:highlight w:val="none"/>
              </w:rPr>
              <w:t>2.2.4</w:t>
            </w:r>
          </w:p>
          <w:p w14:paraId="1B2B8D34">
            <w:pPr>
              <w:spacing w:line="440" w:lineRule="exact"/>
              <w:jc w:val="center"/>
              <w:rPr>
                <w:rFonts w:ascii="宋体" w:hAnsi="宋体"/>
                <w:color w:val="auto"/>
                <w:szCs w:val="21"/>
                <w:highlight w:val="none"/>
              </w:rPr>
            </w:pPr>
            <w:r>
              <w:rPr>
                <w:color w:val="auto"/>
                <w:szCs w:val="21"/>
                <w:highlight w:val="none"/>
              </w:rPr>
              <w:t>(3)</w:t>
            </w:r>
          </w:p>
        </w:tc>
        <w:tc>
          <w:tcPr>
            <w:tcW w:w="110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EB4FF75">
            <w:pPr>
              <w:jc w:val="center"/>
              <w:rPr>
                <w:rFonts w:ascii="宋体" w:hAnsi="宋体"/>
                <w:color w:val="auto"/>
                <w:szCs w:val="21"/>
                <w:highlight w:val="none"/>
              </w:rPr>
            </w:pPr>
            <w:r>
              <w:rPr>
                <w:rFonts w:hint="eastAsia" w:ascii="宋体" w:hAnsi="宋体"/>
                <w:color w:val="auto"/>
                <w:szCs w:val="21"/>
                <w:highlight w:val="none"/>
              </w:rPr>
              <w:t>项目管理</w:t>
            </w:r>
          </w:p>
          <w:p w14:paraId="195D7FA1">
            <w:pPr>
              <w:jc w:val="center"/>
              <w:rPr>
                <w:rFonts w:hint="eastAsia" w:ascii="宋体" w:hAnsi="宋体"/>
                <w:color w:val="auto"/>
                <w:szCs w:val="21"/>
                <w:highlight w:val="none"/>
              </w:rPr>
            </w:pPr>
            <w:r>
              <w:rPr>
                <w:rFonts w:hint="eastAsia" w:ascii="宋体" w:hAnsi="宋体"/>
                <w:color w:val="auto"/>
                <w:szCs w:val="21"/>
                <w:highlight w:val="none"/>
              </w:rPr>
              <w:t>机构评分</w:t>
            </w:r>
          </w:p>
          <w:p w14:paraId="0C8A5A9A">
            <w:pPr>
              <w:jc w:val="center"/>
              <w:rPr>
                <w:rFonts w:ascii="宋体" w:hAnsi="宋体"/>
                <w:color w:val="auto"/>
                <w:szCs w:val="21"/>
                <w:highlight w:val="none"/>
              </w:rPr>
            </w:pPr>
            <w:r>
              <w:rPr>
                <w:rFonts w:hint="eastAsia" w:ascii="宋体" w:hAnsi="宋体"/>
                <w:color w:val="auto"/>
                <w:szCs w:val="21"/>
                <w:highlight w:val="none"/>
              </w:rPr>
              <w:t>标   准</w:t>
            </w:r>
          </w:p>
        </w:tc>
        <w:tc>
          <w:tcPr>
            <w:tcW w:w="1397" w:type="dxa"/>
            <w:vMerge w:val="restart"/>
            <w:tcBorders>
              <w:top w:val="single" w:color="auto" w:sz="4" w:space="0"/>
              <w:left w:val="single" w:color="auto" w:sz="4" w:space="0"/>
              <w:bottom w:val="single" w:color="auto" w:sz="4" w:space="0"/>
              <w:right w:val="single" w:color="auto" w:sz="4" w:space="0"/>
            </w:tcBorders>
            <w:noWrap w:val="0"/>
            <w:vAlign w:val="center"/>
          </w:tcPr>
          <w:p w14:paraId="584F75B6">
            <w:pPr>
              <w:rPr>
                <w:rFonts w:ascii="宋体" w:hAnsi="宋体"/>
                <w:color w:val="auto"/>
                <w:szCs w:val="21"/>
                <w:highlight w:val="none"/>
              </w:rPr>
            </w:pPr>
            <w:r>
              <w:rPr>
                <w:rFonts w:hint="eastAsia" w:ascii="宋体" w:hAnsi="宋体"/>
                <w:color w:val="auto"/>
                <w:szCs w:val="21"/>
                <w:highlight w:val="none"/>
              </w:rPr>
              <w:t>项目经理</w:t>
            </w:r>
          </w:p>
          <w:p w14:paraId="250B9929">
            <w:pPr>
              <w:rPr>
                <w:rFonts w:ascii="宋体" w:hAnsi="宋体"/>
                <w:color w:val="auto"/>
                <w:szCs w:val="21"/>
                <w:highlight w:val="none"/>
              </w:rPr>
            </w:pPr>
            <w:r>
              <w:rPr>
                <w:rFonts w:hint="eastAsia" w:ascii="宋体" w:hAnsi="宋体"/>
                <w:color w:val="auto"/>
                <w:szCs w:val="21"/>
                <w:highlight w:val="none"/>
              </w:rPr>
              <w:t>资格与业绩</w:t>
            </w:r>
          </w:p>
        </w:tc>
        <w:tc>
          <w:tcPr>
            <w:tcW w:w="645" w:type="dxa"/>
            <w:tcBorders>
              <w:top w:val="single" w:color="auto" w:sz="4" w:space="0"/>
              <w:left w:val="single" w:color="auto" w:sz="4" w:space="0"/>
              <w:bottom w:val="single" w:color="auto" w:sz="4" w:space="0"/>
              <w:right w:val="single" w:color="auto" w:sz="4" w:space="0"/>
            </w:tcBorders>
            <w:noWrap w:val="0"/>
            <w:vAlign w:val="center"/>
          </w:tcPr>
          <w:p w14:paraId="40F63C7C">
            <w:pPr>
              <w:rPr>
                <w:rFonts w:ascii="宋体" w:hAnsi="宋体"/>
                <w:color w:val="auto"/>
                <w:szCs w:val="21"/>
                <w:highlight w:val="none"/>
              </w:rPr>
            </w:pPr>
            <w:r>
              <w:rPr>
                <w:rFonts w:hint="eastAsia" w:ascii="宋体" w:hAnsi="宋体"/>
                <w:color w:val="auto"/>
                <w:szCs w:val="44"/>
                <w:highlight w:val="none"/>
              </w:rPr>
              <w:t>职称</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538EB532">
            <w:pPr>
              <w:jc w:val="center"/>
              <w:rPr>
                <w:rFonts w:ascii="宋体" w:hAnsi="宋体"/>
                <w:color w:val="auto"/>
                <w:szCs w:val="21"/>
                <w:highlight w:val="none"/>
              </w:rPr>
            </w:pPr>
            <w:r>
              <w:rPr>
                <w:rFonts w:hint="eastAsia" w:ascii="宋体" w:hAnsi="宋体"/>
                <w:color w:val="auto"/>
                <w:szCs w:val="44"/>
                <w:highlight w:val="none"/>
              </w:rPr>
              <w:t>1分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1F696F57">
            <w:pPr>
              <w:rPr>
                <w:rFonts w:ascii="宋体" w:hAnsi="宋体"/>
                <w:color w:val="auto"/>
                <w:szCs w:val="21"/>
                <w:highlight w:val="none"/>
              </w:rPr>
            </w:pPr>
            <w:r>
              <w:rPr>
                <w:rFonts w:hint="eastAsia" w:ascii="宋体" w:hAnsi="宋体"/>
                <w:color w:val="auto"/>
                <w:szCs w:val="21"/>
                <w:highlight w:val="none"/>
              </w:rPr>
              <w:t>相关专业中级及以上职称（工程师）    1分</w:t>
            </w:r>
          </w:p>
          <w:p w14:paraId="53D17B98">
            <w:pPr>
              <w:rPr>
                <w:rFonts w:hint="eastAsia" w:ascii="宋体" w:hAnsi="宋体"/>
                <w:color w:val="auto"/>
                <w:szCs w:val="21"/>
                <w:highlight w:val="none"/>
              </w:rPr>
            </w:pPr>
            <w:r>
              <w:rPr>
                <w:rFonts w:hint="eastAsia" w:ascii="宋体" w:hAnsi="宋体"/>
                <w:color w:val="auto"/>
                <w:szCs w:val="21"/>
                <w:highlight w:val="none"/>
              </w:rPr>
              <w:t>相关专业初级职称（助理工程师）    0.8分</w:t>
            </w:r>
          </w:p>
          <w:p w14:paraId="26BBD168">
            <w:pPr>
              <w:rPr>
                <w:rFonts w:ascii="宋体" w:hAnsi="宋体"/>
                <w:color w:val="auto"/>
                <w:szCs w:val="21"/>
                <w:highlight w:val="none"/>
              </w:rPr>
            </w:pPr>
            <w:r>
              <w:rPr>
                <w:rFonts w:hint="eastAsia" w:ascii="宋体" w:hAnsi="宋体"/>
                <w:color w:val="auto"/>
                <w:szCs w:val="21"/>
                <w:highlight w:val="none"/>
              </w:rPr>
              <w:t>其他                                0分</w:t>
            </w:r>
          </w:p>
        </w:tc>
      </w:tr>
      <w:tr w14:paraId="30AFC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30F79D52">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ED1E4C8">
            <w:pPr>
              <w:widowControl/>
              <w:jc w:val="left"/>
              <w:rPr>
                <w:rFonts w:ascii="宋体" w:hAnsi="宋体"/>
                <w:color w:val="auto"/>
                <w:szCs w:val="21"/>
                <w:highlight w:val="none"/>
              </w:rPr>
            </w:pPr>
          </w:p>
        </w:tc>
        <w:tc>
          <w:tcPr>
            <w:tcW w:w="1397" w:type="dxa"/>
            <w:vMerge w:val="continue"/>
            <w:tcBorders>
              <w:top w:val="single" w:color="auto" w:sz="4" w:space="0"/>
              <w:left w:val="single" w:color="auto" w:sz="4" w:space="0"/>
              <w:bottom w:val="single" w:color="auto" w:sz="4" w:space="0"/>
              <w:right w:val="single" w:color="auto" w:sz="4" w:space="0"/>
            </w:tcBorders>
            <w:noWrap w:val="0"/>
            <w:vAlign w:val="center"/>
          </w:tcPr>
          <w:p w14:paraId="3751CE09">
            <w:pPr>
              <w:widowControl/>
              <w:jc w:val="left"/>
              <w:rPr>
                <w:rFonts w:ascii="宋体" w:hAnsi="宋体"/>
                <w:color w:val="auto"/>
                <w:szCs w:val="21"/>
                <w:highlight w:val="none"/>
              </w:rPr>
            </w:pPr>
          </w:p>
        </w:tc>
        <w:tc>
          <w:tcPr>
            <w:tcW w:w="645" w:type="dxa"/>
            <w:tcBorders>
              <w:top w:val="single" w:color="auto" w:sz="4" w:space="0"/>
              <w:left w:val="single" w:color="auto" w:sz="4" w:space="0"/>
              <w:bottom w:val="single" w:color="auto" w:sz="4" w:space="0"/>
              <w:right w:val="single" w:color="auto" w:sz="4" w:space="0"/>
            </w:tcBorders>
            <w:noWrap w:val="0"/>
            <w:vAlign w:val="center"/>
          </w:tcPr>
          <w:p w14:paraId="0D5E0064">
            <w:pPr>
              <w:rPr>
                <w:rFonts w:ascii="宋体" w:hAnsi="宋体"/>
                <w:color w:val="auto"/>
                <w:szCs w:val="21"/>
                <w:highlight w:val="none"/>
              </w:rPr>
            </w:pPr>
            <w:r>
              <w:rPr>
                <w:rFonts w:hint="eastAsia" w:ascii="宋体" w:hAnsi="宋体"/>
                <w:color w:val="auto"/>
                <w:szCs w:val="21"/>
                <w:highlight w:val="none"/>
              </w:rPr>
              <w:t>类似项目业绩</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706A900F">
            <w:pPr>
              <w:jc w:val="center"/>
              <w:rPr>
                <w:rFonts w:ascii="宋体" w:hAnsi="宋体"/>
                <w:color w:val="auto"/>
                <w:szCs w:val="44"/>
                <w:highlight w:val="none"/>
              </w:rPr>
            </w:pPr>
            <w:r>
              <w:rPr>
                <w:rFonts w:hint="eastAsia" w:ascii="宋体" w:hAnsi="宋体"/>
                <w:color w:val="auto"/>
                <w:szCs w:val="44"/>
                <w:highlight w:val="none"/>
              </w:rPr>
              <w:t>1分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121CA6DF">
            <w:pPr>
              <w:rPr>
                <w:rFonts w:ascii="宋体" w:hAnsi="宋体"/>
                <w:color w:val="auto"/>
                <w:szCs w:val="21"/>
                <w:highlight w:val="none"/>
              </w:rPr>
            </w:pPr>
            <w:r>
              <w:rPr>
                <w:rFonts w:hint="eastAsia" w:ascii="宋体" w:hAnsi="宋体"/>
                <w:color w:val="auto"/>
                <w:szCs w:val="21"/>
                <w:highlight w:val="none"/>
              </w:rPr>
              <w:t>以项目经理身份主持过1个类似项目    1分</w:t>
            </w:r>
          </w:p>
        </w:tc>
      </w:tr>
      <w:tr w14:paraId="39A7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0E0ECA06">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AB57EA3">
            <w:pPr>
              <w:widowControl/>
              <w:jc w:val="left"/>
              <w:rPr>
                <w:rFonts w:ascii="宋体" w:hAnsi="宋体"/>
                <w:color w:val="auto"/>
                <w:szCs w:val="21"/>
                <w:highlight w:val="none"/>
              </w:rPr>
            </w:pPr>
          </w:p>
        </w:tc>
        <w:tc>
          <w:tcPr>
            <w:tcW w:w="1397" w:type="dxa"/>
            <w:vMerge w:val="restart"/>
            <w:tcBorders>
              <w:top w:val="single" w:color="auto" w:sz="4" w:space="0"/>
              <w:left w:val="single" w:color="auto" w:sz="4" w:space="0"/>
              <w:bottom w:val="single" w:color="auto" w:sz="4" w:space="0"/>
              <w:right w:val="single" w:color="auto" w:sz="4" w:space="0"/>
            </w:tcBorders>
            <w:noWrap w:val="0"/>
            <w:vAlign w:val="center"/>
          </w:tcPr>
          <w:p w14:paraId="41B0C3BF">
            <w:pPr>
              <w:rPr>
                <w:rFonts w:ascii="宋体" w:hAnsi="宋体"/>
                <w:color w:val="auto"/>
                <w:szCs w:val="21"/>
                <w:highlight w:val="none"/>
              </w:rPr>
            </w:pPr>
            <w:r>
              <w:rPr>
                <w:rFonts w:hint="eastAsia" w:ascii="宋体" w:hAnsi="宋体"/>
                <w:color w:val="auto"/>
                <w:szCs w:val="21"/>
                <w:highlight w:val="none"/>
              </w:rPr>
              <w:t>技术负责人</w:t>
            </w:r>
          </w:p>
          <w:p w14:paraId="25D1C927">
            <w:pPr>
              <w:rPr>
                <w:rFonts w:ascii="宋体" w:hAnsi="宋体"/>
                <w:color w:val="auto"/>
                <w:szCs w:val="21"/>
                <w:highlight w:val="none"/>
              </w:rPr>
            </w:pPr>
            <w:r>
              <w:rPr>
                <w:rFonts w:hint="eastAsia" w:ascii="宋体" w:hAnsi="宋体"/>
                <w:color w:val="auto"/>
                <w:szCs w:val="21"/>
                <w:highlight w:val="none"/>
              </w:rPr>
              <w:t>资格与业绩</w:t>
            </w:r>
          </w:p>
        </w:tc>
        <w:tc>
          <w:tcPr>
            <w:tcW w:w="645" w:type="dxa"/>
            <w:tcBorders>
              <w:top w:val="single" w:color="auto" w:sz="4" w:space="0"/>
              <w:left w:val="single" w:color="auto" w:sz="4" w:space="0"/>
              <w:bottom w:val="single" w:color="auto" w:sz="4" w:space="0"/>
              <w:right w:val="single" w:color="auto" w:sz="4" w:space="0"/>
            </w:tcBorders>
            <w:noWrap w:val="0"/>
            <w:vAlign w:val="center"/>
          </w:tcPr>
          <w:p w14:paraId="7BA6DE0D">
            <w:pPr>
              <w:rPr>
                <w:rFonts w:ascii="宋体" w:hAnsi="宋体"/>
                <w:color w:val="auto"/>
                <w:szCs w:val="21"/>
                <w:highlight w:val="none"/>
              </w:rPr>
            </w:pPr>
            <w:r>
              <w:rPr>
                <w:rFonts w:hint="eastAsia" w:ascii="宋体" w:hAnsi="宋体"/>
                <w:color w:val="auto"/>
                <w:szCs w:val="44"/>
                <w:highlight w:val="none"/>
              </w:rPr>
              <w:t>职称</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47AF9996">
            <w:pPr>
              <w:jc w:val="center"/>
              <w:rPr>
                <w:rFonts w:ascii="宋体" w:hAnsi="宋体"/>
                <w:color w:val="auto"/>
                <w:szCs w:val="21"/>
                <w:highlight w:val="none"/>
              </w:rPr>
            </w:pPr>
            <w:r>
              <w:rPr>
                <w:rFonts w:hint="eastAsia" w:ascii="宋体" w:hAnsi="宋体"/>
                <w:color w:val="auto"/>
                <w:szCs w:val="44"/>
                <w:highlight w:val="none"/>
              </w:rPr>
              <w:t>1分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F4D1E58">
            <w:pPr>
              <w:rPr>
                <w:rFonts w:ascii="宋体" w:hAnsi="宋体"/>
                <w:color w:val="auto"/>
                <w:szCs w:val="21"/>
                <w:highlight w:val="none"/>
              </w:rPr>
            </w:pPr>
            <w:r>
              <w:rPr>
                <w:rFonts w:hint="eastAsia" w:ascii="宋体" w:hAnsi="宋体"/>
                <w:color w:val="auto"/>
                <w:szCs w:val="21"/>
                <w:highlight w:val="none"/>
              </w:rPr>
              <w:t>相关专业中级及以上职称（工程师）    1分</w:t>
            </w:r>
          </w:p>
          <w:p w14:paraId="0F4B6138">
            <w:pPr>
              <w:rPr>
                <w:rFonts w:hint="eastAsia" w:ascii="宋体" w:hAnsi="宋体"/>
                <w:color w:val="auto"/>
                <w:szCs w:val="21"/>
                <w:highlight w:val="none"/>
              </w:rPr>
            </w:pPr>
            <w:r>
              <w:rPr>
                <w:rFonts w:hint="eastAsia" w:ascii="宋体" w:hAnsi="宋体"/>
                <w:color w:val="auto"/>
                <w:szCs w:val="21"/>
                <w:highlight w:val="none"/>
              </w:rPr>
              <w:t>相关专业初级职称（助理工程师）    0.8分</w:t>
            </w:r>
          </w:p>
          <w:p w14:paraId="0CC076A3">
            <w:pPr>
              <w:rPr>
                <w:rFonts w:ascii="宋体" w:hAnsi="宋体"/>
                <w:color w:val="auto"/>
                <w:szCs w:val="21"/>
                <w:highlight w:val="none"/>
              </w:rPr>
            </w:pPr>
            <w:r>
              <w:rPr>
                <w:rFonts w:hint="eastAsia" w:ascii="宋体" w:hAnsi="宋体"/>
                <w:color w:val="auto"/>
                <w:szCs w:val="21"/>
                <w:highlight w:val="none"/>
              </w:rPr>
              <w:t>其他                                0分</w:t>
            </w:r>
          </w:p>
        </w:tc>
      </w:tr>
      <w:tr w14:paraId="5773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75B39B5E">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7AEDD3E">
            <w:pPr>
              <w:widowControl/>
              <w:jc w:val="left"/>
              <w:rPr>
                <w:rFonts w:ascii="宋体" w:hAnsi="宋体"/>
                <w:color w:val="auto"/>
                <w:szCs w:val="21"/>
                <w:highlight w:val="none"/>
              </w:rPr>
            </w:pPr>
          </w:p>
        </w:tc>
        <w:tc>
          <w:tcPr>
            <w:tcW w:w="1397" w:type="dxa"/>
            <w:vMerge w:val="continue"/>
            <w:tcBorders>
              <w:top w:val="single" w:color="auto" w:sz="4" w:space="0"/>
              <w:left w:val="single" w:color="auto" w:sz="4" w:space="0"/>
              <w:bottom w:val="single" w:color="auto" w:sz="4" w:space="0"/>
              <w:right w:val="single" w:color="auto" w:sz="4" w:space="0"/>
            </w:tcBorders>
            <w:noWrap w:val="0"/>
            <w:vAlign w:val="center"/>
          </w:tcPr>
          <w:p w14:paraId="6A1C4C8D">
            <w:pPr>
              <w:widowControl/>
              <w:jc w:val="left"/>
              <w:rPr>
                <w:rFonts w:ascii="宋体" w:hAnsi="宋体"/>
                <w:color w:val="auto"/>
                <w:szCs w:val="21"/>
                <w:highlight w:val="none"/>
              </w:rPr>
            </w:pPr>
          </w:p>
        </w:tc>
        <w:tc>
          <w:tcPr>
            <w:tcW w:w="645" w:type="dxa"/>
            <w:tcBorders>
              <w:top w:val="single" w:color="auto" w:sz="4" w:space="0"/>
              <w:left w:val="single" w:color="auto" w:sz="4" w:space="0"/>
              <w:bottom w:val="single" w:color="auto" w:sz="4" w:space="0"/>
              <w:right w:val="single" w:color="auto" w:sz="4" w:space="0"/>
            </w:tcBorders>
            <w:noWrap w:val="0"/>
            <w:vAlign w:val="center"/>
          </w:tcPr>
          <w:p w14:paraId="546E4C6B">
            <w:pPr>
              <w:rPr>
                <w:rFonts w:ascii="宋体" w:hAnsi="宋体"/>
                <w:color w:val="auto"/>
                <w:szCs w:val="21"/>
                <w:highlight w:val="none"/>
              </w:rPr>
            </w:pPr>
            <w:r>
              <w:rPr>
                <w:rFonts w:hint="eastAsia" w:ascii="宋体" w:hAnsi="宋体"/>
                <w:color w:val="auto"/>
                <w:szCs w:val="21"/>
                <w:highlight w:val="none"/>
              </w:rPr>
              <w:t>从事专业工作年限</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6DE7A4BD">
            <w:pPr>
              <w:jc w:val="center"/>
              <w:rPr>
                <w:rFonts w:ascii="宋体" w:hAnsi="宋体"/>
                <w:color w:val="auto"/>
                <w:szCs w:val="21"/>
                <w:highlight w:val="none"/>
              </w:rPr>
            </w:pPr>
            <w:r>
              <w:rPr>
                <w:rFonts w:hint="eastAsia" w:ascii="宋体" w:hAnsi="宋体"/>
                <w:color w:val="auto"/>
                <w:szCs w:val="44"/>
                <w:highlight w:val="none"/>
              </w:rPr>
              <w:t>1分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693B3176">
            <w:pPr>
              <w:rPr>
                <w:rFonts w:ascii="宋体" w:hAnsi="宋体"/>
                <w:color w:val="auto"/>
                <w:szCs w:val="21"/>
                <w:highlight w:val="none"/>
              </w:rPr>
            </w:pPr>
            <w:r>
              <w:rPr>
                <w:rFonts w:hint="eastAsia" w:ascii="宋体" w:hAnsi="宋体"/>
                <w:color w:val="auto"/>
                <w:szCs w:val="44"/>
                <w:highlight w:val="none"/>
              </w:rPr>
              <w:t>10年及以上                         1</w:t>
            </w:r>
            <w:r>
              <w:rPr>
                <w:rFonts w:hint="eastAsia" w:ascii="宋体" w:hAnsi="宋体"/>
                <w:color w:val="auto"/>
                <w:szCs w:val="21"/>
                <w:highlight w:val="none"/>
              </w:rPr>
              <w:t>分</w:t>
            </w:r>
          </w:p>
          <w:p w14:paraId="12EDEF75">
            <w:pPr>
              <w:rPr>
                <w:rFonts w:hint="eastAsia" w:ascii="宋体" w:hAnsi="宋体"/>
                <w:color w:val="auto"/>
                <w:szCs w:val="21"/>
                <w:highlight w:val="none"/>
              </w:rPr>
            </w:pPr>
            <w:r>
              <w:rPr>
                <w:rFonts w:hint="eastAsia" w:ascii="宋体" w:hAnsi="宋体"/>
                <w:color w:val="auto"/>
                <w:szCs w:val="44"/>
                <w:highlight w:val="none"/>
              </w:rPr>
              <w:t>5年-9年                          0.8</w:t>
            </w:r>
            <w:r>
              <w:rPr>
                <w:rFonts w:hint="eastAsia" w:ascii="宋体" w:hAnsi="宋体"/>
                <w:color w:val="auto"/>
                <w:szCs w:val="21"/>
                <w:highlight w:val="none"/>
              </w:rPr>
              <w:t>分</w:t>
            </w:r>
          </w:p>
          <w:p w14:paraId="7BBED5F3">
            <w:pPr>
              <w:rPr>
                <w:rFonts w:hint="eastAsia" w:ascii="宋体" w:hAnsi="宋体"/>
                <w:color w:val="auto"/>
                <w:szCs w:val="21"/>
                <w:highlight w:val="none"/>
              </w:rPr>
            </w:pPr>
            <w:r>
              <w:rPr>
                <w:rFonts w:hint="eastAsia" w:ascii="宋体" w:hAnsi="宋体"/>
                <w:color w:val="auto"/>
                <w:szCs w:val="44"/>
                <w:highlight w:val="none"/>
              </w:rPr>
              <w:t>4年-2年                          0.6</w:t>
            </w:r>
            <w:r>
              <w:rPr>
                <w:rFonts w:hint="eastAsia" w:ascii="宋体" w:hAnsi="宋体"/>
                <w:color w:val="auto"/>
                <w:szCs w:val="21"/>
                <w:highlight w:val="none"/>
              </w:rPr>
              <w:t>分</w:t>
            </w:r>
          </w:p>
          <w:p w14:paraId="6ECBFE0E">
            <w:pPr>
              <w:rPr>
                <w:rFonts w:ascii="宋体" w:hAnsi="宋体"/>
                <w:color w:val="auto"/>
                <w:szCs w:val="44"/>
                <w:highlight w:val="none"/>
              </w:rPr>
            </w:pPr>
            <w:r>
              <w:rPr>
                <w:rFonts w:hint="eastAsia" w:ascii="宋体" w:hAnsi="宋体"/>
                <w:color w:val="auto"/>
                <w:szCs w:val="44"/>
                <w:highlight w:val="none"/>
              </w:rPr>
              <w:t>不足2年                            0</w:t>
            </w:r>
            <w:r>
              <w:rPr>
                <w:rFonts w:hint="eastAsia" w:ascii="宋体" w:hAnsi="宋体"/>
                <w:color w:val="auto"/>
                <w:szCs w:val="21"/>
                <w:highlight w:val="none"/>
              </w:rPr>
              <w:t>分</w:t>
            </w:r>
          </w:p>
        </w:tc>
      </w:tr>
      <w:tr w14:paraId="2D685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1" w:type="dxa"/>
            <w:vMerge w:val="continue"/>
            <w:tcBorders>
              <w:top w:val="single" w:color="auto" w:sz="4" w:space="0"/>
              <w:left w:val="single" w:color="auto" w:sz="4" w:space="0"/>
              <w:bottom w:val="single" w:color="auto" w:sz="4" w:space="0"/>
              <w:right w:val="single" w:color="auto" w:sz="4" w:space="0"/>
            </w:tcBorders>
            <w:noWrap w:val="0"/>
            <w:vAlign w:val="center"/>
          </w:tcPr>
          <w:p w14:paraId="483BA627">
            <w:pPr>
              <w:widowControl/>
              <w:jc w:val="left"/>
              <w:rPr>
                <w:rFonts w:ascii="宋体" w:hAnsi="宋体"/>
                <w:color w:val="auto"/>
                <w:szCs w:val="21"/>
                <w:highlight w:val="none"/>
              </w:rPr>
            </w:pPr>
          </w:p>
        </w:tc>
        <w:tc>
          <w:tcPr>
            <w:tcW w:w="110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18D3FE2">
            <w:pPr>
              <w:widowControl/>
              <w:jc w:val="left"/>
              <w:rPr>
                <w:rFonts w:ascii="宋体" w:hAnsi="宋体"/>
                <w:color w:val="auto"/>
                <w:szCs w:val="21"/>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169915D3">
            <w:pPr>
              <w:rPr>
                <w:rFonts w:ascii="宋体" w:hAnsi="宋体"/>
                <w:color w:val="auto"/>
                <w:szCs w:val="21"/>
                <w:highlight w:val="none"/>
              </w:rPr>
            </w:pPr>
            <w:r>
              <w:rPr>
                <w:rFonts w:hint="eastAsia" w:ascii="宋体" w:hAnsi="宋体"/>
                <w:color w:val="auto"/>
                <w:szCs w:val="21"/>
                <w:highlight w:val="none"/>
              </w:rPr>
              <w:t>其他主要人员</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307EDE37">
            <w:pPr>
              <w:jc w:val="center"/>
              <w:rPr>
                <w:rFonts w:ascii="宋体" w:hAnsi="宋体"/>
                <w:color w:val="auto"/>
                <w:szCs w:val="44"/>
                <w:highlight w:val="none"/>
              </w:rPr>
            </w:pPr>
            <w:r>
              <w:rPr>
                <w:rFonts w:hint="eastAsia" w:ascii="宋体" w:hAnsi="宋体"/>
                <w:color w:val="auto"/>
                <w:szCs w:val="44"/>
                <w:highlight w:val="none"/>
              </w:rPr>
              <w:t>2分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03C82524">
            <w:pPr>
              <w:rPr>
                <w:rFonts w:ascii="宋体" w:hAnsi="宋体"/>
                <w:color w:val="auto"/>
                <w:szCs w:val="24"/>
                <w:highlight w:val="none"/>
              </w:rPr>
            </w:pPr>
            <w:r>
              <w:rPr>
                <w:rFonts w:hint="eastAsia" w:ascii="宋体" w:hAnsi="宋体"/>
                <w:color w:val="auto"/>
                <w:highlight w:val="none"/>
              </w:rPr>
              <w:t>人员配备合理，满足需要              2分</w:t>
            </w:r>
          </w:p>
          <w:p w14:paraId="5610DD9C">
            <w:pPr>
              <w:rPr>
                <w:rFonts w:hint="eastAsia" w:ascii="宋体" w:hAnsi="宋体"/>
                <w:color w:val="auto"/>
                <w:highlight w:val="none"/>
              </w:rPr>
            </w:pPr>
            <w:r>
              <w:rPr>
                <w:rFonts w:hint="eastAsia" w:ascii="宋体" w:hAnsi="宋体"/>
                <w:color w:val="auto"/>
                <w:highlight w:val="none"/>
              </w:rPr>
              <w:t>人员配备基本合理,基本满足需要     1.6分</w:t>
            </w:r>
          </w:p>
          <w:p w14:paraId="6BCDABE9">
            <w:pPr>
              <w:rPr>
                <w:rFonts w:ascii="宋体" w:hAnsi="宋体"/>
                <w:color w:val="auto"/>
                <w:szCs w:val="24"/>
                <w:highlight w:val="none"/>
              </w:rPr>
            </w:pPr>
            <w:r>
              <w:rPr>
                <w:rFonts w:hint="eastAsia" w:ascii="宋体" w:hAnsi="宋体"/>
                <w:color w:val="auto"/>
                <w:highlight w:val="none"/>
              </w:rPr>
              <w:t>人员配备不合理                      0分</w:t>
            </w:r>
          </w:p>
        </w:tc>
      </w:tr>
      <w:tr w14:paraId="379A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741" w:type="dxa"/>
            <w:vMerge w:val="restart"/>
            <w:tcBorders>
              <w:top w:val="single" w:color="auto" w:sz="4" w:space="0"/>
              <w:left w:val="single" w:color="auto" w:sz="4" w:space="0"/>
              <w:right w:val="single" w:color="auto" w:sz="4" w:space="0"/>
            </w:tcBorders>
            <w:noWrap w:val="0"/>
            <w:vAlign w:val="center"/>
          </w:tcPr>
          <w:p w14:paraId="6EE810E5">
            <w:pPr>
              <w:spacing w:line="440" w:lineRule="exact"/>
              <w:jc w:val="center"/>
              <w:rPr>
                <w:color w:val="auto"/>
                <w:szCs w:val="21"/>
                <w:highlight w:val="none"/>
              </w:rPr>
            </w:pPr>
            <w:r>
              <w:rPr>
                <w:color w:val="auto"/>
                <w:szCs w:val="21"/>
                <w:highlight w:val="none"/>
              </w:rPr>
              <w:t>2.2.4</w:t>
            </w:r>
          </w:p>
          <w:p w14:paraId="4EDFC2FA">
            <w:pPr>
              <w:spacing w:line="440" w:lineRule="exact"/>
              <w:jc w:val="center"/>
              <w:rPr>
                <w:rFonts w:ascii="宋体" w:hAnsi="宋体"/>
                <w:color w:val="auto"/>
                <w:szCs w:val="21"/>
                <w:highlight w:val="none"/>
              </w:rPr>
            </w:pPr>
            <w:r>
              <w:rPr>
                <w:color w:val="auto"/>
                <w:szCs w:val="21"/>
                <w:highlight w:val="none"/>
              </w:rPr>
              <w:t>(4)</w:t>
            </w:r>
          </w:p>
        </w:tc>
        <w:tc>
          <w:tcPr>
            <w:tcW w:w="1102" w:type="dxa"/>
            <w:gridSpan w:val="2"/>
            <w:vMerge w:val="restart"/>
            <w:tcBorders>
              <w:top w:val="single" w:color="auto" w:sz="4" w:space="0"/>
              <w:left w:val="single" w:color="auto" w:sz="4" w:space="0"/>
              <w:right w:val="single" w:color="auto" w:sz="4" w:space="0"/>
            </w:tcBorders>
            <w:noWrap w:val="0"/>
            <w:vAlign w:val="center"/>
          </w:tcPr>
          <w:p w14:paraId="42A33CD5">
            <w:pPr>
              <w:jc w:val="center"/>
              <w:rPr>
                <w:rFonts w:ascii="宋体" w:hAnsi="宋体"/>
                <w:color w:val="auto"/>
                <w:szCs w:val="21"/>
                <w:highlight w:val="none"/>
              </w:rPr>
            </w:pPr>
            <w:r>
              <w:rPr>
                <w:rFonts w:hint="eastAsia" w:ascii="宋体" w:hAnsi="宋体"/>
                <w:color w:val="auto"/>
                <w:szCs w:val="21"/>
                <w:highlight w:val="none"/>
              </w:rPr>
              <w:t>其他因素</w:t>
            </w:r>
          </w:p>
          <w:p w14:paraId="37A0FBAA">
            <w:pPr>
              <w:jc w:val="center"/>
              <w:rPr>
                <w:rFonts w:ascii="宋体" w:hAnsi="宋体"/>
                <w:color w:val="auto"/>
                <w:szCs w:val="21"/>
                <w:highlight w:val="none"/>
              </w:rPr>
            </w:pPr>
            <w:r>
              <w:rPr>
                <w:rFonts w:hint="eastAsia" w:ascii="宋体" w:hAnsi="宋体"/>
                <w:color w:val="auto"/>
                <w:szCs w:val="21"/>
                <w:highlight w:val="none"/>
              </w:rPr>
              <w:t>评分标准</w:t>
            </w: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5EE82D8A">
            <w:pPr>
              <w:jc w:val="left"/>
              <w:rPr>
                <w:color w:val="auto"/>
                <w:szCs w:val="24"/>
                <w:highlight w:val="none"/>
              </w:rPr>
            </w:pPr>
            <w:r>
              <w:rPr>
                <w:rFonts w:hint="eastAsia"/>
                <w:color w:val="auto"/>
                <w:highlight w:val="none"/>
              </w:rPr>
              <w:t>类似项目业绩</w:t>
            </w:r>
          </w:p>
        </w:tc>
        <w:tc>
          <w:tcPr>
            <w:tcW w:w="735" w:type="dxa"/>
            <w:gridSpan w:val="2"/>
            <w:tcBorders>
              <w:top w:val="single" w:color="auto" w:sz="4" w:space="0"/>
              <w:left w:val="single" w:color="auto" w:sz="4" w:space="0"/>
              <w:bottom w:val="single" w:color="auto" w:sz="4" w:space="0"/>
              <w:right w:val="single" w:color="auto" w:sz="4" w:space="0"/>
            </w:tcBorders>
            <w:noWrap w:val="0"/>
            <w:vAlign w:val="center"/>
          </w:tcPr>
          <w:p w14:paraId="1249435F">
            <w:pPr>
              <w:jc w:val="center"/>
              <w:rPr>
                <w:rFonts w:ascii="宋体" w:hAnsi="宋体"/>
                <w:color w:val="auto"/>
                <w:szCs w:val="44"/>
                <w:highlight w:val="none"/>
              </w:rPr>
            </w:pPr>
            <w:r>
              <w:rPr>
                <w:rFonts w:hint="eastAsia" w:ascii="宋体" w:hAnsi="宋体"/>
                <w:color w:val="auto"/>
                <w:szCs w:val="44"/>
                <w:highlight w:val="none"/>
              </w:rPr>
              <w:t>5分</w:t>
            </w:r>
          </w:p>
        </w:tc>
        <w:tc>
          <w:tcPr>
            <w:tcW w:w="4560" w:type="dxa"/>
            <w:tcBorders>
              <w:top w:val="single" w:color="auto" w:sz="4" w:space="0"/>
              <w:left w:val="single" w:color="auto" w:sz="4" w:space="0"/>
              <w:bottom w:val="single" w:color="auto" w:sz="4" w:space="0"/>
              <w:right w:val="single" w:color="auto" w:sz="4" w:space="0"/>
            </w:tcBorders>
            <w:noWrap w:val="0"/>
            <w:vAlign w:val="center"/>
          </w:tcPr>
          <w:p w14:paraId="3E5810B6">
            <w:pPr>
              <w:rPr>
                <w:rFonts w:ascii="宋体" w:hAnsi="宋体"/>
                <w:color w:val="auto"/>
                <w:szCs w:val="21"/>
                <w:highlight w:val="none"/>
              </w:rPr>
            </w:pPr>
            <w:r>
              <w:rPr>
                <w:rFonts w:hint="eastAsia" w:ascii="宋体" w:hAnsi="宋体"/>
                <w:color w:val="auto"/>
                <w:highlight w:val="none"/>
              </w:rPr>
              <w:t>近5年</w:t>
            </w:r>
            <w:r>
              <w:rPr>
                <w:rFonts w:hint="eastAsia" w:ascii="宋体" w:hAnsi="宋体"/>
                <w:color w:val="auto"/>
                <w:szCs w:val="21"/>
                <w:highlight w:val="none"/>
              </w:rPr>
              <w:t>有1个类似项目业绩            2分</w:t>
            </w:r>
          </w:p>
          <w:p w14:paraId="28F0F4F0">
            <w:pPr>
              <w:rPr>
                <w:rFonts w:hint="eastAsia" w:ascii="宋体" w:hAnsi="宋体"/>
                <w:color w:val="auto"/>
                <w:szCs w:val="21"/>
                <w:highlight w:val="none"/>
              </w:rPr>
            </w:pPr>
            <w:r>
              <w:rPr>
                <w:rFonts w:hint="eastAsia" w:ascii="宋体" w:hAnsi="宋体"/>
                <w:color w:val="auto"/>
                <w:highlight w:val="none"/>
              </w:rPr>
              <w:t>近5年</w:t>
            </w:r>
            <w:r>
              <w:rPr>
                <w:rFonts w:hint="eastAsia" w:ascii="宋体" w:hAnsi="宋体"/>
                <w:color w:val="auto"/>
                <w:szCs w:val="21"/>
                <w:highlight w:val="none"/>
              </w:rPr>
              <w:t>有2个类似项目业绩          3.5分</w:t>
            </w:r>
          </w:p>
          <w:p w14:paraId="1FA6CD09">
            <w:pPr>
              <w:rPr>
                <w:rFonts w:ascii="宋体" w:hAnsi="宋体"/>
                <w:color w:val="auto"/>
                <w:szCs w:val="21"/>
                <w:highlight w:val="none"/>
              </w:rPr>
            </w:pPr>
            <w:r>
              <w:rPr>
                <w:rFonts w:hint="eastAsia" w:ascii="宋体" w:hAnsi="宋体"/>
                <w:color w:val="auto"/>
                <w:highlight w:val="none"/>
              </w:rPr>
              <w:t>近5年</w:t>
            </w:r>
            <w:r>
              <w:rPr>
                <w:rFonts w:hint="eastAsia" w:ascii="宋体" w:hAnsi="宋体"/>
                <w:color w:val="auto"/>
                <w:szCs w:val="21"/>
                <w:highlight w:val="none"/>
              </w:rPr>
              <w:t>有3个类似项目业绩            5分</w:t>
            </w:r>
          </w:p>
        </w:tc>
      </w:tr>
      <w:tr w14:paraId="456F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41" w:type="dxa"/>
            <w:vMerge w:val="continue"/>
            <w:tcBorders>
              <w:left w:val="single" w:color="auto" w:sz="4" w:space="0"/>
              <w:right w:val="single" w:color="auto" w:sz="4" w:space="0"/>
            </w:tcBorders>
            <w:noWrap w:val="0"/>
            <w:vAlign w:val="center"/>
          </w:tcPr>
          <w:p w14:paraId="3F8CA551">
            <w:pPr>
              <w:widowControl/>
              <w:jc w:val="left"/>
              <w:rPr>
                <w:rFonts w:ascii="宋体" w:hAnsi="宋体"/>
                <w:color w:val="auto"/>
                <w:szCs w:val="21"/>
                <w:highlight w:val="none"/>
              </w:rPr>
            </w:pPr>
          </w:p>
        </w:tc>
        <w:tc>
          <w:tcPr>
            <w:tcW w:w="1102" w:type="dxa"/>
            <w:gridSpan w:val="2"/>
            <w:vMerge w:val="continue"/>
            <w:tcBorders>
              <w:left w:val="single" w:color="auto" w:sz="4" w:space="0"/>
              <w:right w:val="single" w:color="auto" w:sz="4" w:space="0"/>
            </w:tcBorders>
            <w:noWrap w:val="0"/>
            <w:vAlign w:val="center"/>
          </w:tcPr>
          <w:p w14:paraId="1E19E8D7">
            <w:pPr>
              <w:widowControl/>
              <w:jc w:val="left"/>
              <w:rPr>
                <w:rFonts w:ascii="宋体" w:hAnsi="宋体"/>
                <w:color w:val="auto"/>
                <w:szCs w:val="21"/>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62B790E6">
            <w:pPr>
              <w:spacing w:line="440" w:lineRule="exact"/>
              <w:rPr>
                <w:rFonts w:ascii="宋体" w:hAnsi="宋体"/>
                <w:color w:val="auto"/>
                <w:szCs w:val="21"/>
                <w:highlight w:val="none"/>
              </w:rPr>
            </w:pPr>
            <w:r>
              <w:rPr>
                <w:rFonts w:hint="eastAsia" w:ascii="宋体" w:hAnsi="宋体"/>
                <w:color w:val="auto"/>
                <w:szCs w:val="21"/>
                <w:highlight w:val="none"/>
              </w:rPr>
              <w:t>企业信用</w:t>
            </w:r>
          </w:p>
          <w:p w14:paraId="038E1C28">
            <w:pPr>
              <w:spacing w:line="440" w:lineRule="exact"/>
              <w:jc w:val="left"/>
              <w:rPr>
                <w:color w:val="auto"/>
                <w:szCs w:val="21"/>
                <w:highlight w:val="none"/>
              </w:rPr>
            </w:pPr>
          </w:p>
        </w:tc>
        <w:tc>
          <w:tcPr>
            <w:tcW w:w="735" w:type="dxa"/>
            <w:gridSpan w:val="2"/>
            <w:tcBorders>
              <w:top w:val="single" w:color="auto" w:sz="4" w:space="0"/>
              <w:left w:val="single" w:color="auto" w:sz="4" w:space="0"/>
              <w:right w:val="single" w:color="auto" w:sz="4" w:space="0"/>
            </w:tcBorders>
            <w:noWrap w:val="0"/>
            <w:vAlign w:val="center"/>
          </w:tcPr>
          <w:p w14:paraId="04E5ED9B">
            <w:pPr>
              <w:jc w:val="center"/>
              <w:rPr>
                <w:rFonts w:ascii="宋体" w:hAnsi="宋体"/>
                <w:color w:val="auto"/>
                <w:szCs w:val="44"/>
                <w:highlight w:val="none"/>
              </w:rPr>
            </w:pPr>
            <w:r>
              <w:rPr>
                <w:rFonts w:hint="eastAsia" w:ascii="宋体" w:hAnsi="宋体"/>
                <w:color w:val="auto"/>
                <w:szCs w:val="44"/>
                <w:highlight w:val="none"/>
              </w:rPr>
              <w:t>3分</w:t>
            </w:r>
          </w:p>
        </w:tc>
        <w:tc>
          <w:tcPr>
            <w:tcW w:w="4560" w:type="dxa"/>
            <w:tcBorders>
              <w:top w:val="single" w:color="auto" w:sz="4" w:space="0"/>
              <w:left w:val="single" w:color="auto" w:sz="4" w:space="0"/>
              <w:right w:val="single" w:color="auto" w:sz="4" w:space="0"/>
            </w:tcBorders>
            <w:noWrap w:val="0"/>
            <w:vAlign w:val="center"/>
          </w:tcPr>
          <w:p w14:paraId="29441F6C">
            <w:pPr>
              <w:rPr>
                <w:rFonts w:ascii="宋体" w:hAnsi="宋体"/>
                <w:color w:val="auto"/>
                <w:szCs w:val="24"/>
                <w:highlight w:val="none"/>
              </w:rPr>
            </w:pPr>
            <w:r>
              <w:rPr>
                <w:rFonts w:hint="eastAsia"/>
                <w:color w:val="auto"/>
                <w:szCs w:val="21"/>
                <w:highlight w:val="none"/>
              </w:rPr>
              <w:t>通过“信用中国”平台查询，对正在公告期内有违法违规行为记录但未被列入“黑名单”（含拖欠农民工工资黑名单）的投标人，每有一个行政处罚记录扣</w:t>
            </w:r>
            <w:r>
              <w:rPr>
                <w:color w:val="auto"/>
                <w:szCs w:val="21"/>
                <w:highlight w:val="none"/>
              </w:rPr>
              <w:t>1</w:t>
            </w:r>
            <w:r>
              <w:rPr>
                <w:rFonts w:hint="eastAsia"/>
                <w:color w:val="auto"/>
                <w:szCs w:val="21"/>
                <w:highlight w:val="none"/>
              </w:rPr>
              <w:t>分，扣到</w:t>
            </w:r>
            <w:r>
              <w:rPr>
                <w:color w:val="auto"/>
                <w:szCs w:val="21"/>
                <w:highlight w:val="none"/>
              </w:rPr>
              <w:t>0</w:t>
            </w:r>
            <w:r>
              <w:rPr>
                <w:rFonts w:hint="eastAsia"/>
                <w:color w:val="auto"/>
                <w:szCs w:val="21"/>
                <w:highlight w:val="none"/>
              </w:rPr>
              <w:t>分为止。投标人无违法违规行为记录的得满分</w:t>
            </w:r>
            <w:r>
              <w:rPr>
                <w:color w:val="auto"/>
                <w:szCs w:val="21"/>
                <w:highlight w:val="none"/>
              </w:rPr>
              <w:t>3</w:t>
            </w:r>
            <w:r>
              <w:rPr>
                <w:rFonts w:hint="eastAsia"/>
                <w:color w:val="auto"/>
                <w:szCs w:val="21"/>
                <w:highlight w:val="none"/>
              </w:rPr>
              <w:t>分。对正在公告期内的列入“黑名单”（含拖欠农民工工资黑名单）的投标人否决其投标。</w:t>
            </w:r>
          </w:p>
        </w:tc>
      </w:tr>
    </w:tbl>
    <w:p w14:paraId="1B086D92">
      <w:pPr>
        <w:rPr>
          <w:rFonts w:ascii="Times New Roman" w:hAnsi="Times New Roman"/>
          <w:color w:val="auto"/>
          <w:szCs w:val="21"/>
          <w:highlight w:val="none"/>
        </w:rPr>
      </w:pPr>
    </w:p>
    <w:p w14:paraId="41DB5B31">
      <w:pPr>
        <w:rPr>
          <w:color w:val="auto"/>
          <w:szCs w:val="21"/>
          <w:highlight w:val="none"/>
        </w:rPr>
      </w:pPr>
    </w:p>
    <w:p w14:paraId="579D8BAD">
      <w:pPr>
        <w:rPr>
          <w:color w:val="auto"/>
          <w:szCs w:val="21"/>
          <w:highlight w:val="none"/>
        </w:rPr>
      </w:pPr>
      <w:r>
        <w:rPr>
          <w:rFonts w:hint="eastAsia"/>
          <w:color w:val="auto"/>
          <w:szCs w:val="21"/>
          <w:highlight w:val="none"/>
        </w:rPr>
        <w:t>备注：</w:t>
      </w:r>
      <w:r>
        <w:rPr>
          <w:color w:val="auto"/>
          <w:szCs w:val="21"/>
          <w:highlight w:val="none"/>
        </w:rPr>
        <w:t xml:space="preserve">1. </w:t>
      </w:r>
      <w:r>
        <w:rPr>
          <w:rFonts w:hint="eastAsia"/>
          <w:color w:val="auto"/>
          <w:szCs w:val="21"/>
          <w:highlight w:val="none"/>
        </w:rPr>
        <w:t>采用资格后审时，评标基准价下浮系数</w:t>
      </w:r>
      <w:r>
        <w:rPr>
          <w:color w:val="auto"/>
          <w:szCs w:val="21"/>
          <w:highlight w:val="none"/>
        </w:rPr>
        <w:t>E</w:t>
      </w:r>
      <w:r>
        <w:rPr>
          <w:rFonts w:hint="eastAsia"/>
          <w:color w:val="auto"/>
          <w:szCs w:val="21"/>
          <w:highlight w:val="none"/>
        </w:rPr>
        <w:t>宜取</w:t>
      </w:r>
      <w:r>
        <w:rPr>
          <w:color w:val="auto"/>
          <w:szCs w:val="21"/>
          <w:highlight w:val="none"/>
        </w:rPr>
        <w:t>1</w:t>
      </w:r>
      <w:r>
        <w:rPr>
          <w:rFonts w:hint="eastAsia"/>
          <w:color w:val="auto"/>
          <w:szCs w:val="21"/>
          <w:highlight w:val="none"/>
        </w:rPr>
        <w:t>或</w:t>
      </w:r>
      <w:r>
        <w:rPr>
          <w:color w:val="auto"/>
          <w:szCs w:val="21"/>
          <w:highlight w:val="none"/>
        </w:rPr>
        <w:t>2</w:t>
      </w:r>
      <w:r>
        <w:rPr>
          <w:rFonts w:hint="eastAsia"/>
          <w:color w:val="auto"/>
          <w:szCs w:val="21"/>
          <w:highlight w:val="none"/>
        </w:rPr>
        <w:t>的整数，避免投标人报价过低。</w:t>
      </w:r>
    </w:p>
    <w:p w14:paraId="0708FC54">
      <w:pPr>
        <w:ind w:left="630" w:hanging="630" w:hangingChars="300"/>
        <w:rPr>
          <w:color w:val="auto"/>
          <w:szCs w:val="21"/>
          <w:highlight w:val="none"/>
        </w:rPr>
      </w:pPr>
      <w:r>
        <w:rPr>
          <w:color w:val="auto"/>
          <w:szCs w:val="21"/>
          <w:highlight w:val="none"/>
        </w:rPr>
        <w:t xml:space="preserve">2. </w:t>
      </w:r>
      <w:r>
        <w:rPr>
          <w:rFonts w:hint="eastAsia"/>
          <w:color w:val="auto"/>
          <w:szCs w:val="21"/>
          <w:highlight w:val="none"/>
        </w:rPr>
        <w:t>根据《关于建立部分专业技术类职业资格与职称对应关系的通知（鄂人社发〔</w:t>
      </w:r>
      <w:r>
        <w:rPr>
          <w:color w:val="auto"/>
          <w:szCs w:val="21"/>
          <w:highlight w:val="none"/>
        </w:rPr>
        <w:t>2018</w:t>
      </w:r>
      <w:r>
        <w:rPr>
          <w:rFonts w:hint="eastAsia"/>
          <w:color w:val="auto"/>
          <w:szCs w:val="21"/>
          <w:highlight w:val="none"/>
        </w:rPr>
        <w:t>〕</w:t>
      </w:r>
      <w:r>
        <w:rPr>
          <w:color w:val="auto"/>
          <w:szCs w:val="21"/>
          <w:highlight w:val="none"/>
        </w:rPr>
        <w:t>30</w:t>
      </w:r>
      <w:r>
        <w:rPr>
          <w:rFonts w:hint="eastAsia"/>
          <w:color w:val="auto"/>
          <w:szCs w:val="21"/>
          <w:highlight w:val="none"/>
        </w:rPr>
        <w:t>号）》造价工程师、一级注册建筑师、一级建造师、一级注册结构工程师、其他勘察设计注册工程师等，其职业资格直接对应相应系列的中级职称。二级注册建筑师、二级建造师、二级注册结构工程师等，其职业资格直接对应相应系列的初级职称。</w:t>
      </w:r>
    </w:p>
    <w:p w14:paraId="3D945561">
      <w:pPr>
        <w:ind w:left="600" w:hanging="600" w:hangingChars="300"/>
        <w:rPr>
          <w:color w:val="auto"/>
          <w:szCs w:val="21"/>
          <w:highlight w:val="none"/>
        </w:rPr>
      </w:pPr>
      <w:bookmarkStart w:id="585" w:name="EBaf548bad3faa44acb4e0c893ac972575"/>
      <w:r>
        <w:rPr>
          <w:rFonts w:hint="eastAsia"/>
          <w:color w:val="auto"/>
          <w:sz w:val="20"/>
          <w:szCs w:val="21"/>
          <w:highlight w:val="none"/>
        </w:rPr>
        <w:t xml:space="preserve"> </w:t>
      </w:r>
      <w:bookmarkEnd w:id="585"/>
    </w:p>
    <w:p w14:paraId="142F8275">
      <w:pPr>
        <w:ind w:left="630" w:hanging="630" w:hangingChars="300"/>
        <w:rPr>
          <w:color w:val="auto"/>
          <w:szCs w:val="21"/>
          <w:highlight w:val="none"/>
        </w:rPr>
      </w:pPr>
    </w:p>
    <w:p w14:paraId="167D9416">
      <w:pPr>
        <w:pStyle w:val="31"/>
        <w:rPr>
          <w:color w:val="auto"/>
          <w:highlight w:val="none"/>
        </w:rPr>
      </w:pPr>
      <w:bookmarkStart w:id="586" w:name="_Toc28531771"/>
      <w:bookmarkStart w:id="587" w:name="_Toc17159"/>
      <w:r>
        <w:rPr>
          <w:rFonts w:hint="eastAsia"/>
          <w:color w:val="auto"/>
          <w:highlight w:val="none"/>
        </w:rPr>
        <w:t>评标办法正文部分</w:t>
      </w:r>
      <w:bookmarkEnd w:id="586"/>
      <w:bookmarkEnd w:id="587"/>
    </w:p>
    <w:p w14:paraId="571A2027">
      <w:pPr>
        <w:pStyle w:val="31"/>
        <w:rPr>
          <w:color w:val="auto"/>
          <w:highlight w:val="none"/>
        </w:rPr>
      </w:pPr>
      <w:bookmarkStart w:id="588" w:name="_Toc152042377"/>
      <w:bookmarkStart w:id="589" w:name="_Toc144974567"/>
      <w:bookmarkStart w:id="590" w:name="_Toc152045600"/>
      <w:bookmarkStart w:id="591" w:name="_Toc179632618"/>
      <w:bookmarkStart w:id="592" w:name="_Toc2137"/>
      <w:bookmarkStart w:id="593" w:name="_Toc28531772"/>
      <w:r>
        <w:rPr>
          <w:color w:val="auto"/>
          <w:highlight w:val="none"/>
        </w:rPr>
        <w:t xml:space="preserve">1. </w:t>
      </w:r>
      <w:r>
        <w:rPr>
          <w:rFonts w:hint="eastAsia"/>
          <w:color w:val="auto"/>
          <w:highlight w:val="none"/>
        </w:rPr>
        <w:t>评标方法</w:t>
      </w:r>
      <w:bookmarkEnd w:id="588"/>
      <w:bookmarkEnd w:id="589"/>
      <w:bookmarkEnd w:id="590"/>
      <w:bookmarkEnd w:id="591"/>
      <w:bookmarkEnd w:id="592"/>
      <w:bookmarkEnd w:id="593"/>
    </w:p>
    <w:p w14:paraId="24FDA949">
      <w:pPr>
        <w:spacing w:line="400" w:lineRule="exact"/>
        <w:ind w:firstLine="420" w:firstLineChars="200"/>
        <w:rPr>
          <w:color w:val="auto"/>
          <w:highlight w:val="none"/>
        </w:rPr>
      </w:pPr>
      <w:r>
        <w:rPr>
          <w:rFonts w:hint="eastAsia"/>
          <w:color w:val="auto"/>
          <w:highlight w:val="none"/>
        </w:rPr>
        <w:t>本次评标采用综合评估法（合理低价法）。评标委员会对满足招标文件实质性要求的投标文件，按照本章第</w:t>
      </w:r>
      <w:r>
        <w:rPr>
          <w:color w:val="auto"/>
          <w:highlight w:val="none"/>
        </w:rPr>
        <w:t>2.2</w:t>
      </w:r>
      <w:r>
        <w:rPr>
          <w:rFonts w:hint="eastAsia"/>
          <w:color w:val="auto"/>
          <w:highlight w:val="none"/>
        </w:rPr>
        <w:t>款规定的评分标准进行打分，并按得分由高到低顺序推荐中标候选人，或根据招标人授权直接确定中标人，但投标报价低于其成本的除外。综合评分相等时，以投标报价低的优先；投标报价也相等的，由招标人自行确定。（适用于办法一、二、三、四、五、六、七）</w:t>
      </w:r>
    </w:p>
    <w:p w14:paraId="0549B91A">
      <w:pPr>
        <w:spacing w:line="400" w:lineRule="exact"/>
        <w:ind w:firstLine="420" w:firstLineChars="200"/>
        <w:rPr>
          <w:color w:val="auto"/>
          <w:highlight w:val="none"/>
        </w:rPr>
      </w:pPr>
      <w:r>
        <w:rPr>
          <w:rFonts w:hint="eastAsia"/>
          <w:color w:val="auto"/>
          <w:highlight w:val="none"/>
        </w:rPr>
        <w:t>本次评标采用合理低价法。评标委员会对满足招标文件实质性要求的投标文件，按照本章第</w:t>
      </w:r>
      <w:r>
        <w:rPr>
          <w:color w:val="auto"/>
          <w:highlight w:val="none"/>
        </w:rPr>
        <w:t>2.2</w:t>
      </w:r>
      <w:r>
        <w:rPr>
          <w:rFonts w:hint="eastAsia"/>
          <w:color w:val="auto"/>
          <w:highlight w:val="none"/>
        </w:rPr>
        <w:t>款规定的评分标准进行评审，并按</w:t>
      </w:r>
      <w:r>
        <w:rPr>
          <w:rFonts w:hint="eastAsia" w:ascii="宋体" w:hAnsi="宋体"/>
          <w:color w:val="auto"/>
          <w:szCs w:val="21"/>
          <w:highlight w:val="none"/>
        </w:rPr>
        <w:t>有效评标价由低到高的顺序</w:t>
      </w:r>
      <w:r>
        <w:rPr>
          <w:rFonts w:hint="eastAsia"/>
          <w:color w:val="auto"/>
          <w:highlight w:val="none"/>
        </w:rPr>
        <w:t>推荐中标候选人，或根据招标人授权直接确定中标人，但投标报价低于其成本的除外。</w:t>
      </w:r>
      <w:r>
        <w:rPr>
          <w:rFonts w:hint="eastAsia" w:ascii="宋体" w:hAnsi="宋体"/>
          <w:color w:val="auto"/>
          <w:szCs w:val="21"/>
          <w:highlight w:val="none"/>
        </w:rPr>
        <w:t>有效评标价</w:t>
      </w:r>
      <w:r>
        <w:rPr>
          <w:rFonts w:hint="eastAsia"/>
          <w:color w:val="auto"/>
          <w:highlight w:val="none"/>
        </w:rPr>
        <w:t>相等时，由招标人自行确定。（适用于办法八）</w:t>
      </w:r>
    </w:p>
    <w:p w14:paraId="64879A5A">
      <w:pPr>
        <w:pStyle w:val="31"/>
        <w:rPr>
          <w:color w:val="auto"/>
          <w:highlight w:val="none"/>
        </w:rPr>
      </w:pPr>
      <w:bookmarkStart w:id="594" w:name="_Toc152042378"/>
      <w:bookmarkStart w:id="595" w:name="_Toc13398"/>
      <w:bookmarkStart w:id="596" w:name="_Toc179632619"/>
      <w:bookmarkStart w:id="597" w:name="_Toc28531773"/>
      <w:bookmarkStart w:id="598" w:name="_Toc152045601"/>
      <w:bookmarkStart w:id="599" w:name="_Toc144974568"/>
      <w:r>
        <w:rPr>
          <w:color w:val="auto"/>
          <w:highlight w:val="none"/>
        </w:rPr>
        <w:t xml:space="preserve">2. </w:t>
      </w:r>
      <w:r>
        <w:rPr>
          <w:rFonts w:hint="eastAsia"/>
          <w:color w:val="auto"/>
          <w:highlight w:val="none"/>
        </w:rPr>
        <w:t>评审标准</w:t>
      </w:r>
      <w:bookmarkEnd w:id="594"/>
      <w:bookmarkEnd w:id="595"/>
      <w:bookmarkEnd w:id="596"/>
      <w:bookmarkEnd w:id="597"/>
      <w:bookmarkEnd w:id="598"/>
      <w:bookmarkEnd w:id="599"/>
    </w:p>
    <w:p w14:paraId="522B1D25">
      <w:pPr>
        <w:pStyle w:val="33"/>
        <w:rPr>
          <w:color w:val="auto"/>
          <w:highlight w:val="none"/>
        </w:rPr>
      </w:pPr>
      <w:bookmarkStart w:id="600" w:name="_Toc144974569"/>
      <w:bookmarkStart w:id="601" w:name="_Toc152045602"/>
      <w:bookmarkStart w:id="602" w:name="_Toc152042379"/>
      <w:bookmarkStart w:id="603" w:name="_Toc179632620"/>
      <w:bookmarkStart w:id="604" w:name="_Toc28531774"/>
      <w:bookmarkStart w:id="605" w:name="_Toc7217"/>
      <w:r>
        <w:rPr>
          <w:color w:val="auto"/>
          <w:highlight w:val="none"/>
        </w:rPr>
        <w:t xml:space="preserve">2.1 </w:t>
      </w:r>
      <w:r>
        <w:rPr>
          <w:rFonts w:hint="eastAsia"/>
          <w:color w:val="auto"/>
          <w:highlight w:val="none"/>
        </w:rPr>
        <w:t>初步评审标准</w:t>
      </w:r>
      <w:bookmarkEnd w:id="600"/>
      <w:bookmarkEnd w:id="601"/>
      <w:bookmarkEnd w:id="602"/>
      <w:bookmarkEnd w:id="603"/>
      <w:bookmarkEnd w:id="604"/>
      <w:bookmarkEnd w:id="605"/>
    </w:p>
    <w:p w14:paraId="4E8D09AB">
      <w:pPr>
        <w:spacing w:line="400" w:lineRule="exact"/>
        <w:ind w:firstLine="420" w:firstLineChars="200"/>
        <w:rPr>
          <w:color w:val="auto"/>
          <w:highlight w:val="none"/>
        </w:rPr>
      </w:pPr>
      <w:r>
        <w:rPr>
          <w:color w:val="auto"/>
          <w:highlight w:val="none"/>
        </w:rPr>
        <w:t xml:space="preserve">2.1.1 </w:t>
      </w:r>
      <w:r>
        <w:rPr>
          <w:rFonts w:hint="eastAsia"/>
          <w:color w:val="auto"/>
          <w:highlight w:val="none"/>
        </w:rPr>
        <w:t>形式评审标准：见评标办法前附表。</w:t>
      </w:r>
    </w:p>
    <w:p w14:paraId="0AC1D761">
      <w:pPr>
        <w:spacing w:line="400" w:lineRule="exact"/>
        <w:ind w:firstLine="420" w:firstLineChars="200"/>
        <w:rPr>
          <w:color w:val="auto"/>
          <w:highlight w:val="none"/>
        </w:rPr>
      </w:pPr>
      <w:r>
        <w:rPr>
          <w:color w:val="auto"/>
          <w:highlight w:val="none"/>
        </w:rPr>
        <w:t xml:space="preserve">2.1.2 </w:t>
      </w:r>
      <w:r>
        <w:rPr>
          <w:rFonts w:hint="eastAsia"/>
          <w:color w:val="auto"/>
          <w:highlight w:val="none"/>
        </w:rPr>
        <w:t>资格评审标准：见评标办法前附表。</w:t>
      </w:r>
    </w:p>
    <w:p w14:paraId="2FE7DE06">
      <w:pPr>
        <w:spacing w:line="400" w:lineRule="exact"/>
        <w:ind w:firstLine="420" w:firstLineChars="200"/>
        <w:rPr>
          <w:color w:val="auto"/>
          <w:highlight w:val="none"/>
        </w:rPr>
      </w:pPr>
      <w:r>
        <w:rPr>
          <w:color w:val="auto"/>
          <w:highlight w:val="none"/>
        </w:rPr>
        <w:t xml:space="preserve">2.1.3 </w:t>
      </w:r>
      <w:r>
        <w:rPr>
          <w:rFonts w:hint="eastAsia"/>
          <w:color w:val="auto"/>
          <w:highlight w:val="none"/>
        </w:rPr>
        <w:t>响应性评审标准：见评标办法前附表。</w:t>
      </w:r>
    </w:p>
    <w:p w14:paraId="0F6A8D04">
      <w:pPr>
        <w:spacing w:line="400" w:lineRule="exact"/>
        <w:ind w:firstLine="420" w:firstLineChars="200"/>
        <w:rPr>
          <w:color w:val="auto"/>
          <w:highlight w:val="none"/>
        </w:rPr>
      </w:pPr>
      <w:r>
        <w:rPr>
          <w:color w:val="auto"/>
          <w:highlight w:val="none"/>
        </w:rPr>
        <w:t xml:space="preserve">2.1.4 </w:t>
      </w:r>
      <w:r>
        <w:rPr>
          <w:rFonts w:hint="eastAsia"/>
          <w:color w:val="auto"/>
          <w:highlight w:val="none"/>
        </w:rPr>
        <w:t>施工组织设计评审标准：见评标办法前附表。（适用于办法五、六、七、八）</w:t>
      </w:r>
    </w:p>
    <w:p w14:paraId="1C3681C5">
      <w:pPr>
        <w:pStyle w:val="33"/>
        <w:rPr>
          <w:color w:val="auto"/>
          <w:highlight w:val="none"/>
        </w:rPr>
      </w:pPr>
      <w:bookmarkStart w:id="606" w:name="_Toc179632621"/>
      <w:bookmarkStart w:id="607" w:name="_Toc152042380"/>
      <w:bookmarkStart w:id="608" w:name="_Toc28531775"/>
      <w:bookmarkStart w:id="609" w:name="_Toc152045603"/>
      <w:bookmarkStart w:id="610" w:name="_Toc144974570"/>
      <w:bookmarkStart w:id="611" w:name="_Toc16918"/>
      <w:r>
        <w:rPr>
          <w:color w:val="auto"/>
          <w:highlight w:val="none"/>
        </w:rPr>
        <w:t xml:space="preserve">2.2 </w:t>
      </w:r>
      <w:r>
        <w:rPr>
          <w:rFonts w:hint="eastAsia"/>
          <w:color w:val="auto"/>
          <w:highlight w:val="none"/>
        </w:rPr>
        <w:t>分值构成与评分标准</w:t>
      </w:r>
      <w:bookmarkEnd w:id="606"/>
      <w:bookmarkEnd w:id="607"/>
      <w:bookmarkEnd w:id="608"/>
      <w:bookmarkEnd w:id="609"/>
      <w:bookmarkEnd w:id="610"/>
      <w:bookmarkEnd w:id="611"/>
    </w:p>
    <w:p w14:paraId="2DAB8E54">
      <w:pPr>
        <w:spacing w:line="400" w:lineRule="exact"/>
        <w:ind w:firstLine="420" w:firstLineChars="200"/>
        <w:rPr>
          <w:color w:val="auto"/>
          <w:highlight w:val="none"/>
        </w:rPr>
      </w:pPr>
      <w:r>
        <w:rPr>
          <w:color w:val="auto"/>
          <w:highlight w:val="none"/>
        </w:rPr>
        <w:t xml:space="preserve">2.2.1 </w:t>
      </w:r>
      <w:r>
        <w:rPr>
          <w:rFonts w:hint="eastAsia" w:ascii="黑体" w:eastAsia="黑体"/>
          <w:color w:val="auto"/>
          <w:highlight w:val="none"/>
        </w:rPr>
        <w:t>分值构成</w:t>
      </w:r>
    </w:p>
    <w:p w14:paraId="5CFDEEF6">
      <w:pPr>
        <w:spacing w:line="400" w:lineRule="exact"/>
        <w:ind w:firstLine="718" w:firstLineChars="342"/>
        <w:rPr>
          <w:color w:val="auto"/>
          <w:highlight w:val="none"/>
        </w:rPr>
      </w:pPr>
      <w:r>
        <w:rPr>
          <w:rFonts w:hint="eastAsia"/>
          <w:color w:val="auto"/>
          <w:highlight w:val="none"/>
        </w:rPr>
        <w:t>（</w:t>
      </w:r>
      <w:r>
        <w:rPr>
          <w:color w:val="auto"/>
          <w:highlight w:val="none"/>
        </w:rPr>
        <w:t>1</w:t>
      </w:r>
      <w:r>
        <w:rPr>
          <w:rFonts w:hint="eastAsia"/>
          <w:color w:val="auto"/>
          <w:highlight w:val="none"/>
        </w:rPr>
        <w:t>）投标报价：见评标办法前附表；</w:t>
      </w:r>
    </w:p>
    <w:p w14:paraId="6AA04A52">
      <w:pPr>
        <w:spacing w:line="400" w:lineRule="exact"/>
        <w:ind w:firstLine="718" w:firstLineChars="342"/>
        <w:rPr>
          <w:color w:val="auto"/>
          <w:highlight w:val="none"/>
        </w:rPr>
      </w:pPr>
      <w:r>
        <w:rPr>
          <w:rFonts w:hint="eastAsia"/>
          <w:color w:val="auto"/>
          <w:highlight w:val="none"/>
        </w:rPr>
        <w:t>（</w:t>
      </w:r>
      <w:r>
        <w:rPr>
          <w:color w:val="auto"/>
          <w:highlight w:val="none"/>
        </w:rPr>
        <w:t>2</w:t>
      </w:r>
      <w:r>
        <w:rPr>
          <w:rFonts w:hint="eastAsia"/>
          <w:color w:val="auto"/>
          <w:highlight w:val="none"/>
        </w:rPr>
        <w:t>）施工组织设计：见评标办法前附表；（适用于办法一、二、三、四）</w:t>
      </w:r>
    </w:p>
    <w:p w14:paraId="49D3D504">
      <w:pPr>
        <w:spacing w:line="400" w:lineRule="exact"/>
        <w:ind w:firstLine="718" w:firstLineChars="342"/>
        <w:rPr>
          <w:color w:val="auto"/>
          <w:highlight w:val="none"/>
        </w:rPr>
      </w:pPr>
      <w:r>
        <w:rPr>
          <w:rFonts w:hint="eastAsia"/>
          <w:color w:val="auto"/>
          <w:highlight w:val="none"/>
        </w:rPr>
        <w:t>（</w:t>
      </w:r>
      <w:r>
        <w:rPr>
          <w:color w:val="auto"/>
          <w:highlight w:val="none"/>
        </w:rPr>
        <w:t>3</w:t>
      </w:r>
      <w:r>
        <w:rPr>
          <w:rFonts w:hint="eastAsia"/>
          <w:color w:val="auto"/>
          <w:highlight w:val="none"/>
        </w:rPr>
        <w:t>）项目管理机构：见评标办法前附表；</w:t>
      </w:r>
    </w:p>
    <w:p w14:paraId="021977ED">
      <w:pPr>
        <w:spacing w:line="400" w:lineRule="exact"/>
        <w:ind w:firstLine="718" w:firstLineChars="342"/>
        <w:rPr>
          <w:color w:val="auto"/>
          <w:highlight w:val="none"/>
        </w:rPr>
      </w:pPr>
      <w:r>
        <w:rPr>
          <w:rFonts w:hint="eastAsia"/>
          <w:color w:val="auto"/>
          <w:highlight w:val="none"/>
        </w:rPr>
        <w:t>（</w:t>
      </w:r>
      <w:r>
        <w:rPr>
          <w:color w:val="auto"/>
          <w:highlight w:val="none"/>
        </w:rPr>
        <w:t>4</w:t>
      </w:r>
      <w:r>
        <w:rPr>
          <w:rFonts w:hint="eastAsia"/>
          <w:color w:val="auto"/>
          <w:highlight w:val="none"/>
        </w:rPr>
        <w:t>）其他评分因素：见评标办法前附表。</w:t>
      </w:r>
    </w:p>
    <w:p w14:paraId="1949DBCA">
      <w:pPr>
        <w:spacing w:line="400" w:lineRule="exact"/>
        <w:ind w:firstLine="420" w:firstLineChars="200"/>
        <w:rPr>
          <w:color w:val="auto"/>
          <w:highlight w:val="none"/>
        </w:rPr>
      </w:pPr>
      <w:r>
        <w:rPr>
          <w:color w:val="auto"/>
          <w:highlight w:val="none"/>
        </w:rPr>
        <w:t xml:space="preserve">2.2.2 </w:t>
      </w:r>
      <w:r>
        <w:rPr>
          <w:rFonts w:hint="eastAsia" w:ascii="黑体" w:eastAsia="黑体"/>
          <w:color w:val="auto"/>
          <w:highlight w:val="none"/>
        </w:rPr>
        <w:t>评标基准价计算</w:t>
      </w:r>
    </w:p>
    <w:p w14:paraId="266C968B">
      <w:pPr>
        <w:spacing w:line="400" w:lineRule="exact"/>
        <w:ind w:firstLine="840" w:firstLineChars="400"/>
        <w:rPr>
          <w:color w:val="auto"/>
          <w:highlight w:val="none"/>
        </w:rPr>
      </w:pPr>
      <w:r>
        <w:rPr>
          <w:rFonts w:hint="eastAsia"/>
          <w:color w:val="auto"/>
          <w:highlight w:val="none"/>
        </w:rPr>
        <w:t>（</w:t>
      </w:r>
      <w:r>
        <w:rPr>
          <w:color w:val="auto"/>
          <w:highlight w:val="none"/>
        </w:rPr>
        <w:t>1</w:t>
      </w:r>
      <w:r>
        <w:rPr>
          <w:rFonts w:hint="eastAsia"/>
          <w:color w:val="auto"/>
          <w:highlight w:val="none"/>
        </w:rPr>
        <w:t>）</w:t>
      </w:r>
      <w:r>
        <w:rPr>
          <w:rFonts w:hint="eastAsia" w:ascii="宋体" w:hAnsi="宋体"/>
          <w:color w:val="auto"/>
          <w:szCs w:val="21"/>
          <w:highlight w:val="none"/>
        </w:rPr>
        <w:t>评标价确定方法</w:t>
      </w:r>
      <w:r>
        <w:rPr>
          <w:rFonts w:hint="eastAsia"/>
          <w:color w:val="auto"/>
          <w:highlight w:val="none"/>
        </w:rPr>
        <w:t>：见评标办法前附表；</w:t>
      </w:r>
    </w:p>
    <w:p w14:paraId="46299511">
      <w:pPr>
        <w:spacing w:line="400" w:lineRule="exact"/>
        <w:ind w:firstLine="840" w:firstLineChars="400"/>
        <w:rPr>
          <w:color w:val="auto"/>
          <w:highlight w:val="none"/>
        </w:rPr>
      </w:pPr>
      <w:r>
        <w:rPr>
          <w:rFonts w:hint="eastAsia"/>
          <w:color w:val="auto"/>
          <w:highlight w:val="none"/>
        </w:rPr>
        <w:t>（</w:t>
      </w:r>
      <w:r>
        <w:rPr>
          <w:color w:val="auto"/>
          <w:highlight w:val="none"/>
        </w:rPr>
        <w:t>2</w:t>
      </w:r>
      <w:r>
        <w:rPr>
          <w:rFonts w:hint="eastAsia"/>
          <w:color w:val="auto"/>
          <w:highlight w:val="none"/>
        </w:rPr>
        <w:t>）评标基准价计算方法：见评标办法前附表。</w:t>
      </w:r>
    </w:p>
    <w:p w14:paraId="7C68B584">
      <w:pPr>
        <w:spacing w:line="400" w:lineRule="exact"/>
        <w:ind w:firstLine="840" w:firstLineChars="400"/>
        <w:rPr>
          <w:color w:val="auto"/>
          <w:highlight w:val="none"/>
        </w:rPr>
      </w:pPr>
      <w:r>
        <w:rPr>
          <w:rFonts w:hint="eastAsia"/>
          <w:color w:val="auto"/>
          <w:highlight w:val="none"/>
        </w:rPr>
        <w:t>（</w:t>
      </w:r>
      <w:r>
        <w:rPr>
          <w:color w:val="auto"/>
          <w:highlight w:val="none"/>
        </w:rPr>
        <w:t>3</w:t>
      </w:r>
      <w:r>
        <w:rPr>
          <w:rFonts w:hint="eastAsia"/>
          <w:color w:val="auto"/>
          <w:highlight w:val="none"/>
        </w:rPr>
        <w:t>）</w:t>
      </w:r>
      <w:r>
        <w:rPr>
          <w:rFonts w:hint="eastAsia" w:ascii="宋体" w:hAnsi="宋体"/>
          <w:color w:val="auto"/>
          <w:szCs w:val="21"/>
          <w:highlight w:val="none"/>
        </w:rPr>
        <w:t>期望合理价的确定</w:t>
      </w:r>
      <w:r>
        <w:rPr>
          <w:rFonts w:hint="eastAsia"/>
          <w:color w:val="auto"/>
          <w:highlight w:val="none"/>
        </w:rPr>
        <w:t>：见评标办法前附表。（适用于办法八）</w:t>
      </w:r>
    </w:p>
    <w:p w14:paraId="5A057E24">
      <w:pPr>
        <w:spacing w:line="400" w:lineRule="exact"/>
        <w:ind w:firstLine="420" w:firstLineChars="200"/>
        <w:rPr>
          <w:color w:val="auto"/>
          <w:highlight w:val="none"/>
        </w:rPr>
      </w:pPr>
      <w:r>
        <w:rPr>
          <w:color w:val="auto"/>
          <w:highlight w:val="none"/>
        </w:rPr>
        <w:t xml:space="preserve">2.2.3 </w:t>
      </w:r>
      <w:r>
        <w:rPr>
          <w:rFonts w:hint="eastAsia" w:ascii="黑体" w:eastAsia="黑体"/>
          <w:color w:val="auto"/>
          <w:highlight w:val="none"/>
        </w:rPr>
        <w:t>投标报价的偏差率计算</w:t>
      </w:r>
    </w:p>
    <w:p w14:paraId="4CC2A78B">
      <w:pPr>
        <w:spacing w:line="400" w:lineRule="exact"/>
        <w:ind w:firstLine="840" w:firstLineChars="400"/>
        <w:rPr>
          <w:color w:val="auto"/>
          <w:highlight w:val="none"/>
        </w:rPr>
      </w:pPr>
      <w:r>
        <w:rPr>
          <w:rFonts w:hint="eastAsia"/>
          <w:color w:val="auto"/>
          <w:highlight w:val="none"/>
        </w:rPr>
        <w:t>投标报价的偏差率计算公式：见评标办法前附表。</w:t>
      </w:r>
    </w:p>
    <w:p w14:paraId="6C07862B">
      <w:pPr>
        <w:spacing w:line="400" w:lineRule="exact"/>
        <w:ind w:firstLine="420" w:firstLineChars="200"/>
        <w:rPr>
          <w:color w:val="auto"/>
          <w:highlight w:val="none"/>
        </w:rPr>
      </w:pPr>
      <w:r>
        <w:rPr>
          <w:color w:val="auto"/>
          <w:highlight w:val="none"/>
        </w:rPr>
        <w:t xml:space="preserve">2.2.4 </w:t>
      </w:r>
      <w:r>
        <w:rPr>
          <w:rFonts w:hint="eastAsia" w:ascii="黑体" w:eastAsia="黑体"/>
          <w:color w:val="auto"/>
          <w:highlight w:val="none"/>
        </w:rPr>
        <w:t>评分标准</w:t>
      </w:r>
    </w:p>
    <w:p w14:paraId="4AD74196">
      <w:pPr>
        <w:spacing w:line="400" w:lineRule="exact"/>
        <w:ind w:firstLine="718" w:firstLineChars="342"/>
        <w:rPr>
          <w:color w:val="auto"/>
          <w:highlight w:val="none"/>
        </w:rPr>
      </w:pPr>
      <w:r>
        <w:rPr>
          <w:rFonts w:hint="eastAsia"/>
          <w:color w:val="auto"/>
          <w:highlight w:val="none"/>
        </w:rPr>
        <w:t>（</w:t>
      </w:r>
      <w:r>
        <w:rPr>
          <w:color w:val="auto"/>
          <w:highlight w:val="none"/>
        </w:rPr>
        <w:t>1</w:t>
      </w:r>
      <w:r>
        <w:rPr>
          <w:rFonts w:hint="eastAsia"/>
          <w:color w:val="auto"/>
          <w:highlight w:val="none"/>
        </w:rPr>
        <w:t>）投标报价评分（审）标准：见评标办法前附表；</w:t>
      </w:r>
    </w:p>
    <w:p w14:paraId="208932BF">
      <w:pPr>
        <w:spacing w:line="400" w:lineRule="exact"/>
        <w:ind w:firstLine="718" w:firstLineChars="342"/>
        <w:rPr>
          <w:color w:val="auto"/>
          <w:highlight w:val="none"/>
        </w:rPr>
      </w:pPr>
      <w:r>
        <w:rPr>
          <w:rFonts w:hint="eastAsia"/>
          <w:color w:val="auto"/>
          <w:highlight w:val="none"/>
        </w:rPr>
        <w:t>（</w:t>
      </w:r>
      <w:r>
        <w:rPr>
          <w:color w:val="auto"/>
          <w:highlight w:val="none"/>
        </w:rPr>
        <w:t>2</w:t>
      </w:r>
      <w:r>
        <w:rPr>
          <w:rFonts w:hint="eastAsia"/>
          <w:color w:val="auto"/>
          <w:highlight w:val="none"/>
        </w:rPr>
        <w:t>）施工组织设计评分标准：见评标办法前附表；（适用于办法一、二、三、四）</w:t>
      </w:r>
    </w:p>
    <w:p w14:paraId="132DB515">
      <w:pPr>
        <w:spacing w:line="400" w:lineRule="exact"/>
        <w:ind w:firstLine="718" w:firstLineChars="342"/>
        <w:rPr>
          <w:color w:val="auto"/>
          <w:highlight w:val="none"/>
        </w:rPr>
      </w:pPr>
      <w:r>
        <w:rPr>
          <w:rFonts w:hint="eastAsia"/>
          <w:color w:val="auto"/>
          <w:highlight w:val="none"/>
        </w:rPr>
        <w:t>（</w:t>
      </w:r>
      <w:r>
        <w:rPr>
          <w:color w:val="auto"/>
          <w:highlight w:val="none"/>
        </w:rPr>
        <w:t>3</w:t>
      </w:r>
      <w:r>
        <w:rPr>
          <w:rFonts w:hint="eastAsia"/>
          <w:color w:val="auto"/>
          <w:highlight w:val="none"/>
        </w:rPr>
        <w:t>）项目管理机构评分标准：见评标办法前附表；</w:t>
      </w:r>
    </w:p>
    <w:p w14:paraId="73A66CFD">
      <w:pPr>
        <w:spacing w:line="400" w:lineRule="exact"/>
        <w:ind w:firstLine="718" w:firstLineChars="342"/>
        <w:rPr>
          <w:color w:val="auto"/>
          <w:highlight w:val="none"/>
        </w:rPr>
      </w:pPr>
      <w:r>
        <w:rPr>
          <w:rFonts w:hint="eastAsia"/>
          <w:color w:val="auto"/>
          <w:highlight w:val="none"/>
        </w:rPr>
        <w:t>（</w:t>
      </w:r>
      <w:r>
        <w:rPr>
          <w:color w:val="auto"/>
          <w:highlight w:val="none"/>
        </w:rPr>
        <w:t>4</w:t>
      </w:r>
      <w:r>
        <w:rPr>
          <w:rFonts w:hint="eastAsia"/>
          <w:color w:val="auto"/>
          <w:highlight w:val="none"/>
        </w:rPr>
        <w:t>）其他因素评分标准：见评标办法前附表。</w:t>
      </w:r>
    </w:p>
    <w:p w14:paraId="03E2CC47">
      <w:pPr>
        <w:pStyle w:val="31"/>
        <w:rPr>
          <w:color w:val="auto"/>
          <w:highlight w:val="none"/>
        </w:rPr>
      </w:pPr>
      <w:bookmarkStart w:id="612" w:name="_Toc5431"/>
      <w:bookmarkStart w:id="613" w:name="_Toc28531776"/>
      <w:bookmarkStart w:id="614" w:name="_Toc144974571"/>
      <w:bookmarkStart w:id="615" w:name="_Toc179632622"/>
      <w:bookmarkStart w:id="616" w:name="_Toc152042381"/>
      <w:bookmarkStart w:id="617" w:name="_Toc152045604"/>
      <w:r>
        <w:rPr>
          <w:color w:val="auto"/>
          <w:highlight w:val="none"/>
        </w:rPr>
        <w:t xml:space="preserve">3. </w:t>
      </w:r>
      <w:r>
        <w:rPr>
          <w:rFonts w:hint="eastAsia"/>
          <w:color w:val="auto"/>
          <w:highlight w:val="none"/>
        </w:rPr>
        <w:t>评标程序</w:t>
      </w:r>
      <w:bookmarkEnd w:id="612"/>
      <w:bookmarkEnd w:id="613"/>
      <w:bookmarkEnd w:id="614"/>
      <w:bookmarkEnd w:id="615"/>
      <w:bookmarkEnd w:id="616"/>
      <w:bookmarkEnd w:id="617"/>
    </w:p>
    <w:p w14:paraId="7EC70981">
      <w:pPr>
        <w:pStyle w:val="33"/>
        <w:rPr>
          <w:color w:val="auto"/>
          <w:highlight w:val="none"/>
        </w:rPr>
      </w:pPr>
      <w:bookmarkStart w:id="618" w:name="_Toc179632623"/>
      <w:bookmarkStart w:id="619" w:name="_Toc30166"/>
      <w:bookmarkStart w:id="620" w:name="_Toc152045605"/>
      <w:bookmarkStart w:id="621" w:name="_Toc144974572"/>
      <w:bookmarkStart w:id="622" w:name="_Toc28531777"/>
      <w:bookmarkStart w:id="623" w:name="_Toc152042382"/>
      <w:r>
        <w:rPr>
          <w:color w:val="auto"/>
          <w:highlight w:val="none"/>
        </w:rPr>
        <w:t xml:space="preserve">3.1 </w:t>
      </w:r>
      <w:r>
        <w:rPr>
          <w:rFonts w:hint="eastAsia"/>
          <w:color w:val="auto"/>
          <w:highlight w:val="none"/>
        </w:rPr>
        <w:t>初步评审</w:t>
      </w:r>
      <w:bookmarkEnd w:id="618"/>
      <w:bookmarkEnd w:id="619"/>
      <w:bookmarkEnd w:id="620"/>
      <w:bookmarkEnd w:id="621"/>
      <w:bookmarkEnd w:id="622"/>
      <w:bookmarkEnd w:id="623"/>
    </w:p>
    <w:p w14:paraId="4B1FEDE3">
      <w:pPr>
        <w:spacing w:line="400" w:lineRule="exact"/>
        <w:ind w:firstLine="420" w:firstLineChars="200"/>
        <w:rPr>
          <w:color w:val="auto"/>
          <w:highlight w:val="none"/>
        </w:rPr>
      </w:pPr>
      <w:r>
        <w:rPr>
          <w:color w:val="auto"/>
          <w:highlight w:val="none"/>
        </w:rPr>
        <w:t xml:space="preserve">3.1.1 </w:t>
      </w:r>
      <w:r>
        <w:rPr>
          <w:rFonts w:hint="eastAsia"/>
          <w:color w:val="auto"/>
          <w:highlight w:val="none"/>
        </w:rPr>
        <w:t>评标委员会可以要求投标人提交第二章“投标人须知”第</w:t>
      </w:r>
      <w:r>
        <w:rPr>
          <w:color w:val="auto"/>
          <w:highlight w:val="none"/>
        </w:rPr>
        <w:t>3.5.1</w:t>
      </w:r>
      <w:r>
        <w:rPr>
          <w:rFonts w:hint="eastAsia"/>
          <w:color w:val="auto"/>
          <w:highlight w:val="none"/>
        </w:rPr>
        <w:t>项规定的有关证明和证件的原件，以便核验。评标委员会依据本章第</w:t>
      </w:r>
      <w:r>
        <w:rPr>
          <w:color w:val="auto"/>
          <w:highlight w:val="none"/>
        </w:rPr>
        <w:t>2.1</w:t>
      </w:r>
      <w:r>
        <w:rPr>
          <w:rFonts w:hint="eastAsia"/>
          <w:color w:val="auto"/>
          <w:highlight w:val="none"/>
        </w:rPr>
        <w:t>款规定的标准对投标文件进行初步评审。有一项不符合评审标准的，评标委员会应当否决其投标。</w:t>
      </w:r>
    </w:p>
    <w:p w14:paraId="1A3F03D9">
      <w:pPr>
        <w:spacing w:line="400" w:lineRule="exact"/>
        <w:ind w:firstLine="420" w:firstLineChars="200"/>
        <w:rPr>
          <w:color w:val="auto"/>
          <w:highlight w:val="none"/>
        </w:rPr>
      </w:pPr>
      <w:r>
        <w:rPr>
          <w:color w:val="auto"/>
          <w:highlight w:val="none"/>
        </w:rPr>
        <w:t xml:space="preserve">3.1.2 </w:t>
      </w:r>
      <w:r>
        <w:rPr>
          <w:rFonts w:hint="eastAsia"/>
          <w:color w:val="auto"/>
          <w:highlight w:val="none"/>
        </w:rPr>
        <w:t>投标人有以下情形之一的，评标委员会应当否决其投标：</w:t>
      </w:r>
    </w:p>
    <w:p w14:paraId="7F3EFFDF">
      <w:pPr>
        <w:spacing w:line="400" w:lineRule="exact"/>
        <w:ind w:firstLine="420" w:firstLineChars="200"/>
        <w:rPr>
          <w:color w:val="auto"/>
          <w:highlight w:val="none"/>
        </w:rPr>
      </w:pPr>
      <w:r>
        <w:rPr>
          <w:rFonts w:hint="eastAsia"/>
          <w:color w:val="auto"/>
          <w:highlight w:val="none"/>
        </w:rPr>
        <w:t>（</w:t>
      </w:r>
      <w:r>
        <w:rPr>
          <w:color w:val="auto"/>
          <w:highlight w:val="none"/>
        </w:rPr>
        <w:t>1</w:t>
      </w:r>
      <w:r>
        <w:rPr>
          <w:rFonts w:hint="eastAsia"/>
          <w:color w:val="auto"/>
          <w:highlight w:val="none"/>
        </w:rPr>
        <w:t>）不按评标委员会要求澄清、说明或补正。</w:t>
      </w:r>
    </w:p>
    <w:p w14:paraId="14E32BDB">
      <w:pPr>
        <w:spacing w:line="400" w:lineRule="exact"/>
        <w:ind w:firstLine="420" w:firstLineChars="200"/>
        <w:rPr>
          <w:color w:val="auto"/>
          <w:highlight w:val="none"/>
        </w:rPr>
      </w:pPr>
      <w:r>
        <w:rPr>
          <w:rFonts w:hint="eastAsia"/>
          <w:color w:val="auto"/>
          <w:highlight w:val="none"/>
        </w:rPr>
        <w:t>（</w:t>
      </w:r>
      <w:r>
        <w:rPr>
          <w:color w:val="auto"/>
          <w:highlight w:val="none"/>
        </w:rPr>
        <w:t>2</w:t>
      </w:r>
      <w:r>
        <w:rPr>
          <w:rFonts w:hint="eastAsia"/>
          <w:color w:val="auto"/>
          <w:highlight w:val="none"/>
        </w:rPr>
        <w:t>）有串通投标、弄虚作假、行贿或有其他违法行为；</w:t>
      </w:r>
    </w:p>
    <w:p w14:paraId="23C2EDF2">
      <w:pPr>
        <w:spacing w:line="400" w:lineRule="exact"/>
        <w:ind w:firstLine="735" w:firstLineChars="350"/>
        <w:rPr>
          <w:color w:val="auto"/>
          <w:highlight w:val="none"/>
        </w:rPr>
      </w:pPr>
      <w:r>
        <w:rPr>
          <w:color w:val="auto"/>
          <w:highlight w:val="none"/>
        </w:rPr>
        <w:t>1</w:t>
      </w:r>
      <w:r>
        <w:rPr>
          <w:rFonts w:hint="eastAsia"/>
          <w:color w:val="auto"/>
          <w:highlight w:val="none"/>
        </w:rPr>
        <w:t>）有下列情形之一的，视为投标人相互串通投标：</w:t>
      </w:r>
    </w:p>
    <w:p w14:paraId="1BF81FCA">
      <w:pPr>
        <w:spacing w:line="400" w:lineRule="exact"/>
        <w:ind w:firstLine="1003" w:firstLineChars="478"/>
        <w:rPr>
          <w:color w:val="auto"/>
          <w:highlight w:val="none"/>
        </w:rPr>
      </w:pPr>
      <w:r>
        <w:rPr>
          <w:rFonts w:hint="eastAsia"/>
          <w:color w:val="auto"/>
          <w:highlight w:val="none"/>
        </w:rPr>
        <w:t>①</w:t>
      </w:r>
      <w:r>
        <w:rPr>
          <w:color w:val="auto"/>
          <w:highlight w:val="none"/>
        </w:rPr>
        <w:t xml:space="preserve"> </w:t>
      </w:r>
      <w:r>
        <w:rPr>
          <w:rFonts w:hint="eastAsia"/>
          <w:color w:val="auto"/>
          <w:highlight w:val="none"/>
        </w:rPr>
        <w:t>不同投标人的投标文件由同一单位或者个人编制；</w:t>
      </w:r>
    </w:p>
    <w:p w14:paraId="777ECEF3">
      <w:pPr>
        <w:spacing w:line="400" w:lineRule="exact"/>
        <w:ind w:firstLine="1003" w:firstLineChars="478"/>
        <w:rPr>
          <w:color w:val="auto"/>
          <w:highlight w:val="none"/>
        </w:rPr>
      </w:pPr>
      <w:r>
        <w:rPr>
          <w:rFonts w:hint="eastAsia"/>
          <w:color w:val="auto"/>
          <w:highlight w:val="none"/>
        </w:rPr>
        <w:t>②</w:t>
      </w:r>
      <w:r>
        <w:rPr>
          <w:color w:val="auto"/>
          <w:highlight w:val="none"/>
        </w:rPr>
        <w:t xml:space="preserve"> </w:t>
      </w:r>
      <w:r>
        <w:rPr>
          <w:rFonts w:hint="eastAsia"/>
          <w:color w:val="auto"/>
          <w:highlight w:val="none"/>
        </w:rPr>
        <w:t>不同投标人委托同一单位或者个人办理投标事宜；</w:t>
      </w:r>
    </w:p>
    <w:p w14:paraId="22A60110">
      <w:pPr>
        <w:spacing w:line="400" w:lineRule="exact"/>
        <w:ind w:firstLine="1003" w:firstLineChars="478"/>
        <w:rPr>
          <w:color w:val="auto"/>
          <w:highlight w:val="none"/>
        </w:rPr>
      </w:pPr>
      <w:r>
        <w:rPr>
          <w:rFonts w:hint="eastAsia"/>
          <w:color w:val="auto"/>
          <w:highlight w:val="none"/>
        </w:rPr>
        <w:t>③</w:t>
      </w:r>
      <w:r>
        <w:rPr>
          <w:color w:val="auto"/>
          <w:highlight w:val="none"/>
        </w:rPr>
        <w:t xml:space="preserve"> </w:t>
      </w:r>
      <w:r>
        <w:rPr>
          <w:rFonts w:hint="eastAsia"/>
          <w:color w:val="auto"/>
          <w:highlight w:val="none"/>
        </w:rPr>
        <w:t>不同投标人的投标文件载明的项目管理成员为同一人；</w:t>
      </w:r>
    </w:p>
    <w:p w14:paraId="5D3A009D">
      <w:pPr>
        <w:spacing w:line="400" w:lineRule="exact"/>
        <w:ind w:firstLine="1003" w:firstLineChars="478"/>
        <w:rPr>
          <w:color w:val="auto"/>
          <w:highlight w:val="none"/>
        </w:rPr>
      </w:pPr>
      <w:r>
        <w:rPr>
          <w:rFonts w:hint="eastAsia"/>
          <w:color w:val="auto"/>
          <w:highlight w:val="none"/>
        </w:rPr>
        <w:t>④</w:t>
      </w:r>
      <w:r>
        <w:rPr>
          <w:color w:val="auto"/>
          <w:highlight w:val="none"/>
        </w:rPr>
        <w:t xml:space="preserve"> </w:t>
      </w:r>
      <w:r>
        <w:rPr>
          <w:rFonts w:hint="eastAsia"/>
          <w:color w:val="auto"/>
          <w:highlight w:val="none"/>
        </w:rPr>
        <w:t>不同投标人的投标文件异常一致或者投标报价呈规律性差异；</w:t>
      </w:r>
    </w:p>
    <w:p w14:paraId="203A5C90">
      <w:pPr>
        <w:spacing w:line="400" w:lineRule="exact"/>
        <w:ind w:firstLine="1003" w:firstLineChars="478"/>
        <w:rPr>
          <w:color w:val="auto"/>
          <w:highlight w:val="none"/>
        </w:rPr>
      </w:pPr>
      <w:r>
        <w:rPr>
          <w:rFonts w:hint="eastAsia"/>
          <w:color w:val="auto"/>
          <w:highlight w:val="none"/>
        </w:rPr>
        <w:t>⑤</w:t>
      </w:r>
      <w:r>
        <w:rPr>
          <w:color w:val="auto"/>
          <w:highlight w:val="none"/>
        </w:rPr>
        <w:t xml:space="preserve"> </w:t>
      </w:r>
      <w:r>
        <w:rPr>
          <w:rFonts w:hint="eastAsia"/>
          <w:color w:val="auto"/>
          <w:highlight w:val="none"/>
        </w:rPr>
        <w:t>不同投标人的投标文件相互混装；</w:t>
      </w:r>
    </w:p>
    <w:p w14:paraId="418878E9">
      <w:pPr>
        <w:spacing w:line="400" w:lineRule="exact"/>
        <w:ind w:firstLine="1003" w:firstLineChars="478"/>
        <w:rPr>
          <w:color w:val="auto"/>
          <w:highlight w:val="none"/>
        </w:rPr>
      </w:pPr>
      <w:r>
        <w:rPr>
          <w:rFonts w:hint="eastAsia"/>
          <w:color w:val="auto"/>
          <w:highlight w:val="none"/>
        </w:rPr>
        <w:t>⑥</w:t>
      </w:r>
      <w:r>
        <w:rPr>
          <w:color w:val="auto"/>
          <w:highlight w:val="none"/>
        </w:rPr>
        <w:t xml:space="preserve"> </w:t>
      </w:r>
      <w:r>
        <w:rPr>
          <w:rFonts w:hint="eastAsia"/>
          <w:color w:val="auto"/>
          <w:highlight w:val="none"/>
        </w:rPr>
        <w:t>不同投标人的投标保证金从同一单位或者个人的账户转出；</w:t>
      </w:r>
    </w:p>
    <w:p w14:paraId="5CCFBDB7">
      <w:pPr>
        <w:spacing w:line="400" w:lineRule="exact"/>
        <w:ind w:firstLine="1003" w:firstLineChars="478"/>
        <w:rPr>
          <w:color w:val="auto"/>
          <w:highlight w:val="none"/>
        </w:rPr>
      </w:pPr>
      <w:r>
        <w:rPr>
          <w:rFonts w:hint="eastAsia"/>
          <w:color w:val="auto"/>
          <w:highlight w:val="none"/>
        </w:rPr>
        <w:t>⑦不同投标人的投标文件存在“文件创建标识码”、“文件制作机器码”一致等情形。</w:t>
      </w:r>
    </w:p>
    <w:p w14:paraId="1CF14547">
      <w:pPr>
        <w:spacing w:line="400" w:lineRule="exact"/>
        <w:ind w:firstLine="420" w:firstLineChars="200"/>
        <w:rPr>
          <w:color w:val="auto"/>
          <w:highlight w:val="none"/>
        </w:rPr>
      </w:pPr>
      <w:r>
        <w:rPr>
          <w:color w:val="auto"/>
          <w:highlight w:val="none"/>
        </w:rPr>
        <w:t xml:space="preserve">   2</w:t>
      </w:r>
      <w:r>
        <w:rPr>
          <w:rFonts w:hint="eastAsia"/>
          <w:color w:val="auto"/>
          <w:highlight w:val="none"/>
        </w:rPr>
        <w:t>）有下列情形之一的，属于弄虚作假行为：</w:t>
      </w:r>
    </w:p>
    <w:p w14:paraId="45244F86">
      <w:pPr>
        <w:spacing w:line="400" w:lineRule="exact"/>
        <w:ind w:firstLine="1003" w:firstLineChars="478"/>
        <w:rPr>
          <w:color w:val="auto"/>
          <w:highlight w:val="none"/>
        </w:rPr>
      </w:pPr>
      <w:r>
        <w:rPr>
          <w:rFonts w:hint="eastAsia"/>
          <w:color w:val="auto"/>
          <w:highlight w:val="none"/>
        </w:rPr>
        <w:t>①</w:t>
      </w:r>
      <w:r>
        <w:rPr>
          <w:color w:val="auto"/>
          <w:highlight w:val="none"/>
        </w:rPr>
        <w:t xml:space="preserve"> </w:t>
      </w:r>
      <w:r>
        <w:rPr>
          <w:rFonts w:hint="eastAsia"/>
          <w:color w:val="auto"/>
          <w:highlight w:val="none"/>
        </w:rPr>
        <w:t>使用通过受让或者租借等方式获取的资格、资质证书投标的，即以他人名义投标的。</w:t>
      </w:r>
    </w:p>
    <w:p w14:paraId="330E9622">
      <w:pPr>
        <w:spacing w:line="400" w:lineRule="exact"/>
        <w:ind w:firstLine="1003" w:firstLineChars="478"/>
        <w:rPr>
          <w:color w:val="auto"/>
          <w:highlight w:val="none"/>
        </w:rPr>
      </w:pPr>
      <w:r>
        <w:rPr>
          <w:rFonts w:hint="eastAsia"/>
          <w:color w:val="auto"/>
          <w:highlight w:val="none"/>
        </w:rPr>
        <w:t>②</w:t>
      </w:r>
      <w:r>
        <w:rPr>
          <w:color w:val="auto"/>
          <w:highlight w:val="none"/>
        </w:rPr>
        <w:t xml:space="preserve"> </w:t>
      </w:r>
      <w:r>
        <w:rPr>
          <w:rFonts w:hint="eastAsia"/>
          <w:color w:val="auto"/>
          <w:highlight w:val="none"/>
        </w:rPr>
        <w:t>使用伪造、变造的许可证件；</w:t>
      </w:r>
    </w:p>
    <w:p w14:paraId="0A1C0CBA">
      <w:pPr>
        <w:spacing w:line="400" w:lineRule="exact"/>
        <w:ind w:firstLine="1003" w:firstLineChars="478"/>
        <w:rPr>
          <w:color w:val="auto"/>
          <w:highlight w:val="none"/>
        </w:rPr>
      </w:pPr>
      <w:r>
        <w:rPr>
          <w:rFonts w:hint="eastAsia"/>
          <w:color w:val="auto"/>
          <w:highlight w:val="none"/>
        </w:rPr>
        <w:t>③</w:t>
      </w:r>
      <w:r>
        <w:rPr>
          <w:color w:val="auto"/>
          <w:highlight w:val="none"/>
        </w:rPr>
        <w:t xml:space="preserve"> </w:t>
      </w:r>
      <w:r>
        <w:rPr>
          <w:rFonts w:hint="eastAsia"/>
          <w:color w:val="auto"/>
          <w:highlight w:val="none"/>
        </w:rPr>
        <w:t>提供虚假的财务状况或者业绩；</w:t>
      </w:r>
    </w:p>
    <w:p w14:paraId="6E4D7079">
      <w:pPr>
        <w:spacing w:line="400" w:lineRule="exact"/>
        <w:ind w:firstLine="1003" w:firstLineChars="478"/>
        <w:rPr>
          <w:color w:val="auto"/>
          <w:highlight w:val="none"/>
        </w:rPr>
      </w:pPr>
      <w:r>
        <w:rPr>
          <w:rFonts w:hint="eastAsia"/>
          <w:color w:val="auto"/>
          <w:highlight w:val="none"/>
        </w:rPr>
        <w:t>④</w:t>
      </w:r>
      <w:r>
        <w:rPr>
          <w:color w:val="auto"/>
          <w:highlight w:val="none"/>
        </w:rPr>
        <w:t xml:space="preserve"> </w:t>
      </w:r>
      <w:r>
        <w:rPr>
          <w:rFonts w:hint="eastAsia"/>
          <w:color w:val="auto"/>
          <w:highlight w:val="none"/>
        </w:rPr>
        <w:t>提供虚假的项目负责人或者主要技术人员简历、劳动关系证明；</w:t>
      </w:r>
    </w:p>
    <w:p w14:paraId="07EAB497">
      <w:pPr>
        <w:spacing w:line="400" w:lineRule="exact"/>
        <w:ind w:firstLine="1003" w:firstLineChars="478"/>
        <w:rPr>
          <w:color w:val="auto"/>
          <w:highlight w:val="none"/>
        </w:rPr>
      </w:pPr>
      <w:r>
        <w:rPr>
          <w:rFonts w:hint="eastAsia"/>
          <w:color w:val="auto"/>
          <w:highlight w:val="none"/>
        </w:rPr>
        <w:t>⑤</w:t>
      </w:r>
      <w:r>
        <w:rPr>
          <w:color w:val="auto"/>
          <w:highlight w:val="none"/>
        </w:rPr>
        <w:t xml:space="preserve"> </w:t>
      </w:r>
      <w:r>
        <w:rPr>
          <w:rFonts w:hint="eastAsia"/>
          <w:color w:val="auto"/>
          <w:highlight w:val="none"/>
        </w:rPr>
        <w:t>提供虚假的信用状况；</w:t>
      </w:r>
    </w:p>
    <w:p w14:paraId="73A7D3C3">
      <w:pPr>
        <w:spacing w:line="400" w:lineRule="exact"/>
        <w:ind w:firstLine="945" w:firstLineChars="450"/>
        <w:rPr>
          <w:color w:val="auto"/>
          <w:highlight w:val="none"/>
        </w:rPr>
      </w:pPr>
      <w:r>
        <w:rPr>
          <w:color w:val="auto"/>
          <w:highlight w:val="none"/>
        </w:rPr>
        <w:t> </w:t>
      </w:r>
      <w:r>
        <w:rPr>
          <w:rFonts w:hint="eastAsia"/>
          <w:color w:val="auto"/>
          <w:highlight w:val="none"/>
        </w:rPr>
        <w:t>⑥</w:t>
      </w:r>
      <w:r>
        <w:rPr>
          <w:color w:val="auto"/>
          <w:highlight w:val="none"/>
        </w:rPr>
        <w:t xml:space="preserve"> </w:t>
      </w:r>
      <w:r>
        <w:rPr>
          <w:rFonts w:hint="eastAsia"/>
          <w:color w:val="auto"/>
          <w:highlight w:val="none"/>
        </w:rPr>
        <w:t>其他弄虚作假的行为。</w:t>
      </w:r>
    </w:p>
    <w:p w14:paraId="4AAC5DD7">
      <w:pPr>
        <w:spacing w:line="400" w:lineRule="exact"/>
        <w:ind w:firstLine="420" w:firstLineChars="200"/>
        <w:rPr>
          <w:color w:val="auto"/>
          <w:highlight w:val="none"/>
        </w:rPr>
      </w:pPr>
      <w:r>
        <w:rPr>
          <w:color w:val="auto"/>
          <w:highlight w:val="none"/>
        </w:rPr>
        <w:t>3.1.3</w:t>
      </w:r>
      <w:r>
        <w:rPr>
          <w:rFonts w:hint="eastAsia"/>
          <w:color w:val="auto"/>
          <w:highlight w:val="none"/>
        </w:rPr>
        <w:t>投标报价有算术错误的，评标委员会按以下原则对投标报价进行修正，修正的价格经投标人书面确认后具有约束力。投标人不接受修正价格的，或者修正后的价格与投标报价相比偏差率（（修正后的价格</w:t>
      </w:r>
      <w:r>
        <w:rPr>
          <w:color w:val="auto"/>
          <w:highlight w:val="none"/>
        </w:rPr>
        <w:t>-</w:t>
      </w:r>
      <w:r>
        <w:rPr>
          <w:rFonts w:hint="eastAsia"/>
          <w:color w:val="auto"/>
          <w:highlight w:val="none"/>
        </w:rPr>
        <w:t>投标报价）÷投标报价×</w:t>
      </w:r>
      <w:r>
        <w:rPr>
          <w:color w:val="auto"/>
          <w:highlight w:val="none"/>
        </w:rPr>
        <w:t>100%</w:t>
      </w:r>
      <w:r>
        <w:rPr>
          <w:rFonts w:hint="eastAsia"/>
          <w:color w:val="auto"/>
          <w:highlight w:val="none"/>
        </w:rPr>
        <w:t>）在</w:t>
      </w:r>
      <w:r>
        <w:rPr>
          <w:rFonts w:hint="eastAsia" w:ascii="宋体" w:hAnsi="宋体"/>
          <w:color w:val="auto"/>
          <w:szCs w:val="21"/>
          <w:highlight w:val="none"/>
        </w:rPr>
        <w:t>±</w:t>
      </w:r>
      <w:r>
        <w:rPr>
          <w:color w:val="auto"/>
          <w:highlight w:val="none"/>
        </w:rPr>
        <w:t>1%</w:t>
      </w:r>
      <w:r>
        <w:rPr>
          <w:rFonts w:hint="eastAsia"/>
          <w:color w:val="auto"/>
          <w:highlight w:val="none"/>
        </w:rPr>
        <w:t>以上的，或者修正后的投标报价超过招标控制价的（如有），评标委员会应当否决其投标。</w:t>
      </w:r>
    </w:p>
    <w:p w14:paraId="00AF7791">
      <w:pPr>
        <w:spacing w:line="400" w:lineRule="exact"/>
        <w:ind w:firstLine="718" w:firstLineChars="342"/>
        <w:rPr>
          <w:color w:val="auto"/>
          <w:highlight w:val="none"/>
        </w:rPr>
      </w:pPr>
      <w:bookmarkStart w:id="624" w:name="_Toc152042383"/>
      <w:r>
        <w:rPr>
          <w:rFonts w:hint="eastAsia"/>
          <w:color w:val="auto"/>
          <w:highlight w:val="none"/>
        </w:rPr>
        <w:t>（</w:t>
      </w:r>
      <w:r>
        <w:rPr>
          <w:color w:val="auto"/>
          <w:highlight w:val="none"/>
        </w:rPr>
        <w:t>1</w:t>
      </w:r>
      <w:r>
        <w:rPr>
          <w:rFonts w:hint="eastAsia"/>
          <w:color w:val="auto"/>
          <w:highlight w:val="none"/>
        </w:rPr>
        <w:t>）投标文件中的大写金额与小写金额不一致的，以大写金额为准；</w:t>
      </w:r>
      <w:bookmarkEnd w:id="624"/>
    </w:p>
    <w:p w14:paraId="76D9AC45">
      <w:pPr>
        <w:spacing w:line="400" w:lineRule="exact"/>
        <w:ind w:firstLine="718" w:firstLineChars="342"/>
        <w:rPr>
          <w:color w:val="auto"/>
          <w:highlight w:val="none"/>
        </w:rPr>
      </w:pPr>
      <w:r>
        <w:rPr>
          <w:rFonts w:hint="eastAsia"/>
          <w:color w:val="auto"/>
          <w:highlight w:val="none"/>
        </w:rPr>
        <w:t>（</w:t>
      </w:r>
      <w:r>
        <w:rPr>
          <w:color w:val="auto"/>
          <w:highlight w:val="none"/>
        </w:rPr>
        <w:t>2</w:t>
      </w:r>
      <w:r>
        <w:rPr>
          <w:rFonts w:hint="eastAsia"/>
          <w:color w:val="auto"/>
          <w:highlight w:val="none"/>
        </w:rPr>
        <w:t>）总价金额与依据单价计算出的结果不一致的，以单价金额为准修正总价，但单价金额小数点有明显错误的除外。</w:t>
      </w:r>
    </w:p>
    <w:p w14:paraId="1A5AC316">
      <w:pPr>
        <w:spacing w:line="400" w:lineRule="exact"/>
        <w:ind w:firstLine="718" w:firstLineChars="342"/>
        <w:rPr>
          <w:color w:val="auto"/>
          <w:highlight w:val="none"/>
        </w:rPr>
      </w:pPr>
      <w:r>
        <w:rPr>
          <w:color w:val="auto"/>
          <w:highlight w:val="none"/>
        </w:rPr>
        <w:t xml:space="preserve">3.1.4 </w:t>
      </w:r>
      <w:r>
        <w:rPr>
          <w:rFonts w:hint="eastAsia"/>
          <w:color w:val="auto"/>
          <w:highlight w:val="none"/>
        </w:rPr>
        <w:t>评标委员会发现投标人的报价明显低于其他投标报价，或者在设有招标控制价时明显低于招标控制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7E242150">
      <w:pPr>
        <w:spacing w:line="400" w:lineRule="exact"/>
        <w:ind w:firstLine="718" w:firstLineChars="342"/>
        <w:rPr>
          <w:color w:val="auto"/>
          <w:highlight w:val="none"/>
        </w:rPr>
      </w:pPr>
      <w:r>
        <w:rPr>
          <w:color w:val="auto"/>
          <w:highlight w:val="none"/>
        </w:rPr>
        <w:t xml:space="preserve">3.1.5 </w:t>
      </w:r>
      <w:r>
        <w:rPr>
          <w:rFonts w:hint="eastAsia"/>
          <w:color w:val="auto"/>
          <w:highlight w:val="none"/>
        </w:rPr>
        <w:t>评标委员会否决不合格投标后，因有效投标不足三个使得投标明显缺乏竞争的，评标委员会可以否决全部投标。</w:t>
      </w:r>
    </w:p>
    <w:p w14:paraId="050779FE">
      <w:pPr>
        <w:pStyle w:val="33"/>
        <w:rPr>
          <w:color w:val="auto"/>
          <w:highlight w:val="none"/>
        </w:rPr>
      </w:pPr>
      <w:bookmarkStart w:id="625" w:name="_Toc3235"/>
      <w:bookmarkStart w:id="626" w:name="_Toc144974573"/>
      <w:bookmarkStart w:id="627" w:name="_Toc152042384"/>
      <w:bookmarkStart w:id="628" w:name="_Toc179632624"/>
      <w:bookmarkStart w:id="629" w:name="_Toc28531778"/>
      <w:bookmarkStart w:id="630" w:name="_Toc152045606"/>
      <w:r>
        <w:rPr>
          <w:color w:val="auto"/>
          <w:highlight w:val="none"/>
        </w:rPr>
        <w:t xml:space="preserve">3.2 </w:t>
      </w:r>
      <w:r>
        <w:rPr>
          <w:rFonts w:hint="eastAsia"/>
          <w:color w:val="auto"/>
          <w:highlight w:val="none"/>
        </w:rPr>
        <w:t>详细评审</w:t>
      </w:r>
      <w:bookmarkEnd w:id="625"/>
      <w:bookmarkEnd w:id="626"/>
      <w:bookmarkEnd w:id="627"/>
      <w:bookmarkEnd w:id="628"/>
      <w:bookmarkEnd w:id="629"/>
      <w:bookmarkEnd w:id="630"/>
    </w:p>
    <w:p w14:paraId="45240621">
      <w:pPr>
        <w:spacing w:line="400" w:lineRule="exact"/>
        <w:ind w:firstLine="420" w:firstLineChars="200"/>
        <w:rPr>
          <w:color w:val="auto"/>
          <w:highlight w:val="none"/>
        </w:rPr>
      </w:pPr>
      <w:r>
        <w:rPr>
          <w:color w:val="auto"/>
          <w:highlight w:val="none"/>
        </w:rPr>
        <w:t xml:space="preserve">3.2.1 </w:t>
      </w:r>
      <w:r>
        <w:rPr>
          <w:rFonts w:hint="eastAsia"/>
          <w:color w:val="auto"/>
          <w:highlight w:val="none"/>
        </w:rPr>
        <w:t>评标委员会对通过了初步评审的投标文件进行详细评审。</w:t>
      </w:r>
    </w:p>
    <w:p w14:paraId="69B85FDE">
      <w:pPr>
        <w:spacing w:line="400" w:lineRule="exact"/>
        <w:ind w:firstLine="420" w:firstLineChars="200"/>
        <w:rPr>
          <w:color w:val="auto"/>
          <w:highlight w:val="none"/>
        </w:rPr>
      </w:pPr>
      <w:r>
        <w:rPr>
          <w:color w:val="auto"/>
          <w:highlight w:val="none"/>
        </w:rPr>
        <w:t xml:space="preserve">3.2.2 </w:t>
      </w:r>
      <w:r>
        <w:rPr>
          <w:rFonts w:hint="eastAsia"/>
          <w:color w:val="auto"/>
          <w:highlight w:val="none"/>
        </w:rPr>
        <w:t>评标委员会按本章第</w:t>
      </w:r>
      <w:r>
        <w:rPr>
          <w:color w:val="auto"/>
          <w:highlight w:val="none"/>
        </w:rPr>
        <w:t>2.2</w:t>
      </w:r>
      <w:r>
        <w:rPr>
          <w:rFonts w:hint="eastAsia"/>
          <w:color w:val="auto"/>
          <w:highlight w:val="none"/>
        </w:rPr>
        <w:t>款规定的量化因素和分值进行打分，并计算出综合评估得分。</w:t>
      </w:r>
    </w:p>
    <w:p w14:paraId="7D65C3B7">
      <w:pPr>
        <w:spacing w:line="400" w:lineRule="exact"/>
        <w:ind w:firstLine="718" w:firstLineChars="342"/>
        <w:rPr>
          <w:color w:val="auto"/>
          <w:highlight w:val="none"/>
        </w:rPr>
      </w:pPr>
      <w:r>
        <w:rPr>
          <w:rFonts w:hint="eastAsia"/>
          <w:color w:val="auto"/>
          <w:highlight w:val="none"/>
        </w:rPr>
        <w:t>（</w:t>
      </w:r>
      <w:r>
        <w:rPr>
          <w:color w:val="auto"/>
          <w:highlight w:val="none"/>
        </w:rPr>
        <w:t>1</w:t>
      </w:r>
      <w:r>
        <w:rPr>
          <w:rFonts w:hint="eastAsia"/>
          <w:color w:val="auto"/>
          <w:highlight w:val="none"/>
        </w:rPr>
        <w:t>）按本章第</w:t>
      </w:r>
      <w:r>
        <w:rPr>
          <w:color w:val="auto"/>
          <w:highlight w:val="none"/>
        </w:rPr>
        <w:t>2.2.4</w:t>
      </w:r>
      <w:r>
        <w:rPr>
          <w:rFonts w:hint="eastAsia"/>
          <w:color w:val="auto"/>
          <w:highlight w:val="none"/>
        </w:rPr>
        <w:t>（</w:t>
      </w:r>
      <w:r>
        <w:rPr>
          <w:color w:val="auto"/>
          <w:highlight w:val="none"/>
        </w:rPr>
        <w:t>1</w:t>
      </w:r>
      <w:r>
        <w:rPr>
          <w:rFonts w:hint="eastAsia"/>
          <w:color w:val="auto"/>
          <w:highlight w:val="none"/>
        </w:rPr>
        <w:t>）目规定的评审因素和分值对投标报价计算出得分</w:t>
      </w:r>
      <w:r>
        <w:rPr>
          <w:color w:val="auto"/>
          <w:highlight w:val="none"/>
        </w:rPr>
        <w:t>A</w:t>
      </w:r>
      <w:r>
        <w:rPr>
          <w:rFonts w:hint="eastAsia"/>
          <w:color w:val="auto"/>
          <w:highlight w:val="none"/>
        </w:rPr>
        <w:t>；</w:t>
      </w:r>
    </w:p>
    <w:p w14:paraId="21A1A7E1">
      <w:pPr>
        <w:spacing w:line="400" w:lineRule="exact"/>
        <w:ind w:firstLine="718" w:firstLineChars="342"/>
        <w:rPr>
          <w:color w:val="auto"/>
          <w:highlight w:val="none"/>
        </w:rPr>
      </w:pPr>
      <w:r>
        <w:rPr>
          <w:rFonts w:hint="eastAsia"/>
          <w:color w:val="auto"/>
          <w:highlight w:val="none"/>
        </w:rPr>
        <w:t>（</w:t>
      </w:r>
      <w:r>
        <w:rPr>
          <w:color w:val="auto"/>
          <w:highlight w:val="none"/>
        </w:rPr>
        <w:t>2</w:t>
      </w:r>
      <w:r>
        <w:rPr>
          <w:rFonts w:hint="eastAsia"/>
          <w:color w:val="auto"/>
          <w:highlight w:val="none"/>
        </w:rPr>
        <w:t>）按本章第</w:t>
      </w:r>
      <w:r>
        <w:rPr>
          <w:color w:val="auto"/>
          <w:highlight w:val="none"/>
        </w:rPr>
        <w:t>2.2.4</w:t>
      </w:r>
      <w:r>
        <w:rPr>
          <w:rFonts w:hint="eastAsia"/>
          <w:color w:val="auto"/>
          <w:highlight w:val="none"/>
        </w:rPr>
        <w:t>（</w:t>
      </w:r>
      <w:r>
        <w:rPr>
          <w:color w:val="auto"/>
          <w:highlight w:val="none"/>
        </w:rPr>
        <w:t>2</w:t>
      </w:r>
      <w:r>
        <w:rPr>
          <w:rFonts w:hint="eastAsia"/>
          <w:color w:val="auto"/>
          <w:highlight w:val="none"/>
        </w:rPr>
        <w:t>）目规定的评审因素和分值对施工组织设计计算出得分</w:t>
      </w:r>
      <w:r>
        <w:rPr>
          <w:color w:val="auto"/>
          <w:highlight w:val="none"/>
        </w:rPr>
        <w:t>B</w:t>
      </w:r>
      <w:r>
        <w:rPr>
          <w:rFonts w:hint="eastAsia"/>
          <w:color w:val="auto"/>
          <w:highlight w:val="none"/>
        </w:rPr>
        <w:t>；</w:t>
      </w:r>
    </w:p>
    <w:p w14:paraId="2FBDCDD0">
      <w:pPr>
        <w:spacing w:line="400" w:lineRule="exact"/>
        <w:ind w:firstLine="718" w:firstLineChars="342"/>
        <w:rPr>
          <w:color w:val="auto"/>
          <w:highlight w:val="none"/>
        </w:rPr>
      </w:pPr>
      <w:r>
        <w:rPr>
          <w:rFonts w:hint="eastAsia"/>
          <w:color w:val="auto"/>
          <w:highlight w:val="none"/>
        </w:rPr>
        <w:t>（</w:t>
      </w:r>
      <w:r>
        <w:rPr>
          <w:color w:val="auto"/>
          <w:highlight w:val="none"/>
        </w:rPr>
        <w:t>3</w:t>
      </w:r>
      <w:r>
        <w:rPr>
          <w:rFonts w:hint="eastAsia"/>
          <w:color w:val="auto"/>
          <w:highlight w:val="none"/>
        </w:rPr>
        <w:t>）按本章第</w:t>
      </w:r>
      <w:r>
        <w:rPr>
          <w:color w:val="auto"/>
          <w:highlight w:val="none"/>
        </w:rPr>
        <w:t>2.2.4</w:t>
      </w:r>
      <w:r>
        <w:rPr>
          <w:rFonts w:hint="eastAsia"/>
          <w:color w:val="auto"/>
          <w:highlight w:val="none"/>
        </w:rPr>
        <w:t>（</w:t>
      </w:r>
      <w:r>
        <w:rPr>
          <w:color w:val="auto"/>
          <w:highlight w:val="none"/>
        </w:rPr>
        <w:t>3</w:t>
      </w:r>
      <w:r>
        <w:rPr>
          <w:rFonts w:hint="eastAsia"/>
          <w:color w:val="auto"/>
          <w:highlight w:val="none"/>
        </w:rPr>
        <w:t>）目规定的评审因素和分值对项目管理机构计算出得分</w:t>
      </w:r>
      <w:r>
        <w:rPr>
          <w:color w:val="auto"/>
          <w:highlight w:val="none"/>
        </w:rPr>
        <w:t>C</w:t>
      </w:r>
      <w:r>
        <w:rPr>
          <w:rFonts w:hint="eastAsia"/>
          <w:color w:val="auto"/>
          <w:highlight w:val="none"/>
        </w:rPr>
        <w:t>；</w:t>
      </w:r>
    </w:p>
    <w:p w14:paraId="7CDB4D58">
      <w:pPr>
        <w:spacing w:line="400" w:lineRule="exact"/>
        <w:ind w:firstLine="718" w:firstLineChars="342"/>
        <w:rPr>
          <w:color w:val="auto"/>
          <w:highlight w:val="none"/>
        </w:rPr>
      </w:pPr>
      <w:r>
        <w:rPr>
          <w:rFonts w:hint="eastAsia"/>
          <w:color w:val="auto"/>
          <w:highlight w:val="none"/>
        </w:rPr>
        <w:t>（</w:t>
      </w:r>
      <w:r>
        <w:rPr>
          <w:color w:val="auto"/>
          <w:highlight w:val="none"/>
        </w:rPr>
        <w:t>4</w:t>
      </w:r>
      <w:r>
        <w:rPr>
          <w:rFonts w:hint="eastAsia"/>
          <w:color w:val="auto"/>
          <w:highlight w:val="none"/>
        </w:rPr>
        <w:t>）按本章第</w:t>
      </w:r>
      <w:r>
        <w:rPr>
          <w:color w:val="auto"/>
          <w:highlight w:val="none"/>
        </w:rPr>
        <w:t>2.2.4</w:t>
      </w:r>
      <w:r>
        <w:rPr>
          <w:rFonts w:hint="eastAsia"/>
          <w:color w:val="auto"/>
          <w:highlight w:val="none"/>
        </w:rPr>
        <w:t>（</w:t>
      </w:r>
      <w:r>
        <w:rPr>
          <w:color w:val="auto"/>
          <w:highlight w:val="none"/>
        </w:rPr>
        <w:t>4</w:t>
      </w:r>
      <w:r>
        <w:rPr>
          <w:rFonts w:hint="eastAsia"/>
          <w:color w:val="auto"/>
          <w:highlight w:val="none"/>
        </w:rPr>
        <w:t>）目规定的评审因素和分值对其他部分计算出得分</w:t>
      </w:r>
      <w:r>
        <w:rPr>
          <w:color w:val="auto"/>
          <w:highlight w:val="none"/>
        </w:rPr>
        <w:t>D</w:t>
      </w:r>
      <w:r>
        <w:rPr>
          <w:rFonts w:hint="eastAsia"/>
          <w:color w:val="auto"/>
          <w:highlight w:val="none"/>
        </w:rPr>
        <w:t>。</w:t>
      </w:r>
    </w:p>
    <w:p w14:paraId="68338F0C">
      <w:pPr>
        <w:spacing w:line="400" w:lineRule="exact"/>
        <w:ind w:firstLine="420" w:firstLineChars="200"/>
        <w:rPr>
          <w:color w:val="auto"/>
          <w:highlight w:val="none"/>
        </w:rPr>
      </w:pPr>
      <w:r>
        <w:rPr>
          <w:color w:val="auto"/>
          <w:highlight w:val="none"/>
        </w:rPr>
        <w:t xml:space="preserve">3.2.2 </w:t>
      </w:r>
      <w:r>
        <w:rPr>
          <w:rFonts w:hint="eastAsia"/>
          <w:color w:val="auto"/>
          <w:highlight w:val="none"/>
        </w:rPr>
        <w:t>评标委员会按本章第</w:t>
      </w:r>
      <w:r>
        <w:rPr>
          <w:color w:val="auto"/>
          <w:highlight w:val="none"/>
        </w:rPr>
        <w:t>2.2</w:t>
      </w:r>
      <w:r>
        <w:rPr>
          <w:rFonts w:hint="eastAsia"/>
          <w:color w:val="auto"/>
          <w:highlight w:val="none"/>
        </w:rPr>
        <w:t>款规定的量化因素和评审标准对投标报价评审，确人有效评标价。（适用于办法八）</w:t>
      </w:r>
    </w:p>
    <w:p w14:paraId="19910D95">
      <w:pPr>
        <w:spacing w:line="400" w:lineRule="exact"/>
        <w:ind w:firstLine="420" w:firstLineChars="200"/>
        <w:rPr>
          <w:color w:val="auto"/>
          <w:highlight w:val="none"/>
        </w:rPr>
      </w:pPr>
      <w:r>
        <w:rPr>
          <w:color w:val="auto"/>
          <w:highlight w:val="none"/>
        </w:rPr>
        <w:t xml:space="preserve">3.2.3 </w:t>
      </w:r>
      <w:r>
        <w:rPr>
          <w:rFonts w:hint="eastAsia"/>
          <w:color w:val="auto"/>
          <w:highlight w:val="none"/>
        </w:rPr>
        <w:t>评分分值计算保留小数点后两位，小数点后第三位“四舍五入”。</w:t>
      </w:r>
    </w:p>
    <w:p w14:paraId="5B3EB7F5">
      <w:pPr>
        <w:spacing w:line="400" w:lineRule="exact"/>
        <w:ind w:firstLine="420" w:firstLineChars="200"/>
        <w:rPr>
          <w:color w:val="auto"/>
          <w:highlight w:val="none"/>
        </w:rPr>
      </w:pPr>
      <w:r>
        <w:rPr>
          <w:color w:val="auto"/>
          <w:highlight w:val="none"/>
        </w:rPr>
        <w:t xml:space="preserve">3.2.4 </w:t>
      </w:r>
      <w:r>
        <w:rPr>
          <w:rFonts w:hint="eastAsia"/>
          <w:color w:val="auto"/>
          <w:highlight w:val="none"/>
        </w:rPr>
        <w:t>投标人得分</w:t>
      </w:r>
      <w:r>
        <w:rPr>
          <w:color w:val="auto"/>
          <w:highlight w:val="none"/>
        </w:rPr>
        <w:t>=A+B+C+D</w:t>
      </w:r>
      <w:r>
        <w:rPr>
          <w:rFonts w:hint="eastAsia"/>
          <w:color w:val="auto"/>
          <w:highlight w:val="none"/>
        </w:rPr>
        <w:t>。</w:t>
      </w:r>
    </w:p>
    <w:p w14:paraId="199B446A">
      <w:pPr>
        <w:spacing w:line="400" w:lineRule="exact"/>
        <w:ind w:firstLine="420" w:firstLineChars="200"/>
        <w:rPr>
          <w:color w:val="auto"/>
          <w:highlight w:val="none"/>
        </w:rPr>
      </w:pPr>
      <w:r>
        <w:rPr>
          <w:color w:val="auto"/>
          <w:highlight w:val="none"/>
        </w:rPr>
        <w:t xml:space="preserve">3.2.5 </w:t>
      </w:r>
      <w:r>
        <w:rPr>
          <w:rFonts w:hint="eastAsia"/>
          <w:color w:val="auto"/>
          <w:highlight w:val="none"/>
        </w:rPr>
        <w:t>各投标人最终得分的确定办法为：</w:t>
      </w:r>
      <w:r>
        <w:rPr>
          <w:rFonts w:hint="eastAsia" w:ascii="宋体" w:hAnsi="宋体"/>
          <w:color w:val="auto"/>
          <w:szCs w:val="21"/>
          <w:highlight w:val="none"/>
        </w:rPr>
        <w:t>所有</w:t>
      </w:r>
      <w:r>
        <w:rPr>
          <w:rFonts w:hint="eastAsia"/>
          <w:color w:val="auto"/>
          <w:highlight w:val="none"/>
        </w:rPr>
        <w:t>评标委员会成员</w:t>
      </w:r>
      <w:r>
        <w:rPr>
          <w:rFonts w:hint="eastAsia" w:ascii="宋体" w:hAnsi="宋体"/>
          <w:color w:val="auto"/>
          <w:szCs w:val="21"/>
          <w:highlight w:val="none"/>
        </w:rPr>
        <w:t>的</w:t>
      </w:r>
      <w:r>
        <w:rPr>
          <w:rFonts w:hint="eastAsia" w:ascii="宋体" w:hAnsi="宋体"/>
          <w:color w:val="auto"/>
          <w:kern w:val="0"/>
          <w:szCs w:val="21"/>
          <w:highlight w:val="none"/>
        </w:rPr>
        <w:t>综合评分</w:t>
      </w:r>
      <w:r>
        <w:rPr>
          <w:rFonts w:hint="eastAsia" w:ascii="宋体" w:hAnsi="宋体"/>
          <w:color w:val="auto"/>
          <w:szCs w:val="21"/>
          <w:highlight w:val="none"/>
        </w:rPr>
        <w:t>去掉一个最高分和一个最低分之后的算术平均值。</w:t>
      </w:r>
    </w:p>
    <w:p w14:paraId="7F505EA4">
      <w:pPr>
        <w:pStyle w:val="33"/>
        <w:rPr>
          <w:color w:val="auto"/>
          <w:highlight w:val="none"/>
        </w:rPr>
      </w:pPr>
      <w:bookmarkStart w:id="631" w:name="_Toc144974575"/>
      <w:bookmarkStart w:id="632" w:name="_Toc2607"/>
      <w:bookmarkStart w:id="633" w:name="_Toc179632625"/>
      <w:bookmarkStart w:id="634" w:name="_Toc28531779"/>
      <w:bookmarkStart w:id="635" w:name="_Toc152045607"/>
      <w:bookmarkStart w:id="636" w:name="_Toc152042385"/>
      <w:r>
        <w:rPr>
          <w:color w:val="auto"/>
          <w:highlight w:val="none"/>
        </w:rPr>
        <w:t xml:space="preserve">3.3 </w:t>
      </w:r>
      <w:r>
        <w:rPr>
          <w:rFonts w:hint="eastAsia"/>
          <w:color w:val="auto"/>
          <w:highlight w:val="none"/>
        </w:rPr>
        <w:t>投标文件的澄清</w:t>
      </w:r>
      <w:bookmarkEnd w:id="631"/>
      <w:r>
        <w:rPr>
          <w:rFonts w:hint="eastAsia"/>
          <w:color w:val="auto"/>
          <w:highlight w:val="none"/>
        </w:rPr>
        <w:t>和补正</w:t>
      </w:r>
      <w:bookmarkEnd w:id="632"/>
      <w:bookmarkEnd w:id="633"/>
      <w:bookmarkEnd w:id="634"/>
      <w:bookmarkEnd w:id="635"/>
      <w:bookmarkEnd w:id="636"/>
    </w:p>
    <w:p w14:paraId="1541B831">
      <w:pPr>
        <w:spacing w:line="400" w:lineRule="exact"/>
        <w:ind w:firstLine="420" w:firstLineChars="200"/>
        <w:rPr>
          <w:color w:val="auto"/>
          <w:highlight w:val="none"/>
        </w:rPr>
      </w:pPr>
      <w:r>
        <w:rPr>
          <w:color w:val="auto"/>
          <w:highlight w:val="none"/>
        </w:rPr>
        <w:t>3.3.1</w:t>
      </w:r>
      <w:r>
        <w:rPr>
          <w:rFonts w:hint="eastAsia"/>
          <w:color w:val="auto"/>
          <w:highlight w:val="none"/>
        </w:rPr>
        <w:t>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177256EF">
      <w:pPr>
        <w:spacing w:line="400" w:lineRule="exact"/>
        <w:ind w:firstLine="420" w:firstLineChars="200"/>
        <w:rPr>
          <w:color w:val="auto"/>
          <w:highlight w:val="none"/>
        </w:rPr>
      </w:pPr>
      <w:r>
        <w:rPr>
          <w:color w:val="auto"/>
          <w:highlight w:val="none"/>
        </w:rPr>
        <w:t xml:space="preserve">3.3.2 </w:t>
      </w:r>
      <w:r>
        <w:rPr>
          <w:rFonts w:hint="eastAsia"/>
          <w:color w:val="auto"/>
          <w:highlight w:val="none"/>
        </w:rPr>
        <w:t>澄清、说明和补正不得超出投标文件的范围且不得改变投标文件的实质性内容（算术错误修正的除外）。投标人的书面澄清、说明和补正属于投标文件的组成部分。</w:t>
      </w:r>
    </w:p>
    <w:p w14:paraId="06585EB3">
      <w:pPr>
        <w:spacing w:line="400" w:lineRule="exact"/>
        <w:ind w:firstLine="420" w:firstLineChars="200"/>
        <w:rPr>
          <w:color w:val="auto"/>
          <w:highlight w:val="none"/>
        </w:rPr>
      </w:pPr>
      <w:r>
        <w:rPr>
          <w:color w:val="auto"/>
          <w:highlight w:val="none"/>
        </w:rPr>
        <w:t xml:space="preserve">3.3.3 </w:t>
      </w:r>
      <w:r>
        <w:rPr>
          <w:rFonts w:hint="eastAsia"/>
          <w:color w:val="auto"/>
          <w:highlight w:val="none"/>
        </w:rPr>
        <w:t>评标委员会对投标人提交的澄清、说明或补正有疑问的，可以要求投标人进一步澄清、说明或补正，直至满足评标委员会的要求。</w:t>
      </w:r>
    </w:p>
    <w:p w14:paraId="3F2DF1C3">
      <w:pPr>
        <w:spacing w:line="400" w:lineRule="exact"/>
        <w:ind w:firstLine="420" w:firstLineChars="200"/>
        <w:rPr>
          <w:color w:val="auto"/>
          <w:highlight w:val="none"/>
        </w:rPr>
      </w:pPr>
      <w:r>
        <w:rPr>
          <w:color w:val="auto"/>
          <w:highlight w:val="none"/>
        </w:rPr>
        <w:t>3.3.4</w:t>
      </w:r>
      <w:r>
        <w:rPr>
          <w:rFonts w:hint="eastAsia"/>
          <w:color w:val="auto"/>
          <w:highlight w:val="none"/>
        </w:rPr>
        <w:t>评标委员会要求投标人对投标文件问题澄清的通知，以及投标人对投标文件的澄清通过“电子交易平台”“投标文件澄清”菜单以书面形式进行。</w:t>
      </w:r>
    </w:p>
    <w:p w14:paraId="6E0C29F7">
      <w:pPr>
        <w:pStyle w:val="33"/>
        <w:rPr>
          <w:color w:val="auto"/>
          <w:highlight w:val="none"/>
        </w:rPr>
      </w:pPr>
      <w:bookmarkStart w:id="637" w:name="_Toc152042386"/>
      <w:bookmarkStart w:id="638" w:name="_Toc144974576"/>
      <w:bookmarkStart w:id="639" w:name="_Toc28531780"/>
      <w:bookmarkStart w:id="640" w:name="_Toc179632626"/>
      <w:bookmarkStart w:id="641" w:name="_Toc18406"/>
      <w:bookmarkStart w:id="642" w:name="_Toc152045608"/>
      <w:r>
        <w:rPr>
          <w:color w:val="auto"/>
          <w:highlight w:val="none"/>
        </w:rPr>
        <w:t xml:space="preserve">3.4 </w:t>
      </w:r>
      <w:r>
        <w:rPr>
          <w:rFonts w:hint="eastAsia"/>
          <w:color w:val="auto"/>
          <w:highlight w:val="none"/>
        </w:rPr>
        <w:t>评标结果</w:t>
      </w:r>
      <w:bookmarkEnd w:id="637"/>
      <w:bookmarkEnd w:id="638"/>
      <w:bookmarkEnd w:id="639"/>
      <w:bookmarkEnd w:id="640"/>
      <w:bookmarkEnd w:id="641"/>
      <w:bookmarkEnd w:id="642"/>
    </w:p>
    <w:p w14:paraId="52D35BBB">
      <w:pPr>
        <w:spacing w:line="400" w:lineRule="exact"/>
        <w:ind w:firstLine="420" w:firstLineChars="200"/>
        <w:rPr>
          <w:color w:val="auto"/>
          <w:highlight w:val="none"/>
        </w:rPr>
      </w:pPr>
      <w:r>
        <w:rPr>
          <w:color w:val="auto"/>
          <w:highlight w:val="none"/>
        </w:rPr>
        <w:t>3.4.1</w:t>
      </w:r>
      <w:r>
        <w:rPr>
          <w:rFonts w:hint="eastAsia"/>
          <w:color w:val="auto"/>
          <w:highlight w:val="none"/>
        </w:rPr>
        <w:t>除第二章“投标人须知”前附表第</w:t>
      </w:r>
      <w:r>
        <w:rPr>
          <w:color w:val="auto"/>
          <w:highlight w:val="none"/>
        </w:rPr>
        <w:t>7.1</w:t>
      </w:r>
      <w:r>
        <w:rPr>
          <w:rFonts w:hint="eastAsia"/>
          <w:color w:val="auto"/>
          <w:highlight w:val="none"/>
        </w:rPr>
        <w:t>款授权直接确定中标人外，评标委员会按照得分由高到低</w:t>
      </w:r>
      <w:r>
        <w:rPr>
          <w:rFonts w:hint="eastAsia" w:ascii="宋体" w:hAnsi="宋体"/>
          <w:color w:val="auto"/>
          <w:szCs w:val="21"/>
          <w:highlight w:val="none"/>
        </w:rPr>
        <w:t>的</w:t>
      </w:r>
      <w:r>
        <w:rPr>
          <w:rFonts w:hint="eastAsia"/>
          <w:color w:val="auto"/>
          <w:highlight w:val="none"/>
        </w:rPr>
        <w:t>顺序</w:t>
      </w:r>
      <w:r>
        <w:rPr>
          <w:rFonts w:hint="eastAsia" w:ascii="宋体" w:hAnsi="宋体"/>
          <w:color w:val="auto"/>
          <w:szCs w:val="21"/>
          <w:highlight w:val="none"/>
        </w:rPr>
        <w:t>（适用于办法一、二、三、四、五、六、七）</w:t>
      </w:r>
      <w:r>
        <w:rPr>
          <w:rFonts w:hint="eastAsia"/>
          <w:color w:val="auto"/>
          <w:highlight w:val="none"/>
        </w:rPr>
        <w:t>或按照</w:t>
      </w:r>
      <w:r>
        <w:rPr>
          <w:rFonts w:hint="eastAsia" w:ascii="宋体" w:hAnsi="宋体"/>
          <w:color w:val="auto"/>
          <w:szCs w:val="21"/>
          <w:highlight w:val="none"/>
        </w:rPr>
        <w:t>有效评标价由低到高的</w:t>
      </w:r>
      <w:r>
        <w:rPr>
          <w:rFonts w:hint="eastAsia"/>
          <w:color w:val="auto"/>
          <w:highlight w:val="none"/>
        </w:rPr>
        <w:t>顺序（适用于办法八）推荐中标候选人。</w:t>
      </w:r>
    </w:p>
    <w:p w14:paraId="613B043A">
      <w:pPr>
        <w:spacing w:line="400" w:lineRule="exact"/>
        <w:ind w:firstLine="420" w:firstLineChars="200"/>
        <w:rPr>
          <w:color w:val="auto"/>
          <w:highlight w:val="none"/>
        </w:rPr>
      </w:pPr>
      <w:r>
        <w:rPr>
          <w:color w:val="auto"/>
          <w:highlight w:val="none"/>
        </w:rPr>
        <w:t>3.4.2</w:t>
      </w:r>
      <w:r>
        <w:rPr>
          <w:rFonts w:hint="eastAsia"/>
          <w:color w:val="auto"/>
          <w:highlight w:val="none"/>
        </w:rPr>
        <w:t>招标文件允许多标段投标、多标段中标的，各标段中标候选人的推荐按第二章“投标人须知”</w:t>
      </w:r>
      <w:r>
        <w:rPr>
          <w:color w:val="auto"/>
          <w:highlight w:val="none"/>
        </w:rPr>
        <w:t xml:space="preserve"> </w:t>
      </w:r>
      <w:r>
        <w:rPr>
          <w:rFonts w:hint="eastAsia"/>
          <w:color w:val="auto"/>
          <w:highlight w:val="none"/>
        </w:rPr>
        <w:t>第</w:t>
      </w:r>
      <w:r>
        <w:rPr>
          <w:color w:val="auto"/>
          <w:highlight w:val="none"/>
        </w:rPr>
        <w:t>10.1</w:t>
      </w:r>
      <w:r>
        <w:rPr>
          <w:rFonts w:hint="eastAsia"/>
          <w:color w:val="auto"/>
          <w:highlight w:val="none"/>
        </w:rPr>
        <w:t>款规定执行，对某些标段由此产生的空缺由排序在后的投标人依次替补。</w:t>
      </w:r>
    </w:p>
    <w:p w14:paraId="33968197">
      <w:pPr>
        <w:spacing w:line="400" w:lineRule="exact"/>
        <w:ind w:firstLine="420" w:firstLineChars="200"/>
        <w:rPr>
          <w:rFonts w:ascii="宋体" w:hAnsi="宋体"/>
          <w:color w:val="auto"/>
          <w:szCs w:val="21"/>
          <w:highlight w:val="none"/>
        </w:rPr>
      </w:pPr>
      <w:r>
        <w:rPr>
          <w:color w:val="auto"/>
          <w:highlight w:val="none"/>
        </w:rPr>
        <w:t xml:space="preserve">3.4.3 </w:t>
      </w:r>
      <w:r>
        <w:rPr>
          <w:rFonts w:hint="eastAsia"/>
          <w:color w:val="auto"/>
          <w:highlight w:val="none"/>
        </w:rPr>
        <w:t>评标委员会完成评标后，应当向招标人提交书面评标报告。</w:t>
      </w:r>
    </w:p>
    <w:p w14:paraId="1BE8B7AA">
      <w:pPr>
        <w:widowControl/>
        <w:jc w:val="left"/>
        <w:rPr>
          <w:rFonts w:ascii="宋体" w:hAnsi="宋体"/>
          <w:color w:val="auto"/>
          <w:szCs w:val="21"/>
          <w:highlight w:val="none"/>
        </w:rPr>
        <w:sectPr>
          <w:pgSz w:w="11907" w:h="16840"/>
          <w:pgMar w:top="1701" w:right="1531" w:bottom="1588" w:left="1474" w:header="851" w:footer="851" w:gutter="0"/>
          <w:pgNumType w:fmt="decimal"/>
          <w:cols w:space="720" w:num="1"/>
        </w:sectPr>
      </w:pPr>
    </w:p>
    <w:p w14:paraId="43D6FC1F">
      <w:pPr>
        <w:pStyle w:val="3"/>
        <w:rPr>
          <w:rFonts w:hint="eastAsia"/>
          <w:b w:val="0"/>
          <w:color w:val="auto"/>
          <w:sz w:val="24"/>
          <w:szCs w:val="24"/>
          <w:highlight w:val="none"/>
        </w:rPr>
      </w:pPr>
      <w:bookmarkStart w:id="643" w:name="_Toc14108"/>
      <w:bookmarkStart w:id="644" w:name="_Toc28531781"/>
      <w:r>
        <w:rPr>
          <w:rFonts w:hint="eastAsia"/>
          <w:b w:val="0"/>
          <w:color w:val="auto"/>
          <w:sz w:val="24"/>
          <w:szCs w:val="24"/>
          <w:highlight w:val="none"/>
        </w:rPr>
        <w:t>附件</w:t>
      </w:r>
      <w:r>
        <w:rPr>
          <w:b w:val="0"/>
          <w:color w:val="auto"/>
          <w:sz w:val="24"/>
          <w:szCs w:val="24"/>
          <w:highlight w:val="none"/>
        </w:rPr>
        <w:t>A:</w:t>
      </w:r>
      <w:r>
        <w:rPr>
          <w:rFonts w:hint="eastAsia"/>
          <w:b w:val="0"/>
          <w:color w:val="auto"/>
          <w:sz w:val="24"/>
          <w:szCs w:val="24"/>
          <w:highlight w:val="none"/>
        </w:rPr>
        <w:t>评标详细程序</w:t>
      </w:r>
      <w:bookmarkEnd w:id="643"/>
      <w:bookmarkEnd w:id="644"/>
    </w:p>
    <w:p w14:paraId="57DF02E7">
      <w:pPr>
        <w:jc w:val="center"/>
        <w:rPr>
          <w:rFonts w:ascii="黑体" w:eastAsia="黑体"/>
          <w:b/>
          <w:color w:val="auto"/>
          <w:sz w:val="28"/>
          <w:szCs w:val="28"/>
          <w:highlight w:val="none"/>
        </w:rPr>
      </w:pPr>
      <w:r>
        <w:rPr>
          <w:rFonts w:hint="eastAsia" w:ascii="黑体" w:eastAsia="黑体"/>
          <w:b/>
          <w:color w:val="auto"/>
          <w:sz w:val="28"/>
          <w:szCs w:val="28"/>
          <w:highlight w:val="none"/>
        </w:rPr>
        <w:t>评标详细程序</w:t>
      </w:r>
    </w:p>
    <w:p w14:paraId="7499BAB7">
      <w:pPr>
        <w:pStyle w:val="33"/>
        <w:rPr>
          <w:rFonts w:hint="eastAsia" w:ascii="Times New Roman"/>
          <w:color w:val="auto"/>
          <w:highlight w:val="none"/>
        </w:rPr>
      </w:pPr>
      <w:bookmarkStart w:id="645" w:name="_Toc19991"/>
      <w:bookmarkStart w:id="646" w:name="_Toc28531782"/>
      <w:r>
        <w:rPr>
          <w:color w:val="auto"/>
          <w:highlight w:val="none"/>
        </w:rPr>
        <w:t>A0.</w:t>
      </w:r>
      <w:r>
        <w:rPr>
          <w:rFonts w:hint="eastAsia"/>
          <w:color w:val="auto"/>
          <w:highlight w:val="none"/>
        </w:rPr>
        <w:t>总</w:t>
      </w:r>
      <w:r>
        <w:rPr>
          <w:color w:val="auto"/>
          <w:highlight w:val="none"/>
        </w:rPr>
        <w:t xml:space="preserve">  </w:t>
      </w:r>
      <w:r>
        <w:rPr>
          <w:rFonts w:hint="eastAsia"/>
          <w:color w:val="auto"/>
          <w:highlight w:val="none"/>
        </w:rPr>
        <w:t>则</w:t>
      </w:r>
      <w:bookmarkEnd w:id="645"/>
      <w:bookmarkEnd w:id="646"/>
    </w:p>
    <w:p w14:paraId="5183CDAC">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本附件是本章“评标办法”的组成部分，是对本章第3条所规定的评标程序的进一些细化，评标委员会应当按照本附件所规定的详细程序开展并完成评标工作。</w:t>
      </w:r>
    </w:p>
    <w:p w14:paraId="2C6C56C5">
      <w:pPr>
        <w:pStyle w:val="33"/>
        <w:rPr>
          <w:rFonts w:hint="eastAsia" w:ascii="Times New Roman" w:hAnsi="Times New Roman"/>
          <w:color w:val="auto"/>
          <w:highlight w:val="none"/>
        </w:rPr>
      </w:pPr>
      <w:bookmarkStart w:id="647" w:name="_Toc576"/>
      <w:bookmarkStart w:id="648" w:name="_Toc28531783"/>
      <w:r>
        <w:rPr>
          <w:color w:val="auto"/>
          <w:highlight w:val="none"/>
        </w:rPr>
        <w:t>A1.</w:t>
      </w:r>
      <w:r>
        <w:rPr>
          <w:rFonts w:hint="eastAsia"/>
          <w:color w:val="auto"/>
          <w:highlight w:val="none"/>
        </w:rPr>
        <w:t>基本程序</w:t>
      </w:r>
      <w:bookmarkEnd w:id="647"/>
      <w:bookmarkEnd w:id="648"/>
    </w:p>
    <w:p w14:paraId="3E2623C7">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评标活动将按以下五个步骤进行：</w:t>
      </w:r>
    </w:p>
    <w:p w14:paraId="383B1822">
      <w:pPr>
        <w:spacing w:before="72" w:beforeLines="30"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（1）评标准备；</w:t>
      </w:r>
    </w:p>
    <w:p w14:paraId="484476E6">
      <w:pPr>
        <w:spacing w:before="72" w:beforeLines="30"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（2）初步评审；</w:t>
      </w:r>
    </w:p>
    <w:p w14:paraId="72135F0D">
      <w:pPr>
        <w:spacing w:before="72" w:beforeLines="30"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（3）详细评审；</w:t>
      </w:r>
    </w:p>
    <w:p w14:paraId="33DC2FB0">
      <w:pPr>
        <w:spacing w:before="72" w:beforeLines="30"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（4）澄清、说明或补正；</w:t>
      </w:r>
    </w:p>
    <w:p w14:paraId="0F382E5C">
      <w:pPr>
        <w:spacing w:before="72" w:beforeLines="30" w:after="72" w:afterLines="30"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（5）推荐中标候选人或者直接确定中标人及提交评标报告。</w:t>
      </w:r>
    </w:p>
    <w:p w14:paraId="64793932">
      <w:pPr>
        <w:pStyle w:val="33"/>
        <w:rPr>
          <w:rFonts w:hint="eastAsia" w:ascii="Times New Roman" w:hAnsi="Times New Roman"/>
          <w:color w:val="auto"/>
          <w:highlight w:val="none"/>
        </w:rPr>
      </w:pPr>
      <w:bookmarkStart w:id="649" w:name="_Toc17832"/>
      <w:bookmarkStart w:id="650" w:name="_Toc28531784"/>
      <w:r>
        <w:rPr>
          <w:color w:val="auto"/>
          <w:highlight w:val="none"/>
        </w:rPr>
        <w:t>A2.</w:t>
      </w:r>
      <w:r>
        <w:rPr>
          <w:rFonts w:hint="eastAsia"/>
          <w:color w:val="auto"/>
          <w:highlight w:val="none"/>
        </w:rPr>
        <w:t>评标准备</w:t>
      </w:r>
      <w:bookmarkEnd w:id="649"/>
      <w:bookmarkEnd w:id="650"/>
    </w:p>
    <w:p w14:paraId="3D8733A7">
      <w:pPr>
        <w:pStyle w:val="33"/>
        <w:rPr>
          <w:rFonts w:ascii="宋体" w:hAnsi="宋体"/>
          <w:b/>
          <w:color w:val="auto"/>
          <w:sz w:val="21"/>
          <w:szCs w:val="21"/>
          <w:highlight w:val="none"/>
        </w:rPr>
      </w:pPr>
      <w:bookmarkStart w:id="651" w:name="_Toc14898"/>
      <w:bookmarkStart w:id="652" w:name="_Toc28531785"/>
      <w:r>
        <w:rPr>
          <w:b/>
          <w:color w:val="auto"/>
          <w:sz w:val="21"/>
          <w:szCs w:val="21"/>
          <w:highlight w:val="none"/>
        </w:rPr>
        <w:t>A2.1</w:t>
      </w:r>
      <w:r>
        <w:rPr>
          <w:rFonts w:hint="eastAsia"/>
          <w:b/>
          <w:color w:val="auto"/>
          <w:sz w:val="21"/>
          <w:szCs w:val="21"/>
          <w:highlight w:val="none"/>
        </w:rPr>
        <w:t>评标委员会成员签到</w:t>
      </w:r>
      <w:bookmarkEnd w:id="651"/>
      <w:bookmarkEnd w:id="652"/>
    </w:p>
    <w:p w14:paraId="4A0B79DA">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评标委员会成员到达评标现场时应在签到表上签到以证明其出席。评标委员会签到表见</w:t>
      </w:r>
      <w:r>
        <w:rPr>
          <w:rFonts w:hint="eastAsia" w:ascii="宋体" w:hAnsi="宋体"/>
          <w:b/>
          <w:color w:val="auto"/>
          <w:szCs w:val="21"/>
          <w:highlight w:val="none"/>
        </w:rPr>
        <w:t>附表A-1</w:t>
      </w:r>
      <w:r>
        <w:rPr>
          <w:rFonts w:hint="eastAsia" w:ascii="宋体" w:hAnsi="宋体"/>
          <w:color w:val="auto"/>
          <w:szCs w:val="21"/>
          <w:highlight w:val="none"/>
        </w:rPr>
        <w:t>。</w:t>
      </w:r>
    </w:p>
    <w:p w14:paraId="613BA3CC">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评标委员会成员在评标前，应当使用</w:t>
      </w:r>
      <w:r>
        <w:rPr>
          <w:rFonts w:hint="eastAsia" w:ascii="宋体" w:hAnsi="宋体"/>
          <w:b/>
          <w:color w:val="auto"/>
          <w:szCs w:val="21"/>
          <w:highlight w:val="none"/>
        </w:rPr>
        <w:t>附表A-2</w:t>
      </w:r>
      <w:r>
        <w:rPr>
          <w:rFonts w:hint="eastAsia" w:ascii="宋体" w:hAnsi="宋体"/>
          <w:color w:val="auto"/>
          <w:szCs w:val="21"/>
          <w:highlight w:val="none"/>
        </w:rPr>
        <w:t>签署评标专家声明书。声明本人不存在法律法规定的应当回避情形，保证遵守有关评标管理规定以及评标纪律，客观、公正地进行评标，并接受招投标监管部门的监督。</w:t>
      </w:r>
    </w:p>
    <w:p w14:paraId="158600D5">
      <w:pPr>
        <w:pStyle w:val="33"/>
        <w:rPr>
          <w:rFonts w:hint="eastAsia" w:ascii="Times New Roman" w:hAnsi="Times New Roman"/>
          <w:b/>
          <w:color w:val="auto"/>
          <w:sz w:val="21"/>
          <w:szCs w:val="21"/>
          <w:highlight w:val="none"/>
        </w:rPr>
      </w:pPr>
      <w:bookmarkStart w:id="653" w:name="_Toc28531786"/>
      <w:bookmarkStart w:id="654" w:name="_Toc17666"/>
      <w:r>
        <w:rPr>
          <w:b/>
          <w:color w:val="auto"/>
          <w:sz w:val="21"/>
          <w:szCs w:val="21"/>
          <w:highlight w:val="none"/>
        </w:rPr>
        <w:t>A2.2</w:t>
      </w:r>
      <w:r>
        <w:rPr>
          <w:rFonts w:hint="eastAsia"/>
          <w:b/>
          <w:color w:val="auto"/>
          <w:sz w:val="21"/>
          <w:szCs w:val="21"/>
          <w:highlight w:val="none"/>
        </w:rPr>
        <w:t>评标委员会的分工</w:t>
      </w:r>
      <w:bookmarkEnd w:id="653"/>
      <w:bookmarkEnd w:id="654"/>
    </w:p>
    <w:p w14:paraId="096EF2B7">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A2.2.1评标委员会首先推选一名评标委员会主任。招标人也可以直接指定评标委员会主任。如招标人指定的评标委员会主任是招标人的代表，则该成员应当具备招标工程相关专业中级以上技术职称，熟悉有关招标投标的法律法规，并熟悉招标项目的情况。评标委员会主任负责评标活动的组织工作。</w:t>
      </w:r>
    </w:p>
    <w:p w14:paraId="6DAAAB65">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A2.2.2 评标委员会主任除履行自己作为评标委员会成员独立评标的职责外，主要负责以下工作：</w:t>
      </w:r>
    </w:p>
    <w:p w14:paraId="798E01A5">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 组织评标委员会成员学习招标文件中载明的评标标准和方法；</w:t>
      </w:r>
    </w:p>
    <w:p w14:paraId="3D62CC0B">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 提醒招标人做好评标准备工作，包括提供所需的评标基础资料，</w:t>
      </w:r>
    </w:p>
    <w:p w14:paraId="1BFC20F9">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 汇总各评标委员会成员认为需要投标人澄清、说明或者补正的问题，组织评标委员会对投标人质询并对投标人的答复进行评审；</w:t>
      </w:r>
    </w:p>
    <w:p w14:paraId="51AAEF2D">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 对出现较大争议的事项进行书面记录；</w:t>
      </w:r>
    </w:p>
    <w:p w14:paraId="652129FD">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（5） 查验评标用表格和评标记录的完整性及有效性；</w:t>
      </w:r>
    </w:p>
    <w:p w14:paraId="7EA4B402">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（6） 组织对评标结论进行复核确认；</w:t>
      </w:r>
    </w:p>
    <w:p w14:paraId="465B1372">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（7） 组织编写评标报告，推荐中标候选人。</w:t>
      </w:r>
    </w:p>
    <w:p w14:paraId="5DEF3E58">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A2.2.3评标委员会主任在与其他评标委员会成员商议的基础上可以将评标委员会划分为技术组和商务组。</w:t>
      </w:r>
    </w:p>
    <w:p w14:paraId="493DEAD9">
      <w:pPr>
        <w:pStyle w:val="33"/>
        <w:rPr>
          <w:rFonts w:hint="eastAsia" w:ascii="Times New Roman" w:hAnsi="Times New Roman"/>
          <w:b/>
          <w:color w:val="auto"/>
          <w:sz w:val="21"/>
          <w:szCs w:val="21"/>
          <w:highlight w:val="none"/>
        </w:rPr>
      </w:pPr>
      <w:bookmarkStart w:id="655" w:name="_Toc28531787"/>
      <w:bookmarkStart w:id="656" w:name="_Toc15679"/>
      <w:r>
        <w:rPr>
          <w:b/>
          <w:color w:val="auto"/>
          <w:sz w:val="21"/>
          <w:szCs w:val="21"/>
          <w:highlight w:val="none"/>
        </w:rPr>
        <w:t>A2.3</w:t>
      </w:r>
      <w:r>
        <w:rPr>
          <w:rFonts w:hint="eastAsia"/>
          <w:b/>
          <w:color w:val="auto"/>
          <w:sz w:val="21"/>
          <w:szCs w:val="21"/>
          <w:highlight w:val="none"/>
        </w:rPr>
        <w:t>熟悉文件资料</w:t>
      </w:r>
      <w:bookmarkEnd w:id="655"/>
      <w:bookmarkEnd w:id="656"/>
    </w:p>
    <w:p w14:paraId="12F56FC3">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38E2C6E9">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A2.3.2  招标人或招标代理机构应向评标委员会提供评标所需的信息和数据，包括：</w:t>
      </w:r>
    </w:p>
    <w:p w14:paraId="3453574B">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（1）经招投标监管部门备案的招标文件及其澄清、修改文件；</w:t>
      </w:r>
    </w:p>
    <w:p w14:paraId="3DD28C08">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（2）未在开标会上当场拒绝的各投标文件；</w:t>
      </w:r>
    </w:p>
    <w:p w14:paraId="45F70012">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（3）开标记录表；</w:t>
      </w:r>
    </w:p>
    <w:p w14:paraId="65929992">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（4）招标控制价、工程所在地工程造价管理部门颁布的工程造价信息、定额（如作为计价依据时）；</w:t>
      </w:r>
    </w:p>
    <w:p w14:paraId="20CBEA24">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（5）评标表格；</w:t>
      </w:r>
    </w:p>
    <w:p w14:paraId="1357CB7F">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（6）有关的法律、法规、规章、国家标准以及招标人或评标委员会认为必要的其他信息和数据。</w:t>
      </w:r>
    </w:p>
    <w:p w14:paraId="202CC1C0">
      <w:pPr>
        <w:pStyle w:val="33"/>
        <w:rPr>
          <w:rFonts w:hint="eastAsia" w:ascii="Times New Roman" w:hAnsi="Times New Roman"/>
          <w:b/>
          <w:color w:val="auto"/>
          <w:sz w:val="21"/>
          <w:szCs w:val="21"/>
          <w:highlight w:val="none"/>
        </w:rPr>
      </w:pPr>
      <w:bookmarkStart w:id="657" w:name="_Toc21680"/>
      <w:bookmarkStart w:id="658" w:name="_Toc28531788"/>
      <w:r>
        <w:rPr>
          <w:b/>
          <w:color w:val="auto"/>
          <w:sz w:val="21"/>
          <w:szCs w:val="21"/>
          <w:highlight w:val="none"/>
        </w:rPr>
        <w:t>A2.4</w:t>
      </w:r>
      <w:r>
        <w:rPr>
          <w:rFonts w:hint="eastAsia"/>
          <w:b/>
          <w:color w:val="auto"/>
          <w:sz w:val="21"/>
          <w:szCs w:val="21"/>
          <w:highlight w:val="none"/>
        </w:rPr>
        <w:t>暗标编号</w:t>
      </w:r>
      <w:r>
        <w:rPr>
          <w:b/>
          <w:color w:val="auto"/>
          <w:sz w:val="21"/>
          <w:szCs w:val="21"/>
          <w:highlight w:val="none"/>
        </w:rPr>
        <w:t>(</w:t>
      </w:r>
      <w:r>
        <w:rPr>
          <w:rFonts w:hint="eastAsia"/>
          <w:b/>
          <w:color w:val="auto"/>
          <w:sz w:val="21"/>
          <w:szCs w:val="21"/>
          <w:highlight w:val="none"/>
        </w:rPr>
        <w:t>适用于对施工组织设计进行暗标评审的</w:t>
      </w:r>
      <w:r>
        <w:rPr>
          <w:b/>
          <w:color w:val="auto"/>
          <w:sz w:val="21"/>
          <w:szCs w:val="21"/>
          <w:highlight w:val="none"/>
        </w:rPr>
        <w:t>)</w:t>
      </w:r>
      <w:bookmarkEnd w:id="657"/>
      <w:bookmarkEnd w:id="658"/>
    </w:p>
    <w:p w14:paraId="1D0088CC">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szCs w:val="21"/>
          <w:highlight w:val="none"/>
        </w:rPr>
        <w:t>第二章“投标人须知”前附表第10．3款要求对施工组织设计采用“暗标”评审方式且第八章“投标文件格式”中对施工组织设计的编制有暗标要求，则在评标工作开始前，招标人将指定专人负责编制投标文件暗标编码，并就暗标编码与投标人的对应关系使用</w:t>
      </w:r>
      <w:r>
        <w:rPr>
          <w:rFonts w:hint="eastAsia" w:ascii="宋体" w:hAnsi="宋体"/>
          <w:b/>
          <w:color w:val="auto"/>
          <w:szCs w:val="21"/>
          <w:highlight w:val="none"/>
        </w:rPr>
        <w:t>附表 A-3</w:t>
      </w:r>
      <w:r>
        <w:rPr>
          <w:rFonts w:hint="eastAsia" w:ascii="宋体" w:hAnsi="宋体"/>
          <w:color w:val="auto"/>
          <w:szCs w:val="21"/>
          <w:highlight w:val="none"/>
        </w:rPr>
        <w:t>做好暗标记录。暗标编码按随机方式编制。在评标委员会全体成员均完成暗标部分评审并对评审结果进行汇总和签字确认后，招标人方可向评标委员会公布暗标记录。暗标记录公布前必须妥善保管并予以保密。</w:t>
      </w:r>
    </w:p>
    <w:p w14:paraId="0091268B">
      <w:pPr>
        <w:pStyle w:val="33"/>
        <w:rPr>
          <w:rFonts w:hint="eastAsia" w:ascii="Times New Roman" w:hAnsi="Times New Roman"/>
          <w:b/>
          <w:color w:val="auto"/>
          <w:sz w:val="21"/>
          <w:szCs w:val="21"/>
          <w:highlight w:val="none"/>
        </w:rPr>
      </w:pPr>
      <w:bookmarkStart w:id="659" w:name="_Toc28495"/>
      <w:bookmarkStart w:id="660" w:name="_Toc28531789"/>
      <w:r>
        <w:rPr>
          <w:b/>
          <w:color w:val="auto"/>
          <w:sz w:val="21"/>
          <w:szCs w:val="21"/>
          <w:highlight w:val="none"/>
        </w:rPr>
        <w:t>A2.5</w:t>
      </w:r>
      <w:r>
        <w:rPr>
          <w:rFonts w:hint="eastAsia"/>
          <w:b/>
          <w:color w:val="auto"/>
          <w:sz w:val="21"/>
          <w:szCs w:val="21"/>
          <w:highlight w:val="none"/>
        </w:rPr>
        <w:t>对投标文件进行基础性数据分析和整理工作</w:t>
      </w:r>
      <w:r>
        <w:rPr>
          <w:b/>
          <w:color w:val="auto"/>
          <w:sz w:val="21"/>
          <w:szCs w:val="21"/>
          <w:highlight w:val="none"/>
        </w:rPr>
        <w:t>(</w:t>
      </w:r>
      <w:r>
        <w:rPr>
          <w:rFonts w:hint="eastAsia"/>
          <w:b/>
          <w:color w:val="auto"/>
          <w:sz w:val="21"/>
          <w:szCs w:val="21"/>
          <w:highlight w:val="none"/>
        </w:rPr>
        <w:t>清标</w:t>
      </w:r>
      <w:r>
        <w:rPr>
          <w:b/>
          <w:color w:val="auto"/>
          <w:sz w:val="21"/>
          <w:szCs w:val="21"/>
          <w:highlight w:val="none"/>
        </w:rPr>
        <w:t>)</w:t>
      </w:r>
      <w:bookmarkEnd w:id="659"/>
      <w:bookmarkEnd w:id="660"/>
    </w:p>
    <w:p w14:paraId="5C534521">
      <w:pPr>
        <w:spacing w:line="410" w:lineRule="exact"/>
        <w:ind w:firstLine="420" w:firstLineChars="200"/>
        <w:rPr>
          <w:rFonts w:ascii="宋体" w:hAnsi="宋体"/>
          <w:color w:val="auto"/>
          <w:szCs w:val="21"/>
          <w:highlight w:val="none"/>
        </w:rPr>
      </w:pPr>
      <w:r>
        <w:rPr>
          <w:rFonts w:hint="eastAsia" w:ascii="宋体" w:hAnsi="宋体"/>
          <w:color w:val="auto"/>
          <w:szCs w:val="21"/>
          <w:highlight w:val="none"/>
        </w:rPr>
        <w:t>A2.5.1在不改变投标人投标文件实质性内容的前提下，评标委员会应当借助计算机辅助评标系统对投标文件进行基础性数据分析和整理(本章中简称为“清标”)，从而发现并提取其中可能存在的对招标范围理解的偏差、投标报价的算术错误、错漏项、投标报价构成不合理、不平衡报价等存在明显异常的问题，并就这些问题整理形成清标报告。评标委员会对清标成果审议后，决定需要投标人进行书面澄清、说明或补正的，通过“电子交易平台”向投标人发出投标文件澄清通知。《投标文件澄清通知》采用投标人须知附表六所提供的格式。</w:t>
      </w:r>
    </w:p>
    <w:p w14:paraId="6665FB9D">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A2.5.2投标人接到评标委员会发出的投标文件澄清通知后，应按评标委员会的要求在规定的时间内，通过“电子交易平台”“投标文件澄清”菜单提交投标文件的澄清和相关资料（如有）。《投标文件的澄清》采用投标人须知附表七所提供的格式。</w:t>
      </w:r>
    </w:p>
    <w:p w14:paraId="6D5CE2C7">
      <w:pPr>
        <w:pStyle w:val="33"/>
        <w:rPr>
          <w:rFonts w:hint="eastAsia" w:ascii="Times New Roman" w:hAnsi="Times New Roman"/>
          <w:color w:val="auto"/>
          <w:highlight w:val="none"/>
        </w:rPr>
      </w:pPr>
      <w:bookmarkStart w:id="661" w:name="_Toc28531790"/>
      <w:bookmarkStart w:id="662" w:name="_Toc6217"/>
      <w:r>
        <w:rPr>
          <w:color w:val="auto"/>
          <w:highlight w:val="none"/>
        </w:rPr>
        <w:t>A3</w:t>
      </w:r>
      <w:r>
        <w:rPr>
          <w:rFonts w:hint="eastAsia"/>
          <w:color w:val="auto"/>
          <w:highlight w:val="none"/>
        </w:rPr>
        <w:t>初步评审</w:t>
      </w:r>
      <w:bookmarkEnd w:id="661"/>
      <w:bookmarkEnd w:id="662"/>
    </w:p>
    <w:p w14:paraId="7F6AB1F6">
      <w:pPr>
        <w:pStyle w:val="33"/>
        <w:rPr>
          <w:b/>
          <w:color w:val="auto"/>
          <w:sz w:val="21"/>
          <w:szCs w:val="21"/>
          <w:highlight w:val="none"/>
        </w:rPr>
      </w:pPr>
      <w:bookmarkStart w:id="663" w:name="_Toc8136"/>
      <w:bookmarkStart w:id="664" w:name="_Toc28531791"/>
      <w:r>
        <w:rPr>
          <w:b/>
          <w:color w:val="auto"/>
          <w:sz w:val="21"/>
          <w:szCs w:val="21"/>
          <w:highlight w:val="none"/>
        </w:rPr>
        <w:t>A3.1</w:t>
      </w:r>
      <w:r>
        <w:rPr>
          <w:rFonts w:hint="eastAsia"/>
          <w:b/>
          <w:color w:val="auto"/>
          <w:sz w:val="21"/>
          <w:szCs w:val="21"/>
          <w:highlight w:val="none"/>
        </w:rPr>
        <w:t>形式评审</w:t>
      </w:r>
      <w:bookmarkEnd w:id="663"/>
      <w:bookmarkEnd w:id="664"/>
    </w:p>
    <w:p w14:paraId="130258DF">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szCs w:val="21"/>
          <w:highlight w:val="none"/>
        </w:rPr>
        <w:t>评标委员会根据评标办法前附表中规定的评审因素和评审标准，对投标人的投标文件进行形式评审，并使用</w:t>
      </w:r>
      <w:r>
        <w:rPr>
          <w:rFonts w:hint="eastAsia" w:ascii="宋体" w:hAnsi="宋体"/>
          <w:b/>
          <w:color w:val="auto"/>
          <w:szCs w:val="21"/>
          <w:highlight w:val="none"/>
        </w:rPr>
        <w:t>附表A-4</w:t>
      </w:r>
      <w:r>
        <w:rPr>
          <w:rFonts w:hint="eastAsia" w:ascii="宋体" w:hAnsi="宋体"/>
          <w:color w:val="auto"/>
          <w:szCs w:val="21"/>
          <w:highlight w:val="none"/>
        </w:rPr>
        <w:t>记录评审结果。</w:t>
      </w:r>
    </w:p>
    <w:p w14:paraId="4EA1CE5B">
      <w:pPr>
        <w:pStyle w:val="33"/>
        <w:rPr>
          <w:rFonts w:hint="eastAsia" w:ascii="Times New Roman" w:hAnsi="Times New Roman"/>
          <w:b/>
          <w:color w:val="auto"/>
          <w:sz w:val="21"/>
          <w:szCs w:val="21"/>
          <w:highlight w:val="none"/>
        </w:rPr>
      </w:pPr>
      <w:bookmarkStart w:id="665" w:name="_Toc28531792"/>
      <w:bookmarkStart w:id="666" w:name="_Toc31541"/>
      <w:r>
        <w:rPr>
          <w:b/>
          <w:color w:val="auto"/>
          <w:sz w:val="21"/>
          <w:szCs w:val="21"/>
          <w:highlight w:val="none"/>
        </w:rPr>
        <w:t>A3.2</w:t>
      </w:r>
      <w:r>
        <w:rPr>
          <w:rFonts w:hint="eastAsia"/>
          <w:b/>
          <w:color w:val="auto"/>
          <w:sz w:val="21"/>
          <w:szCs w:val="21"/>
          <w:highlight w:val="none"/>
        </w:rPr>
        <w:t>资格评审</w:t>
      </w:r>
      <w:bookmarkEnd w:id="665"/>
      <w:bookmarkEnd w:id="666"/>
    </w:p>
    <w:p w14:paraId="73720329">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szCs w:val="21"/>
          <w:highlight w:val="none"/>
        </w:rPr>
        <w:t>评标委员会根据评标办法前附表中规定的评审因素和评审标准，对投标人的投标文件进行资格评审，并使用</w:t>
      </w:r>
      <w:r>
        <w:rPr>
          <w:rFonts w:hint="eastAsia" w:ascii="宋体" w:hAnsi="宋体"/>
          <w:b/>
          <w:color w:val="auto"/>
          <w:szCs w:val="21"/>
          <w:highlight w:val="none"/>
        </w:rPr>
        <w:t>附表A-5</w:t>
      </w:r>
      <w:r>
        <w:rPr>
          <w:rFonts w:hint="eastAsia" w:ascii="宋体" w:hAnsi="宋体"/>
          <w:color w:val="auto"/>
          <w:szCs w:val="21"/>
          <w:highlight w:val="none"/>
        </w:rPr>
        <w:t>记录评审结果。(适用于未进行资格预审的)</w:t>
      </w:r>
    </w:p>
    <w:p w14:paraId="66D1CDEE">
      <w:pPr>
        <w:pStyle w:val="33"/>
        <w:rPr>
          <w:rFonts w:hint="eastAsia" w:ascii="Times New Roman" w:hAnsi="Times New Roman"/>
          <w:b/>
          <w:color w:val="auto"/>
          <w:sz w:val="21"/>
          <w:szCs w:val="21"/>
          <w:highlight w:val="none"/>
        </w:rPr>
      </w:pPr>
      <w:bookmarkStart w:id="667" w:name="_Toc28531793"/>
      <w:bookmarkStart w:id="668" w:name="_Toc26529"/>
      <w:r>
        <w:rPr>
          <w:b/>
          <w:color w:val="auto"/>
          <w:sz w:val="21"/>
          <w:szCs w:val="21"/>
          <w:highlight w:val="none"/>
        </w:rPr>
        <w:t>A3.3</w:t>
      </w:r>
      <w:r>
        <w:rPr>
          <w:rFonts w:hint="eastAsia"/>
          <w:b/>
          <w:color w:val="auto"/>
          <w:sz w:val="21"/>
          <w:szCs w:val="21"/>
          <w:highlight w:val="none"/>
        </w:rPr>
        <w:t>响应性评审</w:t>
      </w:r>
      <w:bookmarkEnd w:id="667"/>
      <w:bookmarkEnd w:id="668"/>
    </w:p>
    <w:p w14:paraId="075758E8">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A3.3.1评标委员会根据评标办法前附表中规定的评审因素和评审标准，对投标人的投标文件进行响应性评审，并使用</w:t>
      </w:r>
      <w:r>
        <w:rPr>
          <w:rFonts w:hint="eastAsia" w:ascii="宋体" w:hAnsi="宋体"/>
          <w:b/>
          <w:color w:val="auto"/>
          <w:szCs w:val="21"/>
          <w:highlight w:val="none"/>
        </w:rPr>
        <w:t>附表A-6</w:t>
      </w:r>
      <w:r>
        <w:rPr>
          <w:rFonts w:hint="eastAsia" w:ascii="宋体" w:hAnsi="宋体"/>
          <w:color w:val="auto"/>
          <w:szCs w:val="21"/>
          <w:highlight w:val="none"/>
        </w:rPr>
        <w:t>记录评审结果。</w:t>
      </w:r>
    </w:p>
    <w:p w14:paraId="0DFE9263">
      <w:pPr>
        <w:adjustRightInd w:val="0"/>
        <w:snapToGrid w:val="0"/>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3.3.2投标人投标价格不得超出(不含等于)按照第二章“投标人须知”前附表载明的招标控制价总价（投标人投标价格是指投标函中的大写报价或经投标人确认的算术错误修正后的价格不超过本项目招标控制价总价），凡投标人的投标价格超出招标控制价总价的，该投标人的投标文件不能通过响应性评审。</w:t>
      </w:r>
    </w:p>
    <w:p w14:paraId="37F04CED">
      <w:pPr>
        <w:pStyle w:val="33"/>
        <w:rPr>
          <w:rFonts w:hint="eastAsia" w:ascii="Times New Roman" w:hAnsi="Times New Roman"/>
          <w:b/>
          <w:color w:val="auto"/>
          <w:sz w:val="21"/>
          <w:szCs w:val="21"/>
          <w:highlight w:val="none"/>
        </w:rPr>
      </w:pPr>
      <w:bookmarkStart w:id="669" w:name="_Toc26873"/>
      <w:bookmarkStart w:id="670" w:name="_Toc28531794"/>
      <w:r>
        <w:rPr>
          <w:b/>
          <w:color w:val="auto"/>
          <w:sz w:val="21"/>
          <w:szCs w:val="21"/>
          <w:highlight w:val="none"/>
        </w:rPr>
        <w:t>A3.4</w:t>
      </w:r>
      <w:r>
        <w:rPr>
          <w:rFonts w:hint="eastAsia"/>
          <w:b/>
          <w:color w:val="auto"/>
          <w:sz w:val="21"/>
          <w:szCs w:val="21"/>
          <w:highlight w:val="none"/>
        </w:rPr>
        <w:t>施工组织设计评审</w:t>
      </w:r>
      <w:bookmarkEnd w:id="669"/>
      <w:bookmarkEnd w:id="670"/>
    </w:p>
    <w:p w14:paraId="3D7D5CF5">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评标委员会根据评标办法前附表中规定的评审因素和评审标准，对投标人的投标文件的施工组织设计进行合格性评审，并使用</w:t>
      </w:r>
      <w:r>
        <w:rPr>
          <w:rFonts w:hint="eastAsia" w:ascii="宋体" w:hAnsi="宋体"/>
          <w:b/>
          <w:color w:val="auto"/>
          <w:szCs w:val="21"/>
          <w:highlight w:val="none"/>
        </w:rPr>
        <w:t>附表A-7</w:t>
      </w:r>
      <w:r>
        <w:rPr>
          <w:rFonts w:hint="eastAsia" w:ascii="宋体" w:hAnsi="宋体"/>
          <w:color w:val="auto"/>
          <w:szCs w:val="21"/>
          <w:highlight w:val="none"/>
        </w:rPr>
        <w:t>记录评审结</w:t>
      </w:r>
      <w:r>
        <w:rPr>
          <w:rFonts w:hint="eastAsia" w:ascii="黑体" w:hAnsi="宋体" w:eastAsia="黑体"/>
          <w:color w:val="auto"/>
          <w:szCs w:val="21"/>
          <w:highlight w:val="none"/>
        </w:rPr>
        <w:t>果</w:t>
      </w:r>
      <w:r>
        <w:rPr>
          <w:rFonts w:hint="eastAsia" w:ascii="宋体" w:hAnsi="宋体"/>
          <w:color w:val="auto"/>
          <w:szCs w:val="21"/>
          <w:highlight w:val="none"/>
        </w:rPr>
        <w:t>。（适用于办法五、六、七、八）</w:t>
      </w:r>
    </w:p>
    <w:p w14:paraId="5F8D75CF">
      <w:pPr>
        <w:pStyle w:val="33"/>
        <w:rPr>
          <w:rFonts w:hint="eastAsia" w:ascii="Times New Roman" w:hAnsi="Times New Roman"/>
          <w:b/>
          <w:color w:val="auto"/>
          <w:sz w:val="21"/>
          <w:szCs w:val="21"/>
          <w:highlight w:val="none"/>
        </w:rPr>
      </w:pPr>
      <w:bookmarkStart w:id="671" w:name="_Toc2312"/>
      <w:bookmarkStart w:id="672" w:name="_Toc28531795"/>
      <w:r>
        <w:rPr>
          <w:b/>
          <w:color w:val="auto"/>
          <w:sz w:val="21"/>
          <w:szCs w:val="21"/>
          <w:highlight w:val="none"/>
        </w:rPr>
        <w:t>A3.5</w:t>
      </w:r>
      <w:r>
        <w:rPr>
          <w:rFonts w:hint="eastAsia"/>
          <w:b/>
          <w:color w:val="auto"/>
          <w:sz w:val="21"/>
          <w:szCs w:val="21"/>
          <w:highlight w:val="none"/>
        </w:rPr>
        <w:t>算术错误修正</w:t>
      </w:r>
      <w:bookmarkEnd w:id="671"/>
      <w:bookmarkEnd w:id="672"/>
    </w:p>
    <w:p w14:paraId="34020F87">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依据本章中规定的相关原则对投标报价中存在的算术错误进行修正，修正的价格经投标人书面确认后具有约束力。投标人不接受修正价格的，或者修正后的价格与投标报价相比偏差在±1%以上的，或者修正后的投标价格超过招标控制价总价的（如有），其投标应当被否决。</w:t>
      </w:r>
    </w:p>
    <w:p w14:paraId="23A05AF6">
      <w:pPr>
        <w:adjustRightInd w:val="0"/>
        <w:snapToGrid w:val="0"/>
        <w:spacing w:line="430" w:lineRule="exact"/>
        <w:ind w:firstLine="420" w:firstLineChars="200"/>
        <w:rPr>
          <w:rFonts w:hint="eastAsia" w:ascii="黑体" w:hAnsi="Times New Roman" w:eastAsia="黑体"/>
          <w:color w:val="auto"/>
          <w:szCs w:val="21"/>
          <w:highlight w:val="none"/>
        </w:rPr>
      </w:pPr>
      <w:r>
        <w:rPr>
          <w:rFonts w:hint="eastAsia" w:ascii="宋体" w:hAnsi="宋体"/>
          <w:color w:val="auto"/>
          <w:szCs w:val="21"/>
          <w:highlight w:val="none"/>
        </w:rPr>
        <w:t>算术错误修正用清标报告</w:t>
      </w:r>
      <w:r>
        <w:rPr>
          <w:rFonts w:hint="eastAsia" w:ascii="宋体" w:hAnsi="宋体"/>
          <w:b/>
          <w:color w:val="auto"/>
          <w:szCs w:val="21"/>
          <w:highlight w:val="none"/>
        </w:rPr>
        <w:t>附表C-8、附表C-9</w:t>
      </w:r>
      <w:r>
        <w:rPr>
          <w:rFonts w:hint="eastAsia" w:ascii="宋体" w:hAnsi="宋体"/>
          <w:color w:val="auto"/>
          <w:szCs w:val="21"/>
          <w:highlight w:val="none"/>
        </w:rPr>
        <w:t>记录评审结果。</w:t>
      </w:r>
    </w:p>
    <w:p w14:paraId="549E0B2B">
      <w:pPr>
        <w:pStyle w:val="33"/>
        <w:rPr>
          <w:rFonts w:hint="eastAsia" w:ascii="Times New Roman"/>
          <w:b/>
          <w:color w:val="auto"/>
          <w:sz w:val="21"/>
          <w:szCs w:val="21"/>
          <w:highlight w:val="none"/>
        </w:rPr>
      </w:pPr>
      <w:bookmarkStart w:id="673" w:name="_Toc28531796"/>
      <w:bookmarkStart w:id="674" w:name="_Toc5316"/>
      <w:r>
        <w:rPr>
          <w:b/>
          <w:color w:val="auto"/>
          <w:sz w:val="21"/>
          <w:szCs w:val="21"/>
          <w:highlight w:val="none"/>
        </w:rPr>
        <w:t xml:space="preserve">A3.6 </w:t>
      </w:r>
      <w:r>
        <w:rPr>
          <w:rFonts w:hint="eastAsia"/>
          <w:b/>
          <w:color w:val="auto"/>
          <w:sz w:val="21"/>
          <w:szCs w:val="21"/>
          <w:highlight w:val="none"/>
        </w:rPr>
        <w:t>判断投标报价是否低于成本</w:t>
      </w:r>
      <w:bookmarkEnd w:id="673"/>
      <w:bookmarkEnd w:id="674"/>
    </w:p>
    <w:p w14:paraId="1CDD22C0">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根据本章第3.1.4项的规定，评标委员会根据本章附件D中规定的程序、标准和方法，判断投标报价是否低于其成本。评标委员会认定投标人以低于成本竞标的，其投标应当被否决。并使用</w:t>
      </w:r>
      <w:r>
        <w:rPr>
          <w:rFonts w:hint="eastAsia" w:ascii="宋体" w:hAnsi="宋体"/>
          <w:b/>
          <w:color w:val="auto"/>
          <w:szCs w:val="21"/>
          <w:highlight w:val="none"/>
        </w:rPr>
        <w:t>附表D-1</w:t>
      </w:r>
      <w:r>
        <w:rPr>
          <w:rFonts w:hint="eastAsia" w:ascii="宋体" w:hAnsi="宋体"/>
          <w:color w:val="auto"/>
          <w:szCs w:val="21"/>
          <w:highlight w:val="none"/>
        </w:rPr>
        <w:t>记录评审结果</w:t>
      </w:r>
    </w:p>
    <w:p w14:paraId="79E063D7">
      <w:pPr>
        <w:pStyle w:val="33"/>
        <w:rPr>
          <w:rFonts w:hint="eastAsia" w:ascii="Times New Roman" w:hAnsi="Times New Roman"/>
          <w:b/>
          <w:color w:val="auto"/>
          <w:sz w:val="21"/>
          <w:szCs w:val="21"/>
          <w:highlight w:val="none"/>
        </w:rPr>
      </w:pPr>
      <w:bookmarkStart w:id="675" w:name="_Toc28531797"/>
      <w:bookmarkStart w:id="676" w:name="_Toc25929"/>
      <w:r>
        <w:rPr>
          <w:b/>
          <w:color w:val="auto"/>
          <w:sz w:val="21"/>
          <w:szCs w:val="21"/>
          <w:highlight w:val="none"/>
        </w:rPr>
        <w:t xml:space="preserve">A3.7 </w:t>
      </w:r>
      <w:r>
        <w:rPr>
          <w:rFonts w:hint="eastAsia"/>
          <w:b/>
          <w:color w:val="auto"/>
          <w:sz w:val="21"/>
          <w:szCs w:val="21"/>
          <w:highlight w:val="none"/>
        </w:rPr>
        <w:t>判断投标是否为应当被否决</w:t>
      </w:r>
      <w:bookmarkEnd w:id="675"/>
      <w:bookmarkEnd w:id="676"/>
    </w:p>
    <w:p w14:paraId="714EE15B">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A3.7.1 判断投标人的投标是否应当被否决的全部条件(包括本章第3.1.2项、第3.1.3项中规定的条件)，在本章前附表中集中列示。并使用</w:t>
      </w:r>
      <w:r>
        <w:rPr>
          <w:rFonts w:hint="eastAsia" w:ascii="宋体" w:hAnsi="宋体"/>
          <w:b/>
          <w:color w:val="auto"/>
          <w:szCs w:val="21"/>
          <w:highlight w:val="none"/>
        </w:rPr>
        <w:t>附表A-14</w:t>
      </w:r>
      <w:r>
        <w:rPr>
          <w:rFonts w:hint="eastAsia" w:ascii="宋体" w:hAnsi="宋体"/>
          <w:color w:val="auto"/>
          <w:szCs w:val="21"/>
          <w:highlight w:val="none"/>
        </w:rPr>
        <w:t>记录评审结果。</w:t>
      </w:r>
    </w:p>
    <w:p w14:paraId="39773B1A">
      <w:pPr>
        <w:adjustRightInd w:val="0"/>
        <w:snapToGrid w:val="0"/>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A3.7.2本章</w:t>
      </w:r>
      <w:r>
        <w:rPr>
          <w:rFonts w:hint="eastAsia" w:ascii="宋体" w:hAnsi="宋体"/>
          <w:b/>
          <w:color w:val="auto"/>
          <w:szCs w:val="21"/>
          <w:highlight w:val="none"/>
        </w:rPr>
        <w:t>附件B</w:t>
      </w:r>
      <w:r>
        <w:rPr>
          <w:rFonts w:hint="eastAsia" w:ascii="宋体" w:hAnsi="宋体"/>
          <w:color w:val="auto"/>
          <w:szCs w:val="21"/>
          <w:highlight w:val="none"/>
        </w:rPr>
        <w:t>集中列示的否决投标的条件不应与第二章“投标人须知”和本章前附表和正文部分包括的否决投标的条件抵触，如果出现相互矛盾的情况，以本章前附表和正文部分的规定为准。</w:t>
      </w:r>
    </w:p>
    <w:p w14:paraId="0D0684DC">
      <w:pPr>
        <w:adjustRightInd w:val="0"/>
        <w:snapToGrid w:val="0"/>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A3.7.3评标委员会在评标(包括初步评审和详细评审)过程中，依据本章前附表和正文部分中规定的否决投标的条件判断投标人的投标是否为应当被否决。</w:t>
      </w:r>
    </w:p>
    <w:p w14:paraId="1935422E">
      <w:pPr>
        <w:pStyle w:val="33"/>
        <w:rPr>
          <w:rFonts w:hint="eastAsia" w:ascii="Times New Roman" w:hAnsi="Times New Roman"/>
          <w:b/>
          <w:color w:val="auto"/>
          <w:sz w:val="21"/>
          <w:szCs w:val="21"/>
          <w:highlight w:val="none"/>
        </w:rPr>
      </w:pPr>
      <w:bookmarkStart w:id="677" w:name="_Toc12858"/>
      <w:bookmarkStart w:id="678" w:name="_Toc28531798"/>
      <w:r>
        <w:rPr>
          <w:b/>
          <w:color w:val="auto"/>
          <w:sz w:val="21"/>
          <w:szCs w:val="21"/>
          <w:highlight w:val="none"/>
        </w:rPr>
        <w:t xml:space="preserve">A3.8 </w:t>
      </w:r>
      <w:r>
        <w:rPr>
          <w:rFonts w:hint="eastAsia"/>
          <w:b/>
          <w:color w:val="auto"/>
          <w:sz w:val="21"/>
          <w:szCs w:val="21"/>
          <w:highlight w:val="none"/>
        </w:rPr>
        <w:t>澄清、说明或补正</w:t>
      </w:r>
      <w:bookmarkEnd w:id="677"/>
      <w:bookmarkEnd w:id="678"/>
    </w:p>
    <w:p w14:paraId="78CC5536">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在初步评审过程中，评标委员会应当就投标文件中</w:t>
      </w:r>
      <w:r>
        <w:rPr>
          <w:rFonts w:hint="eastAsia"/>
          <w:color w:val="auto"/>
          <w:highlight w:val="none"/>
        </w:rPr>
        <w:t>含义不明确、对同类问题表述不一致或者有明显文字和计算错误的内容</w:t>
      </w:r>
      <w:r>
        <w:rPr>
          <w:rFonts w:hint="eastAsia" w:ascii="宋体" w:hAnsi="宋体"/>
          <w:color w:val="auto"/>
          <w:szCs w:val="21"/>
          <w:highlight w:val="none"/>
        </w:rPr>
        <w:t>要求投标人进行澄清、说明或者补正。投标人对此以书面形式予以澄清、说明或者补正。澄清、说明或补正根据本章第3.3款的规定执行。《</w:t>
      </w:r>
      <w:r>
        <w:rPr>
          <w:rFonts w:hint="eastAsia"/>
          <w:color w:val="auto"/>
          <w:highlight w:val="none"/>
        </w:rPr>
        <w:t>投标文件</w:t>
      </w:r>
      <w:r>
        <w:rPr>
          <w:rFonts w:hint="eastAsia" w:ascii="宋体" w:hAnsi="宋体"/>
          <w:color w:val="auto"/>
          <w:szCs w:val="21"/>
          <w:highlight w:val="none"/>
        </w:rPr>
        <w:t>澄清通知》及《</w:t>
      </w:r>
      <w:r>
        <w:rPr>
          <w:rFonts w:hint="eastAsia"/>
          <w:color w:val="auto"/>
          <w:highlight w:val="none"/>
        </w:rPr>
        <w:t>投标文件</w:t>
      </w:r>
      <w:r>
        <w:rPr>
          <w:rFonts w:hint="eastAsia" w:ascii="宋体" w:hAnsi="宋体"/>
          <w:color w:val="auto"/>
          <w:szCs w:val="21"/>
          <w:highlight w:val="none"/>
        </w:rPr>
        <w:t>的澄清》采用投标人须知附表六与投标人须知附表七所提供的格式，并</w:t>
      </w:r>
      <w:r>
        <w:rPr>
          <w:rFonts w:hint="eastAsia"/>
          <w:color w:val="auto"/>
          <w:highlight w:val="none"/>
        </w:rPr>
        <w:t>通过“电子交易平台”“投标文件澄清”菜单以书面形式进行。</w:t>
      </w:r>
    </w:p>
    <w:p w14:paraId="27E73AAB">
      <w:pPr>
        <w:pStyle w:val="33"/>
        <w:rPr>
          <w:rFonts w:hint="eastAsia" w:ascii="Times New Roman" w:hAnsi="Times New Roman"/>
          <w:color w:val="auto"/>
          <w:highlight w:val="none"/>
        </w:rPr>
      </w:pPr>
      <w:bookmarkStart w:id="679" w:name="_Toc729"/>
      <w:bookmarkStart w:id="680" w:name="_Toc28531799"/>
      <w:r>
        <w:rPr>
          <w:color w:val="auto"/>
          <w:highlight w:val="none"/>
        </w:rPr>
        <w:t>A4</w:t>
      </w:r>
      <w:r>
        <w:rPr>
          <w:rFonts w:hint="eastAsia"/>
          <w:color w:val="auto"/>
          <w:highlight w:val="none"/>
        </w:rPr>
        <w:t>．详细评审</w:t>
      </w:r>
      <w:bookmarkEnd w:id="679"/>
      <w:bookmarkEnd w:id="680"/>
    </w:p>
    <w:p w14:paraId="189FD91C">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只有通过了初步评审、被判定为合格的投标方可进入详细评审。</w:t>
      </w:r>
    </w:p>
    <w:p w14:paraId="0A985E2E">
      <w:pPr>
        <w:pStyle w:val="33"/>
        <w:rPr>
          <w:rFonts w:hint="eastAsia" w:ascii="Times New Roman" w:hAnsi="Times New Roman"/>
          <w:b/>
          <w:color w:val="auto"/>
          <w:sz w:val="21"/>
          <w:szCs w:val="21"/>
          <w:highlight w:val="none"/>
        </w:rPr>
      </w:pPr>
      <w:bookmarkStart w:id="681" w:name="_Toc28531800"/>
      <w:bookmarkStart w:id="682" w:name="_Toc20954"/>
      <w:r>
        <w:rPr>
          <w:b/>
          <w:color w:val="auto"/>
          <w:sz w:val="21"/>
          <w:szCs w:val="21"/>
          <w:highlight w:val="none"/>
        </w:rPr>
        <w:t>A4.1</w:t>
      </w:r>
      <w:r>
        <w:rPr>
          <w:rFonts w:hint="eastAsia"/>
          <w:b/>
          <w:color w:val="auto"/>
          <w:sz w:val="21"/>
          <w:szCs w:val="21"/>
          <w:highlight w:val="none"/>
        </w:rPr>
        <w:t>详细评审的程序</w:t>
      </w:r>
      <w:bookmarkEnd w:id="681"/>
      <w:bookmarkEnd w:id="682"/>
    </w:p>
    <w:p w14:paraId="56394C09">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评标委员会按照本章第3．2款中规定的程序进行详细评审：</w:t>
      </w:r>
    </w:p>
    <w:p w14:paraId="7C20B83C">
      <w:pPr>
        <w:adjustRightInd w:val="0"/>
        <w:snapToGrid w:val="0"/>
        <w:spacing w:line="430" w:lineRule="exact"/>
        <w:ind w:firstLine="852" w:firstLineChars="406"/>
        <w:rPr>
          <w:rFonts w:hint="eastAsia" w:ascii="宋体" w:hAnsi="宋体"/>
          <w:color w:val="auto"/>
          <w:szCs w:val="21"/>
          <w:highlight w:val="none"/>
        </w:rPr>
      </w:pPr>
      <w:r>
        <w:rPr>
          <w:rFonts w:hint="eastAsia" w:ascii="宋体" w:hAnsi="宋体"/>
          <w:color w:val="auto"/>
          <w:szCs w:val="21"/>
          <w:highlight w:val="none"/>
        </w:rPr>
        <w:t>(1) 投标报价评审和评分；</w:t>
      </w:r>
    </w:p>
    <w:p w14:paraId="2B6143D8">
      <w:pPr>
        <w:adjustRightInd w:val="0"/>
        <w:snapToGrid w:val="0"/>
        <w:spacing w:line="430" w:lineRule="exact"/>
        <w:ind w:firstLine="852" w:firstLineChars="406"/>
        <w:rPr>
          <w:rFonts w:hint="eastAsia" w:ascii="宋体" w:hAnsi="宋体"/>
          <w:color w:val="auto"/>
          <w:szCs w:val="21"/>
          <w:highlight w:val="none"/>
        </w:rPr>
      </w:pPr>
      <w:r>
        <w:rPr>
          <w:rFonts w:hint="eastAsia" w:ascii="宋体" w:hAnsi="宋体"/>
          <w:color w:val="auto"/>
          <w:szCs w:val="21"/>
          <w:highlight w:val="none"/>
        </w:rPr>
        <w:t xml:space="preserve">(2) 施工组织设计评审和评分； </w:t>
      </w:r>
    </w:p>
    <w:p w14:paraId="36998CF9">
      <w:pPr>
        <w:adjustRightInd w:val="0"/>
        <w:snapToGrid w:val="0"/>
        <w:spacing w:line="430" w:lineRule="exact"/>
        <w:ind w:firstLine="852" w:firstLineChars="406"/>
        <w:rPr>
          <w:rFonts w:hint="eastAsia" w:ascii="宋体" w:hAnsi="宋体"/>
          <w:color w:val="auto"/>
          <w:szCs w:val="21"/>
          <w:highlight w:val="none"/>
        </w:rPr>
      </w:pPr>
      <w:r>
        <w:rPr>
          <w:rFonts w:hint="eastAsia" w:ascii="宋体" w:hAnsi="宋体"/>
          <w:color w:val="auto"/>
          <w:szCs w:val="21"/>
          <w:highlight w:val="none"/>
        </w:rPr>
        <w:t>(3) 项目管理机构评审和评分；</w:t>
      </w:r>
    </w:p>
    <w:p w14:paraId="35B06509">
      <w:pPr>
        <w:adjustRightInd w:val="0"/>
        <w:snapToGrid w:val="0"/>
        <w:spacing w:line="430" w:lineRule="exact"/>
        <w:ind w:firstLine="882" w:firstLineChars="420"/>
        <w:rPr>
          <w:rFonts w:hint="eastAsia" w:ascii="宋体" w:hAnsi="宋体"/>
          <w:color w:val="auto"/>
          <w:szCs w:val="21"/>
          <w:highlight w:val="none"/>
        </w:rPr>
      </w:pPr>
      <w:r>
        <w:rPr>
          <w:rFonts w:hint="eastAsia" w:ascii="宋体" w:hAnsi="宋体"/>
          <w:color w:val="auto"/>
          <w:szCs w:val="21"/>
          <w:highlight w:val="none"/>
        </w:rPr>
        <w:t>(4) 其他因素评审和评分；</w:t>
      </w:r>
    </w:p>
    <w:p w14:paraId="330ECEAE">
      <w:pPr>
        <w:adjustRightInd w:val="0"/>
        <w:snapToGrid w:val="0"/>
        <w:spacing w:line="430" w:lineRule="exact"/>
        <w:ind w:firstLine="882" w:firstLineChars="420"/>
        <w:rPr>
          <w:rFonts w:hint="eastAsia" w:ascii="宋体" w:hAnsi="宋体"/>
          <w:color w:val="auto"/>
          <w:szCs w:val="21"/>
          <w:highlight w:val="none"/>
        </w:rPr>
      </w:pPr>
      <w:r>
        <w:rPr>
          <w:rFonts w:hint="eastAsia" w:ascii="宋体" w:hAnsi="宋体"/>
          <w:color w:val="auto"/>
          <w:szCs w:val="21"/>
          <w:highlight w:val="none"/>
        </w:rPr>
        <w:t>(5) 汇总评分结果。</w:t>
      </w:r>
    </w:p>
    <w:p w14:paraId="5D30F767">
      <w:pPr>
        <w:pStyle w:val="33"/>
        <w:rPr>
          <w:rFonts w:hint="eastAsia" w:ascii="Times New Roman" w:hAnsi="Times New Roman"/>
          <w:b/>
          <w:color w:val="auto"/>
          <w:sz w:val="21"/>
          <w:szCs w:val="21"/>
          <w:highlight w:val="none"/>
        </w:rPr>
      </w:pPr>
      <w:bookmarkStart w:id="683" w:name="_Toc11432"/>
      <w:bookmarkStart w:id="684" w:name="_Toc28531801"/>
      <w:r>
        <w:rPr>
          <w:b/>
          <w:color w:val="auto"/>
          <w:sz w:val="21"/>
          <w:szCs w:val="21"/>
          <w:highlight w:val="none"/>
        </w:rPr>
        <w:t>A4.2</w:t>
      </w:r>
      <w:r>
        <w:rPr>
          <w:rFonts w:hint="eastAsia"/>
          <w:b/>
          <w:color w:val="auto"/>
          <w:sz w:val="21"/>
          <w:szCs w:val="21"/>
          <w:highlight w:val="none"/>
        </w:rPr>
        <w:t>投标报价评审和评分</w:t>
      </w:r>
      <w:bookmarkEnd w:id="683"/>
      <w:bookmarkEnd w:id="684"/>
    </w:p>
    <w:p w14:paraId="7F9135F5">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A4.2.1按照评标办法前附表中规定的方法计算各投标人的 “评标价”。</w:t>
      </w:r>
    </w:p>
    <w:p w14:paraId="5B26ECF8">
      <w:pPr>
        <w:adjustRightInd w:val="0"/>
        <w:snapToGrid w:val="0"/>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A4.2.2按照评标办法前附表中规定的方法计算“评标基准价”。</w:t>
      </w:r>
    </w:p>
    <w:p w14:paraId="3E3DFF2C">
      <w:pPr>
        <w:adjustRightInd w:val="0"/>
        <w:snapToGrid w:val="0"/>
        <w:spacing w:before="48" w:beforeLines="20"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A4.2.3按照评标办法前附表中规定的方法，计算期望合理价。（适用于办法八）</w:t>
      </w:r>
    </w:p>
    <w:p w14:paraId="29B77B21">
      <w:pPr>
        <w:adjustRightInd w:val="0"/>
        <w:snapToGrid w:val="0"/>
        <w:spacing w:before="48" w:beforeLines="20"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A4.2.4按照评标办法前附表中规定的方法，计算各个已通过了初步评审的投标报价的“偏差率”。</w:t>
      </w:r>
    </w:p>
    <w:p w14:paraId="71032CD5">
      <w:pPr>
        <w:adjustRightInd w:val="0"/>
        <w:snapToGrid w:val="0"/>
        <w:spacing w:before="48" w:beforeLines="20"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A4.2.5按照评标办法前附表中规定的评分标准，对照投标报价的偏差率，分别对各个投标报价进行评分，使用</w:t>
      </w:r>
      <w:r>
        <w:rPr>
          <w:rFonts w:hint="eastAsia" w:ascii="宋体" w:hAnsi="宋体"/>
          <w:b/>
          <w:color w:val="auto"/>
          <w:szCs w:val="21"/>
          <w:highlight w:val="none"/>
        </w:rPr>
        <w:t>附表A-8</w:t>
      </w:r>
      <w:r>
        <w:rPr>
          <w:rFonts w:hint="eastAsia" w:ascii="宋体" w:hAnsi="宋体"/>
          <w:color w:val="auto"/>
          <w:szCs w:val="21"/>
          <w:highlight w:val="none"/>
        </w:rPr>
        <w:t>记录对投标报价的评分结果，投标报价的得分记录为</w:t>
      </w:r>
      <w:r>
        <w:rPr>
          <w:rFonts w:hint="eastAsia" w:ascii="宋体" w:hAnsi="宋体"/>
          <w:b/>
          <w:color w:val="auto"/>
          <w:szCs w:val="21"/>
          <w:highlight w:val="none"/>
        </w:rPr>
        <w:t>A</w:t>
      </w:r>
      <w:r>
        <w:rPr>
          <w:rFonts w:hint="eastAsia" w:ascii="宋体" w:hAnsi="宋体"/>
          <w:color w:val="auto"/>
          <w:szCs w:val="21"/>
          <w:highlight w:val="none"/>
        </w:rPr>
        <w:t>。</w:t>
      </w:r>
    </w:p>
    <w:p w14:paraId="489AC83E">
      <w:pPr>
        <w:adjustRightInd w:val="0"/>
        <w:snapToGrid w:val="0"/>
        <w:spacing w:before="48" w:beforeLines="20"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A4.2.5按照评标办法前附表中规定的评审标准，使用</w:t>
      </w:r>
      <w:r>
        <w:rPr>
          <w:rFonts w:hint="eastAsia" w:ascii="宋体" w:hAnsi="宋体"/>
          <w:b/>
          <w:color w:val="auto"/>
          <w:szCs w:val="21"/>
          <w:highlight w:val="none"/>
        </w:rPr>
        <w:t>附表A-13</w:t>
      </w:r>
      <w:r>
        <w:rPr>
          <w:rFonts w:hint="eastAsia" w:ascii="宋体" w:hAnsi="宋体"/>
          <w:color w:val="auto"/>
          <w:szCs w:val="21"/>
          <w:highlight w:val="none"/>
        </w:rPr>
        <w:t>记录对投标报价的评审结果。（适用于办法八）</w:t>
      </w:r>
    </w:p>
    <w:p w14:paraId="0682CE89">
      <w:pPr>
        <w:pStyle w:val="33"/>
        <w:rPr>
          <w:rFonts w:hint="eastAsia" w:ascii="Times New Roman" w:hAnsi="Times New Roman"/>
          <w:b/>
          <w:color w:val="auto"/>
          <w:sz w:val="21"/>
          <w:szCs w:val="21"/>
          <w:highlight w:val="none"/>
        </w:rPr>
      </w:pPr>
      <w:bookmarkStart w:id="685" w:name="_Toc28531802"/>
      <w:bookmarkStart w:id="686" w:name="_Toc25982"/>
      <w:r>
        <w:rPr>
          <w:b/>
          <w:color w:val="auto"/>
          <w:sz w:val="21"/>
          <w:szCs w:val="21"/>
          <w:highlight w:val="none"/>
        </w:rPr>
        <w:t xml:space="preserve">A4.3 </w:t>
      </w:r>
      <w:r>
        <w:rPr>
          <w:rFonts w:hint="eastAsia"/>
          <w:b/>
          <w:color w:val="auto"/>
          <w:sz w:val="21"/>
          <w:szCs w:val="21"/>
          <w:highlight w:val="none"/>
        </w:rPr>
        <w:t>施工组织设计评审和评分</w:t>
      </w:r>
      <w:bookmarkEnd w:id="685"/>
      <w:bookmarkEnd w:id="686"/>
    </w:p>
    <w:p w14:paraId="03DBF4C5">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按照评标办法前附表中规定的分值设定、各项评分因素、评分标准，对施工组织设计进行评审和评分，并使用</w:t>
      </w:r>
      <w:r>
        <w:rPr>
          <w:rFonts w:hint="eastAsia" w:ascii="宋体" w:hAnsi="宋体"/>
          <w:b/>
          <w:color w:val="auto"/>
          <w:szCs w:val="21"/>
          <w:highlight w:val="none"/>
        </w:rPr>
        <w:t>附表A-9</w:t>
      </w:r>
      <w:r>
        <w:rPr>
          <w:rFonts w:hint="eastAsia" w:ascii="宋体" w:hAnsi="宋体"/>
          <w:color w:val="auto"/>
          <w:szCs w:val="21"/>
          <w:highlight w:val="none"/>
        </w:rPr>
        <w:t>记录对施工组织设计的评分结果，施工组织设计的得分记录为</w:t>
      </w:r>
      <w:r>
        <w:rPr>
          <w:rFonts w:hint="eastAsia" w:ascii="宋体" w:hAnsi="宋体"/>
          <w:b/>
          <w:color w:val="auto"/>
          <w:szCs w:val="21"/>
          <w:highlight w:val="none"/>
        </w:rPr>
        <w:t>B</w:t>
      </w:r>
      <w:r>
        <w:rPr>
          <w:rFonts w:hint="eastAsia" w:ascii="宋体" w:hAnsi="宋体"/>
          <w:color w:val="auto"/>
          <w:szCs w:val="21"/>
          <w:highlight w:val="none"/>
        </w:rPr>
        <w:t>。（适用于办法一、二、三、四）</w:t>
      </w:r>
    </w:p>
    <w:p w14:paraId="21AC373F">
      <w:pPr>
        <w:pStyle w:val="33"/>
        <w:rPr>
          <w:rFonts w:hint="eastAsia" w:ascii="Times New Roman" w:hAnsi="Times New Roman"/>
          <w:b/>
          <w:color w:val="auto"/>
          <w:sz w:val="21"/>
          <w:szCs w:val="21"/>
          <w:highlight w:val="none"/>
        </w:rPr>
      </w:pPr>
      <w:bookmarkStart w:id="687" w:name="_Toc15662"/>
      <w:bookmarkStart w:id="688" w:name="_Toc28531803"/>
      <w:r>
        <w:rPr>
          <w:b/>
          <w:color w:val="auto"/>
          <w:sz w:val="21"/>
          <w:szCs w:val="21"/>
          <w:highlight w:val="none"/>
        </w:rPr>
        <w:t>A4.4</w:t>
      </w:r>
      <w:r>
        <w:rPr>
          <w:rFonts w:hint="eastAsia"/>
          <w:b/>
          <w:color w:val="auto"/>
          <w:sz w:val="21"/>
          <w:szCs w:val="21"/>
          <w:highlight w:val="none"/>
        </w:rPr>
        <w:t>项目管理机构评审和评分</w:t>
      </w:r>
      <w:bookmarkEnd w:id="687"/>
      <w:bookmarkEnd w:id="688"/>
    </w:p>
    <w:p w14:paraId="514C930C">
      <w:pPr>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按照评标办法前附表中规定的分值设定、各项评分因素、评分标准，对项目管理机构进行评审和评分，并使用</w:t>
      </w:r>
      <w:r>
        <w:rPr>
          <w:rFonts w:hint="eastAsia" w:ascii="宋体" w:hAnsi="宋体"/>
          <w:b/>
          <w:color w:val="auto"/>
          <w:szCs w:val="21"/>
          <w:highlight w:val="none"/>
        </w:rPr>
        <w:t>附表A-10</w:t>
      </w:r>
      <w:r>
        <w:rPr>
          <w:rFonts w:hint="eastAsia" w:ascii="宋体" w:hAnsi="宋体"/>
          <w:color w:val="auto"/>
          <w:szCs w:val="21"/>
          <w:highlight w:val="none"/>
        </w:rPr>
        <w:t>记录对项目管理机构的评分结果，项目管理机构的得分记录为</w:t>
      </w:r>
      <w:r>
        <w:rPr>
          <w:rFonts w:hint="eastAsia" w:ascii="宋体" w:hAnsi="宋体"/>
          <w:b/>
          <w:color w:val="auto"/>
          <w:szCs w:val="21"/>
          <w:highlight w:val="none"/>
        </w:rPr>
        <w:t>C</w:t>
      </w:r>
      <w:r>
        <w:rPr>
          <w:rFonts w:hint="eastAsia" w:ascii="宋体" w:hAnsi="宋体"/>
          <w:color w:val="auto"/>
          <w:szCs w:val="21"/>
          <w:highlight w:val="none"/>
        </w:rPr>
        <w:t>。</w:t>
      </w:r>
    </w:p>
    <w:p w14:paraId="2750FB28">
      <w:pPr>
        <w:pStyle w:val="33"/>
        <w:rPr>
          <w:rFonts w:hint="eastAsia" w:ascii="Times New Roman" w:hAnsi="Times New Roman"/>
          <w:b/>
          <w:color w:val="auto"/>
          <w:sz w:val="21"/>
          <w:szCs w:val="21"/>
          <w:highlight w:val="none"/>
        </w:rPr>
      </w:pPr>
      <w:bookmarkStart w:id="689" w:name="_Toc21938"/>
      <w:bookmarkStart w:id="690" w:name="_Toc28531804"/>
      <w:r>
        <w:rPr>
          <w:b/>
          <w:color w:val="auto"/>
          <w:sz w:val="21"/>
          <w:szCs w:val="21"/>
          <w:highlight w:val="none"/>
        </w:rPr>
        <w:t xml:space="preserve">A4.5 </w:t>
      </w:r>
      <w:r>
        <w:rPr>
          <w:rFonts w:hint="eastAsia"/>
          <w:b/>
          <w:color w:val="auto"/>
          <w:sz w:val="21"/>
          <w:szCs w:val="21"/>
          <w:highlight w:val="none"/>
        </w:rPr>
        <w:t>其他因素的评审和评分</w:t>
      </w:r>
      <w:bookmarkEnd w:id="689"/>
      <w:bookmarkEnd w:id="690"/>
    </w:p>
    <w:p w14:paraId="6E1E992B">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根据评标办法前附表中规定的分值设定、各项评分因素和相应的评分标准，对其他因素(如果有)进行评审和评分，并使用</w:t>
      </w:r>
      <w:r>
        <w:rPr>
          <w:rFonts w:hint="eastAsia" w:ascii="宋体" w:hAnsi="宋体"/>
          <w:b/>
          <w:color w:val="auto"/>
          <w:szCs w:val="21"/>
          <w:highlight w:val="none"/>
        </w:rPr>
        <w:t>附表A-11</w:t>
      </w:r>
      <w:r>
        <w:rPr>
          <w:rFonts w:hint="eastAsia" w:ascii="宋体" w:hAnsi="宋体"/>
          <w:color w:val="auto"/>
          <w:szCs w:val="21"/>
          <w:highlight w:val="none"/>
        </w:rPr>
        <w:t>记录对其他因素的评分结果，其他因素的得分记录为</w:t>
      </w:r>
      <w:r>
        <w:rPr>
          <w:rFonts w:hint="eastAsia" w:ascii="宋体" w:hAnsi="宋体"/>
          <w:b/>
          <w:color w:val="auto"/>
          <w:szCs w:val="21"/>
          <w:highlight w:val="none"/>
        </w:rPr>
        <w:t>D</w:t>
      </w:r>
      <w:r>
        <w:rPr>
          <w:rFonts w:hint="eastAsia" w:ascii="宋体" w:hAnsi="宋体"/>
          <w:color w:val="auto"/>
          <w:szCs w:val="21"/>
          <w:highlight w:val="none"/>
        </w:rPr>
        <w:t>。</w:t>
      </w:r>
    </w:p>
    <w:p w14:paraId="2F1FBFA5">
      <w:pPr>
        <w:pStyle w:val="33"/>
        <w:rPr>
          <w:rFonts w:hint="eastAsia" w:ascii="Times New Roman" w:hAnsi="Times New Roman"/>
          <w:b/>
          <w:color w:val="auto"/>
          <w:sz w:val="21"/>
          <w:szCs w:val="21"/>
          <w:highlight w:val="none"/>
        </w:rPr>
      </w:pPr>
      <w:bookmarkStart w:id="691" w:name="_Toc28531805"/>
      <w:bookmarkStart w:id="692" w:name="_Toc31449"/>
      <w:r>
        <w:rPr>
          <w:b/>
          <w:color w:val="auto"/>
          <w:sz w:val="21"/>
          <w:szCs w:val="21"/>
          <w:highlight w:val="none"/>
        </w:rPr>
        <w:t xml:space="preserve">A4.6 </w:t>
      </w:r>
      <w:r>
        <w:rPr>
          <w:rFonts w:hint="eastAsia"/>
          <w:b/>
          <w:color w:val="auto"/>
          <w:sz w:val="21"/>
          <w:szCs w:val="21"/>
          <w:highlight w:val="none"/>
        </w:rPr>
        <w:t>澄清、说明或补正</w:t>
      </w:r>
      <w:bookmarkEnd w:id="691"/>
      <w:bookmarkEnd w:id="692"/>
    </w:p>
    <w:p w14:paraId="29D8D924">
      <w:pPr>
        <w:spacing w:line="410" w:lineRule="exact"/>
        <w:ind w:firstLine="420" w:firstLineChars="200"/>
        <w:rPr>
          <w:rFonts w:ascii="宋体" w:hAnsi="宋体"/>
          <w:color w:val="auto"/>
          <w:szCs w:val="21"/>
          <w:highlight w:val="none"/>
        </w:rPr>
      </w:pPr>
      <w:r>
        <w:rPr>
          <w:rFonts w:hint="eastAsia" w:ascii="宋体" w:hAnsi="宋体"/>
          <w:color w:val="auto"/>
          <w:szCs w:val="21"/>
          <w:highlight w:val="none"/>
        </w:rPr>
        <w:t>在详细评审过程中，评标委员会应当就投标文件中</w:t>
      </w:r>
      <w:r>
        <w:rPr>
          <w:rFonts w:hint="eastAsia"/>
          <w:color w:val="auto"/>
          <w:highlight w:val="none"/>
        </w:rPr>
        <w:t>含义不明确、对同类问题表述不一致或者有明显文字和计算错误的内容</w:t>
      </w:r>
      <w:r>
        <w:rPr>
          <w:rFonts w:hint="eastAsia" w:ascii="宋体" w:hAnsi="宋体"/>
          <w:color w:val="auto"/>
          <w:szCs w:val="21"/>
          <w:highlight w:val="none"/>
        </w:rPr>
        <w:t>要求投标人进行澄清、说明或者补正。投标人对此以书面形式予以澄清、说明或者补正。澄清、说明或补正根据本章第3.3款的规定执行。《</w:t>
      </w:r>
      <w:r>
        <w:rPr>
          <w:rFonts w:hint="eastAsia"/>
          <w:color w:val="auto"/>
          <w:highlight w:val="none"/>
        </w:rPr>
        <w:t>投标文件</w:t>
      </w:r>
      <w:r>
        <w:rPr>
          <w:rFonts w:hint="eastAsia" w:ascii="宋体" w:hAnsi="宋体"/>
          <w:color w:val="auto"/>
          <w:szCs w:val="21"/>
          <w:highlight w:val="none"/>
        </w:rPr>
        <w:t>澄清通知》及《</w:t>
      </w:r>
      <w:r>
        <w:rPr>
          <w:rFonts w:hint="eastAsia"/>
          <w:color w:val="auto"/>
          <w:highlight w:val="none"/>
        </w:rPr>
        <w:t>投标文件</w:t>
      </w:r>
      <w:r>
        <w:rPr>
          <w:rFonts w:hint="eastAsia" w:ascii="宋体" w:hAnsi="宋体"/>
          <w:color w:val="auto"/>
          <w:szCs w:val="21"/>
          <w:highlight w:val="none"/>
        </w:rPr>
        <w:t>的澄清》采用投标人须知附表七与投标人须知附表八所提供的格式，并</w:t>
      </w:r>
      <w:r>
        <w:rPr>
          <w:rFonts w:hint="eastAsia"/>
          <w:color w:val="auto"/>
          <w:highlight w:val="none"/>
        </w:rPr>
        <w:t>通过“电子交易平台”“投标文件澄清”菜单以书面形式进行。</w:t>
      </w:r>
    </w:p>
    <w:p w14:paraId="7CFE30EC">
      <w:pPr>
        <w:pStyle w:val="33"/>
        <w:rPr>
          <w:rFonts w:hint="eastAsia" w:ascii="Times New Roman" w:hAnsi="Times New Roman"/>
          <w:b/>
          <w:color w:val="auto"/>
          <w:sz w:val="21"/>
          <w:szCs w:val="21"/>
          <w:highlight w:val="none"/>
        </w:rPr>
      </w:pPr>
      <w:bookmarkStart w:id="693" w:name="_Toc28531806"/>
      <w:bookmarkStart w:id="694" w:name="_Toc5886"/>
      <w:r>
        <w:rPr>
          <w:b/>
          <w:color w:val="auto"/>
          <w:sz w:val="21"/>
          <w:szCs w:val="21"/>
          <w:highlight w:val="none"/>
        </w:rPr>
        <w:t xml:space="preserve">A4.7  </w:t>
      </w:r>
      <w:r>
        <w:rPr>
          <w:rFonts w:hint="eastAsia"/>
          <w:b/>
          <w:color w:val="auto"/>
          <w:sz w:val="21"/>
          <w:szCs w:val="21"/>
          <w:highlight w:val="none"/>
        </w:rPr>
        <w:t>汇总评分（评审）结果</w:t>
      </w:r>
      <w:bookmarkEnd w:id="693"/>
      <w:bookmarkEnd w:id="694"/>
    </w:p>
    <w:p w14:paraId="617A592F">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评标委员会成员应按照</w:t>
      </w:r>
      <w:r>
        <w:rPr>
          <w:rFonts w:hint="eastAsia" w:ascii="宋体" w:hAnsi="宋体"/>
          <w:b/>
          <w:color w:val="auto"/>
          <w:szCs w:val="21"/>
          <w:highlight w:val="none"/>
        </w:rPr>
        <w:t>附表A-12</w:t>
      </w:r>
      <w:r>
        <w:rPr>
          <w:rFonts w:hint="eastAsia" w:ascii="宋体" w:hAnsi="宋体"/>
          <w:color w:val="auto"/>
          <w:szCs w:val="21"/>
          <w:highlight w:val="none"/>
        </w:rPr>
        <w:t>的格式填写详细评审评分汇总表。按照</w:t>
      </w:r>
      <w:r>
        <w:rPr>
          <w:rFonts w:hint="eastAsia" w:ascii="宋体" w:hAnsi="宋体"/>
          <w:b/>
          <w:color w:val="auto"/>
          <w:szCs w:val="21"/>
          <w:highlight w:val="none"/>
        </w:rPr>
        <w:t>附表A-13</w:t>
      </w:r>
      <w:r>
        <w:rPr>
          <w:rFonts w:hint="eastAsia" w:ascii="宋体" w:hAnsi="宋体"/>
          <w:color w:val="auto"/>
          <w:szCs w:val="21"/>
          <w:highlight w:val="none"/>
        </w:rPr>
        <w:t>的格式汇总各个评标委员会成员的详细评审评分结果，并按照详细评审最终得分由高至低的次序对投标人进行排序。（适用于办法一、二、三、四、五、六、七）</w:t>
      </w:r>
    </w:p>
    <w:p w14:paraId="070634F2">
      <w:pPr>
        <w:adjustRightInd w:val="0"/>
        <w:snapToGrid w:val="0"/>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评标委员会应按照</w:t>
      </w:r>
      <w:r>
        <w:rPr>
          <w:rFonts w:hint="eastAsia" w:ascii="宋体" w:hAnsi="宋体"/>
          <w:b/>
          <w:color w:val="auto"/>
          <w:szCs w:val="21"/>
          <w:highlight w:val="none"/>
        </w:rPr>
        <w:t>附表A-13</w:t>
      </w:r>
      <w:r>
        <w:rPr>
          <w:rFonts w:hint="eastAsia" w:ascii="宋体" w:hAnsi="宋体"/>
          <w:color w:val="auto"/>
          <w:szCs w:val="21"/>
          <w:highlight w:val="none"/>
        </w:rPr>
        <w:t>的格式记录对投标报价的评审结果，并按有效评标价由低到高的顺序对投标人进行排序。（适用于办法八）</w:t>
      </w:r>
    </w:p>
    <w:p w14:paraId="56409D07">
      <w:pPr>
        <w:pStyle w:val="33"/>
        <w:rPr>
          <w:rFonts w:hint="eastAsia" w:ascii="Times New Roman" w:hAnsi="Times New Roman"/>
          <w:color w:val="auto"/>
          <w:highlight w:val="none"/>
        </w:rPr>
      </w:pPr>
      <w:bookmarkStart w:id="695" w:name="_Toc28531807"/>
      <w:bookmarkStart w:id="696" w:name="_Toc22706"/>
      <w:r>
        <w:rPr>
          <w:color w:val="auto"/>
          <w:highlight w:val="none"/>
        </w:rPr>
        <w:t xml:space="preserve">A5.  </w:t>
      </w:r>
      <w:r>
        <w:rPr>
          <w:rFonts w:hint="eastAsia"/>
          <w:color w:val="auto"/>
          <w:highlight w:val="none"/>
        </w:rPr>
        <w:t>推荐中标候选人或者直接确定中标人</w:t>
      </w:r>
      <w:bookmarkEnd w:id="695"/>
      <w:bookmarkEnd w:id="696"/>
    </w:p>
    <w:p w14:paraId="6A48B16D">
      <w:pPr>
        <w:pStyle w:val="33"/>
        <w:rPr>
          <w:b/>
          <w:color w:val="auto"/>
          <w:sz w:val="21"/>
          <w:szCs w:val="21"/>
          <w:highlight w:val="none"/>
        </w:rPr>
      </w:pPr>
      <w:bookmarkStart w:id="697" w:name="_Toc28531808"/>
      <w:bookmarkStart w:id="698" w:name="_Toc26204"/>
      <w:r>
        <w:rPr>
          <w:b/>
          <w:color w:val="auto"/>
          <w:sz w:val="21"/>
          <w:szCs w:val="21"/>
          <w:highlight w:val="none"/>
        </w:rPr>
        <w:t xml:space="preserve">A5.1  </w:t>
      </w:r>
      <w:r>
        <w:rPr>
          <w:rFonts w:hint="eastAsia"/>
          <w:b/>
          <w:color w:val="auto"/>
          <w:sz w:val="21"/>
          <w:szCs w:val="21"/>
          <w:highlight w:val="none"/>
        </w:rPr>
        <w:t>推荐中标候选人</w:t>
      </w:r>
      <w:bookmarkEnd w:id="697"/>
      <w:bookmarkEnd w:id="698"/>
    </w:p>
    <w:p w14:paraId="2251CA08">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A5.1.1  除第二章“投标人须知”前附表第7．1款授权直接确定中标人外，评标委员会在推荐中标候选人时，应遵照以下原则:</w:t>
      </w:r>
    </w:p>
    <w:p w14:paraId="10F178FD">
      <w:pPr>
        <w:adjustRightInd w:val="0"/>
        <w:snapToGrid w:val="0"/>
        <w:spacing w:line="441" w:lineRule="exact"/>
        <w:ind w:left="951" w:leftChars="187" w:hanging="558" w:hangingChars="266"/>
        <w:rPr>
          <w:rFonts w:hint="eastAsia" w:ascii="宋体" w:hAnsi="宋体"/>
          <w:color w:val="auto"/>
          <w:szCs w:val="21"/>
          <w:highlight w:val="none"/>
        </w:rPr>
      </w:pPr>
      <w:r>
        <w:rPr>
          <w:rFonts w:hint="eastAsia" w:ascii="宋体" w:hAnsi="宋体"/>
          <w:color w:val="auto"/>
          <w:szCs w:val="21"/>
          <w:highlight w:val="none"/>
        </w:rPr>
        <w:t>(1)  评标委员会按照最终得分由高至低的次序排列（适用于办法一、二、三、四、五、六、七）或按有效评标价由低到高的次序排列（适用于办法八），并根据第二章“投标人须知”前附表第7.1款规定的中标候选人数量，将排序在前的投标人推荐为中标候选人。</w:t>
      </w:r>
      <w:r>
        <w:rPr>
          <w:rFonts w:hint="eastAsia"/>
          <w:color w:val="auto"/>
          <w:highlight w:val="none"/>
        </w:rPr>
        <w:t>招标文件允许多标段投标、多标段中标的，各标段中标候选人的推荐按第二章“投标人须知”</w:t>
      </w:r>
      <w:r>
        <w:rPr>
          <w:color w:val="auto"/>
          <w:highlight w:val="none"/>
        </w:rPr>
        <w:t xml:space="preserve"> </w:t>
      </w:r>
      <w:r>
        <w:rPr>
          <w:rFonts w:hint="eastAsia"/>
          <w:color w:val="auto"/>
          <w:highlight w:val="none"/>
        </w:rPr>
        <w:t>第</w:t>
      </w:r>
      <w:r>
        <w:rPr>
          <w:color w:val="auto"/>
          <w:highlight w:val="none"/>
        </w:rPr>
        <w:t>10.1</w:t>
      </w:r>
      <w:r>
        <w:rPr>
          <w:rFonts w:hint="eastAsia"/>
          <w:color w:val="auto"/>
          <w:highlight w:val="none"/>
        </w:rPr>
        <w:t>款规定执行，对某些标段由此产生的空缺由排序在后的投标人依次替补。</w:t>
      </w:r>
    </w:p>
    <w:p w14:paraId="7A3F7966">
      <w:pPr>
        <w:adjustRightInd w:val="0"/>
        <w:snapToGrid w:val="0"/>
        <w:spacing w:line="441" w:lineRule="exact"/>
        <w:ind w:left="936" w:leftChars="200" w:hanging="516" w:hangingChars="246"/>
        <w:rPr>
          <w:rFonts w:hint="eastAsia" w:ascii="宋体" w:hAnsi="宋体"/>
          <w:color w:val="auto"/>
          <w:szCs w:val="21"/>
          <w:highlight w:val="none"/>
        </w:rPr>
      </w:pPr>
      <w:r>
        <w:rPr>
          <w:rFonts w:hint="eastAsia" w:ascii="宋体" w:hAnsi="宋体"/>
          <w:color w:val="auto"/>
          <w:szCs w:val="21"/>
          <w:highlight w:val="none"/>
        </w:rPr>
        <w:t>(2)  如果评标委员会根据本章的规定否决有关投标后，有效投标不足三个，且少于第二章“投标人须知”前附表第7.1款规定的中标候选人数量的，则评标委员会可以将所有有效投标按最终得分由高至低的次序（适用于办法一、二、三、四、五、六、七）或按有效评标价由低到高的次序（适用于办法八）作为中标候选人向招标人推荐。如果因有效投标不足三个使得投标明显缺乏竞争的，评标委员会可以否决所有投标，并建议招标人重新招标。</w:t>
      </w:r>
    </w:p>
    <w:p w14:paraId="65FBBE86">
      <w:pPr>
        <w:adjustRightInd w:val="0"/>
        <w:snapToGrid w:val="0"/>
        <w:spacing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A5.2.2  投标人数量少于三个或者所有投标被否决的，招标人应当依法重新招标。</w:t>
      </w:r>
    </w:p>
    <w:p w14:paraId="5732537E">
      <w:pPr>
        <w:pStyle w:val="33"/>
        <w:rPr>
          <w:rFonts w:hint="eastAsia" w:ascii="Times New Roman" w:hAnsi="Times New Roman"/>
          <w:b/>
          <w:color w:val="auto"/>
          <w:sz w:val="21"/>
          <w:szCs w:val="21"/>
          <w:highlight w:val="none"/>
        </w:rPr>
      </w:pPr>
      <w:bookmarkStart w:id="699" w:name="_Toc28531809"/>
      <w:bookmarkStart w:id="700" w:name="_Toc17790"/>
      <w:r>
        <w:rPr>
          <w:b/>
          <w:color w:val="auto"/>
          <w:sz w:val="21"/>
          <w:szCs w:val="21"/>
          <w:highlight w:val="none"/>
        </w:rPr>
        <w:t>A5.2</w:t>
      </w:r>
      <w:r>
        <w:rPr>
          <w:rFonts w:hint="eastAsia"/>
          <w:b/>
          <w:color w:val="auto"/>
          <w:sz w:val="21"/>
          <w:szCs w:val="21"/>
          <w:highlight w:val="none"/>
        </w:rPr>
        <w:t>直接确定中标人</w:t>
      </w:r>
      <w:bookmarkEnd w:id="699"/>
      <w:bookmarkEnd w:id="700"/>
    </w:p>
    <w:p w14:paraId="0D261931">
      <w:pPr>
        <w:adjustRightInd w:val="0"/>
        <w:snapToGrid w:val="0"/>
        <w:spacing w:line="441" w:lineRule="exact"/>
        <w:ind w:firstLine="420" w:firstLineChars="200"/>
        <w:rPr>
          <w:rFonts w:ascii="宋体" w:hAnsi="宋体"/>
          <w:color w:val="auto"/>
          <w:szCs w:val="21"/>
          <w:highlight w:val="none"/>
        </w:rPr>
      </w:pPr>
      <w:r>
        <w:rPr>
          <w:rFonts w:hint="eastAsia" w:ascii="宋体" w:hAnsi="宋体"/>
          <w:color w:val="auto"/>
          <w:szCs w:val="21"/>
          <w:highlight w:val="none"/>
        </w:rPr>
        <w:t>第二章“投标人须知”前附表授权评标委员会直接确定中标人的，评标委员会按照最终得分由高至低的次序排列（适用于办法一、二、三、四、五、六、七）或按有效评标价由低到高的次序排列（适用于办法八），并依法确定中标人。</w:t>
      </w:r>
    </w:p>
    <w:p w14:paraId="54004DC4">
      <w:pPr>
        <w:pStyle w:val="33"/>
        <w:rPr>
          <w:rFonts w:hint="eastAsia" w:ascii="Times New Roman" w:hAnsi="Times New Roman"/>
          <w:b/>
          <w:color w:val="auto"/>
          <w:sz w:val="21"/>
          <w:szCs w:val="21"/>
          <w:highlight w:val="none"/>
        </w:rPr>
      </w:pPr>
      <w:bookmarkStart w:id="701" w:name="_Toc28531810"/>
      <w:bookmarkStart w:id="702" w:name="_Toc20071"/>
      <w:r>
        <w:rPr>
          <w:b/>
          <w:color w:val="auto"/>
          <w:sz w:val="21"/>
          <w:szCs w:val="21"/>
          <w:highlight w:val="none"/>
        </w:rPr>
        <w:t>A5.3</w:t>
      </w:r>
      <w:r>
        <w:rPr>
          <w:rFonts w:hint="eastAsia"/>
          <w:b/>
          <w:color w:val="auto"/>
          <w:sz w:val="21"/>
          <w:szCs w:val="21"/>
          <w:highlight w:val="none"/>
        </w:rPr>
        <w:t>编制评标报告</w:t>
      </w:r>
      <w:bookmarkEnd w:id="701"/>
      <w:bookmarkEnd w:id="702"/>
    </w:p>
    <w:p w14:paraId="415DE21E">
      <w:pPr>
        <w:adjustRightInd w:val="0"/>
        <w:snapToGrid w:val="0"/>
        <w:spacing w:line="441" w:lineRule="exact"/>
        <w:ind w:firstLine="420" w:firstLineChars="200"/>
        <w:rPr>
          <w:rFonts w:ascii="宋体" w:hAnsi="宋体"/>
          <w:color w:val="auto"/>
          <w:szCs w:val="21"/>
          <w:highlight w:val="none"/>
        </w:rPr>
      </w:pPr>
      <w:r>
        <w:rPr>
          <w:rFonts w:hint="eastAsia" w:ascii="宋体" w:hAnsi="宋体"/>
          <w:color w:val="auto"/>
          <w:szCs w:val="21"/>
          <w:highlight w:val="none"/>
        </w:rPr>
        <w:t>评标委员会根据本章第3.4.2项的规定向招标人提交评标报告。评标报告应当由全体评标委员会成员签字，并于评标结束时抄送有关行政监督部门。评标报告应当包括以下内容：</w:t>
      </w:r>
    </w:p>
    <w:p w14:paraId="45770DBD">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（1）基本情况和数据表；</w:t>
      </w:r>
    </w:p>
    <w:p w14:paraId="03040212">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（2）评标委员会成员名单；</w:t>
      </w:r>
    </w:p>
    <w:p w14:paraId="7FE6AF07">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（3）开标记录；</w:t>
      </w:r>
    </w:p>
    <w:p w14:paraId="055D5DC7">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（4）符合要求的投标一览表；</w:t>
      </w:r>
    </w:p>
    <w:p w14:paraId="44EB4373">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（5）被否决投标的情况说明；</w:t>
      </w:r>
    </w:p>
    <w:p w14:paraId="182DA892">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（6）评标标准、评标方法或者评标因素一览表；</w:t>
      </w:r>
    </w:p>
    <w:p w14:paraId="6F683B61">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（7）经评审的价格一览表(包括评标委员会在评标过程中所形成的所有记载评标结果、结论的表格、说明、记录等文件)；</w:t>
      </w:r>
    </w:p>
    <w:p w14:paraId="174DE44C">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（8）经评审的投标人排序；</w:t>
      </w:r>
    </w:p>
    <w:p w14:paraId="4A6B7541">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（9）推荐的中标候选人名单(如果第二章“投标人须知”前附表授权评标委员会直接确定中标人，则为“确定的中标人”)与签订合同前要处理的事宜；</w:t>
      </w:r>
    </w:p>
    <w:p w14:paraId="50FB5561">
      <w:pPr>
        <w:adjustRightInd w:val="0"/>
        <w:snapToGrid w:val="0"/>
        <w:spacing w:before="72" w:beforeLines="30"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（10）澄清、说明、补正事项纪要。</w:t>
      </w:r>
    </w:p>
    <w:p w14:paraId="42865F0B">
      <w:pPr>
        <w:pStyle w:val="33"/>
        <w:rPr>
          <w:rFonts w:hint="eastAsia" w:ascii="Times New Roman" w:hAnsi="Times New Roman"/>
          <w:color w:val="auto"/>
          <w:highlight w:val="none"/>
        </w:rPr>
      </w:pPr>
      <w:bookmarkStart w:id="703" w:name="_Toc17580"/>
      <w:bookmarkStart w:id="704" w:name="_Toc28531811"/>
      <w:r>
        <w:rPr>
          <w:color w:val="auto"/>
          <w:highlight w:val="none"/>
        </w:rPr>
        <w:t>A6</w:t>
      </w:r>
      <w:r>
        <w:rPr>
          <w:rFonts w:hint="eastAsia"/>
          <w:color w:val="auto"/>
          <w:highlight w:val="none"/>
        </w:rPr>
        <w:t>．特殊情况的处置程序</w:t>
      </w:r>
      <w:bookmarkEnd w:id="703"/>
      <w:bookmarkEnd w:id="704"/>
    </w:p>
    <w:p w14:paraId="5DA163F9">
      <w:pPr>
        <w:pStyle w:val="33"/>
        <w:rPr>
          <w:rFonts w:ascii="宋体" w:hAnsi="宋体"/>
          <w:b/>
          <w:color w:val="auto"/>
          <w:szCs w:val="21"/>
          <w:highlight w:val="none"/>
        </w:rPr>
      </w:pPr>
      <w:bookmarkStart w:id="705" w:name="_Toc25359"/>
      <w:bookmarkStart w:id="706" w:name="_Toc28531812"/>
      <w:r>
        <w:rPr>
          <w:b/>
          <w:color w:val="auto"/>
          <w:sz w:val="21"/>
          <w:szCs w:val="21"/>
          <w:highlight w:val="none"/>
        </w:rPr>
        <w:t xml:space="preserve">A6.1  </w:t>
      </w:r>
      <w:r>
        <w:rPr>
          <w:rFonts w:hint="eastAsia"/>
          <w:b/>
          <w:color w:val="auto"/>
          <w:sz w:val="21"/>
          <w:szCs w:val="21"/>
          <w:highlight w:val="none"/>
        </w:rPr>
        <w:t>暗标评审的评审程序规定</w:t>
      </w:r>
      <w:r>
        <w:rPr>
          <w:b/>
          <w:color w:val="auto"/>
          <w:sz w:val="21"/>
          <w:szCs w:val="21"/>
          <w:highlight w:val="none"/>
        </w:rPr>
        <w:t>(</w:t>
      </w:r>
      <w:r>
        <w:rPr>
          <w:rFonts w:hint="eastAsia"/>
          <w:b/>
          <w:color w:val="auto"/>
          <w:sz w:val="21"/>
          <w:szCs w:val="21"/>
          <w:highlight w:val="none"/>
        </w:rPr>
        <w:t>适用于对施工组织设计进行暗标评审的</w:t>
      </w:r>
      <w:r>
        <w:rPr>
          <w:b/>
          <w:color w:val="auto"/>
          <w:sz w:val="21"/>
          <w:szCs w:val="21"/>
          <w:highlight w:val="none"/>
        </w:rPr>
        <w:t>)</w:t>
      </w:r>
      <w:bookmarkEnd w:id="705"/>
      <w:bookmarkEnd w:id="706"/>
    </w:p>
    <w:p w14:paraId="610CCBFA">
      <w:pPr>
        <w:adjustRightInd w:val="0"/>
        <w:snapToGrid w:val="0"/>
        <w:spacing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如果第二章“投标人须知”前附表第</w:t>
      </w:r>
      <w:r>
        <w:rPr>
          <w:color w:val="auto"/>
          <w:highlight w:val="none"/>
        </w:rPr>
        <w:t>3.7.4</w:t>
      </w:r>
      <w:r>
        <w:rPr>
          <w:rFonts w:hint="eastAsia" w:ascii="宋体" w:hAnsi="宋体"/>
          <w:color w:val="auto"/>
          <w:szCs w:val="21"/>
          <w:highlight w:val="none"/>
        </w:rPr>
        <w:t>项要求对施工组织设计采用“暗标”方式，则评标委员会需将施工组织设计(暗标)的形式评审在初步评审阶段完成；如果施工组织设计只进行合格性审查的，也应在初步评审阶段完成。所有被否决的投标，在上述评审完成后再公开其暗标编码与投标人名称之间的对应关系。被否决的投标不再进入详细评审阶段。</w:t>
      </w:r>
    </w:p>
    <w:p w14:paraId="313CD165">
      <w:pPr>
        <w:adjustRightInd w:val="0"/>
        <w:snapToGrid w:val="0"/>
        <w:spacing w:line="441" w:lineRule="exact"/>
        <w:ind w:firstLine="420" w:firstLineChars="200"/>
        <w:rPr>
          <w:rFonts w:hint="eastAsia" w:ascii="宋体" w:hAnsi="宋体"/>
          <w:color w:val="auto"/>
          <w:szCs w:val="21"/>
          <w:highlight w:val="none"/>
        </w:rPr>
      </w:pPr>
      <w:r>
        <w:rPr>
          <w:rFonts w:hint="eastAsia" w:ascii="宋体" w:hAnsi="宋体"/>
          <w:color w:val="auto"/>
          <w:szCs w:val="21"/>
          <w:highlight w:val="none"/>
        </w:rPr>
        <w:t>如果施工组织设计是详细评审阶段的评审内容，电子交易平台应采取措施，在投标报价、施工组织设计、项目管理机构、其他因素的评审完成后，再公开相应暗标编码与投标人名称之间的对应关系。</w:t>
      </w:r>
    </w:p>
    <w:p w14:paraId="6987C71A">
      <w:pPr>
        <w:pStyle w:val="33"/>
        <w:rPr>
          <w:rFonts w:hint="eastAsia" w:ascii="Times New Roman" w:hAnsi="Times New Roman"/>
          <w:b/>
          <w:color w:val="auto"/>
          <w:sz w:val="21"/>
          <w:szCs w:val="21"/>
          <w:highlight w:val="none"/>
        </w:rPr>
      </w:pPr>
      <w:bookmarkStart w:id="707" w:name="_Toc10176"/>
      <w:bookmarkStart w:id="708" w:name="_Toc28531813"/>
      <w:r>
        <w:rPr>
          <w:b/>
          <w:color w:val="auto"/>
          <w:sz w:val="21"/>
          <w:szCs w:val="21"/>
          <w:highlight w:val="none"/>
        </w:rPr>
        <w:t>A6.2</w:t>
      </w:r>
      <w:r>
        <w:rPr>
          <w:rFonts w:hint="eastAsia"/>
          <w:b/>
          <w:color w:val="auto"/>
          <w:sz w:val="21"/>
          <w:szCs w:val="21"/>
          <w:highlight w:val="none"/>
        </w:rPr>
        <w:t>关于评标活动暂停</w:t>
      </w:r>
      <w:bookmarkEnd w:id="707"/>
      <w:bookmarkEnd w:id="708"/>
    </w:p>
    <w:p w14:paraId="1BEC3118">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A6.2.1评标委员会应当执行连续评标的原则，按评标办法中规定的程序、内容、方法、标准完成全部评标工作。只有发生不可抗力导致评标工作无法继续时，评标活动方可暂停。</w:t>
      </w:r>
    </w:p>
    <w:p w14:paraId="2CF9FD7E">
      <w:pPr>
        <w:adjustRightInd w:val="0"/>
        <w:snapToGrid w:val="0"/>
        <w:spacing w:before="48" w:beforeLines="20"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A6.2.2发生评标暂停情况时，评标委员会应当封存全部投标文件和评标记录，待不可抗力的影响结束且具备继续评标的条件时，由原评标委员会继续评标。</w:t>
      </w:r>
    </w:p>
    <w:p w14:paraId="679C2E14">
      <w:pPr>
        <w:pStyle w:val="33"/>
        <w:rPr>
          <w:rFonts w:hint="eastAsia" w:ascii="Times New Roman" w:hAnsi="Times New Roman"/>
          <w:b/>
          <w:color w:val="auto"/>
          <w:sz w:val="21"/>
          <w:szCs w:val="21"/>
          <w:highlight w:val="none"/>
        </w:rPr>
      </w:pPr>
      <w:bookmarkStart w:id="709" w:name="_Toc20432"/>
      <w:bookmarkStart w:id="710" w:name="_Toc28531814"/>
      <w:r>
        <w:rPr>
          <w:b/>
          <w:color w:val="auto"/>
          <w:sz w:val="21"/>
          <w:szCs w:val="21"/>
          <w:highlight w:val="none"/>
        </w:rPr>
        <w:t xml:space="preserve">A6.3  </w:t>
      </w:r>
      <w:r>
        <w:rPr>
          <w:rFonts w:hint="eastAsia"/>
          <w:b/>
          <w:color w:val="auto"/>
          <w:sz w:val="21"/>
          <w:szCs w:val="21"/>
          <w:highlight w:val="none"/>
        </w:rPr>
        <w:t>关于评标中途更换评标委员会成员</w:t>
      </w:r>
      <w:bookmarkEnd w:id="709"/>
      <w:bookmarkEnd w:id="710"/>
    </w:p>
    <w:p w14:paraId="46A85495">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A6.3.1  除非发生下列情况之一，评标委员会成员不得在评标中途更换：</w:t>
      </w:r>
    </w:p>
    <w:p w14:paraId="7F5E30A5">
      <w:pPr>
        <w:adjustRightInd w:val="0"/>
        <w:snapToGrid w:val="0"/>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 因不可抗拒的客观原因，不能到场或需在评标中途退出评标活动。</w:t>
      </w:r>
    </w:p>
    <w:p w14:paraId="6E553A8B">
      <w:pPr>
        <w:adjustRightInd w:val="0"/>
        <w:snapToGrid w:val="0"/>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 根据法律法规规定，某个或某几个评标委员会成员需要回避。</w:t>
      </w:r>
    </w:p>
    <w:p w14:paraId="798008A4">
      <w:pPr>
        <w:adjustRightInd w:val="0"/>
        <w:snapToGrid w:val="0"/>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A6.3.2退出评标的评标委员会成员，其已完成的评标行为无效。由招标人根据本招标文件规定的评标委员会成员生产方式另行确定替代者进行评标。</w:t>
      </w:r>
    </w:p>
    <w:p w14:paraId="0464B8A0">
      <w:pPr>
        <w:pStyle w:val="33"/>
        <w:rPr>
          <w:rFonts w:hint="eastAsia" w:ascii="Times New Roman" w:hAnsi="Times New Roman"/>
          <w:b/>
          <w:color w:val="auto"/>
          <w:sz w:val="21"/>
          <w:szCs w:val="21"/>
          <w:highlight w:val="none"/>
        </w:rPr>
      </w:pPr>
      <w:bookmarkStart w:id="711" w:name="_Toc13350"/>
      <w:bookmarkStart w:id="712" w:name="_Toc28531815"/>
      <w:r>
        <w:rPr>
          <w:b/>
          <w:color w:val="auto"/>
          <w:sz w:val="21"/>
          <w:szCs w:val="21"/>
          <w:highlight w:val="none"/>
        </w:rPr>
        <w:t xml:space="preserve">A6.4 </w:t>
      </w:r>
      <w:r>
        <w:rPr>
          <w:rFonts w:hint="eastAsia"/>
          <w:b/>
          <w:color w:val="auto"/>
          <w:sz w:val="21"/>
          <w:szCs w:val="21"/>
          <w:highlight w:val="none"/>
        </w:rPr>
        <w:t>评标争议处理</w:t>
      </w:r>
      <w:bookmarkEnd w:id="711"/>
      <w:bookmarkEnd w:id="712"/>
    </w:p>
    <w:p w14:paraId="31E62B78">
      <w:pPr>
        <w:spacing w:line="430" w:lineRule="exact"/>
        <w:ind w:firstLine="525" w:firstLineChars="250"/>
        <w:rPr>
          <w:rFonts w:ascii="宋体" w:hAnsi="宋体"/>
          <w:color w:val="auto"/>
          <w:szCs w:val="21"/>
          <w:highlight w:val="none"/>
        </w:rPr>
      </w:pPr>
      <w:r>
        <w:rPr>
          <w:rFonts w:hint="eastAsia" w:ascii="宋体" w:hAnsi="宋体"/>
          <w:color w:val="auto"/>
          <w:szCs w:val="21"/>
          <w:highlight w:val="none"/>
        </w:rPr>
        <w:t>A6.4.1 评标委员会全体成员应独立评审，对所提出的评审意见承担个人责任。</w:t>
      </w:r>
    </w:p>
    <w:p w14:paraId="30FC8A86">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A6.4.2在任何评标环节中，需评标委员会就某项定性的评审结论做出表决的，由评标委员会全体成员按照少数服从多数的原则，以记名投票方式表决。表决不得违背法律、法规、规章和招标文件的规定。</w:t>
      </w:r>
    </w:p>
    <w:p w14:paraId="3E5D15D2">
      <w:pPr>
        <w:adjustRightInd w:val="0"/>
        <w:snapToGrid w:val="0"/>
        <w:spacing w:line="440" w:lineRule="exact"/>
        <w:ind w:firstLine="525" w:firstLineChars="250"/>
        <w:rPr>
          <w:rFonts w:hint="eastAsia" w:ascii="宋体" w:hAnsi="宋体"/>
          <w:color w:val="auto"/>
          <w:szCs w:val="21"/>
          <w:highlight w:val="none"/>
          <w:bdr w:val="single" w:color="auto" w:sz="4" w:space="0"/>
        </w:rPr>
      </w:pPr>
      <w:r>
        <w:rPr>
          <w:rFonts w:hint="eastAsia" w:ascii="宋体" w:hAnsi="宋体"/>
          <w:color w:val="auto"/>
          <w:szCs w:val="21"/>
          <w:highlight w:val="none"/>
        </w:rPr>
        <w:t xml:space="preserve">A6.4.3 </w:t>
      </w:r>
      <w:r>
        <w:rPr>
          <w:rFonts w:hint="eastAsia"/>
          <w:color w:val="auto"/>
          <w:highlight w:val="none"/>
        </w:rPr>
        <w:t>评标委员会成员对书面决议或评审结论持有异议的，</w:t>
      </w:r>
      <w:r>
        <w:rPr>
          <w:rFonts w:hint="eastAsia" w:ascii="宋体" w:hAnsi="宋体"/>
          <w:color w:val="auto"/>
          <w:highlight w:val="none"/>
        </w:rPr>
        <w:t>可以</w:t>
      </w:r>
      <w:r>
        <w:rPr>
          <w:rFonts w:hint="eastAsia"/>
          <w:color w:val="auto"/>
          <w:highlight w:val="none"/>
        </w:rPr>
        <w:t>书面阐述其不同意见和理由。拒绝在书面决议或评标报告上签名，且不陈述其不同意见和理由的，视为同意书面决议或评标结论，评标委员会应当</w:t>
      </w:r>
      <w:r>
        <w:rPr>
          <w:rFonts w:hint="eastAsia" w:ascii="宋体" w:hAnsi="宋体"/>
          <w:color w:val="auto"/>
          <w:highlight w:val="none"/>
        </w:rPr>
        <w:t>对此</w:t>
      </w:r>
      <w:r>
        <w:rPr>
          <w:rFonts w:hint="eastAsia"/>
          <w:color w:val="auto"/>
          <w:highlight w:val="none"/>
        </w:rPr>
        <w:t>在评标报告中做出书面说明。</w:t>
      </w:r>
    </w:p>
    <w:p w14:paraId="0E16808C">
      <w:pPr>
        <w:pStyle w:val="33"/>
        <w:rPr>
          <w:rFonts w:hint="eastAsia" w:ascii="Times New Roman" w:hAnsi="Times New Roman"/>
          <w:color w:val="auto"/>
          <w:highlight w:val="none"/>
        </w:rPr>
      </w:pPr>
      <w:bookmarkStart w:id="713" w:name="_Toc29888"/>
      <w:bookmarkStart w:id="714" w:name="_Toc28531816"/>
      <w:r>
        <w:rPr>
          <w:color w:val="auto"/>
          <w:highlight w:val="none"/>
        </w:rPr>
        <w:t>A7.</w:t>
      </w:r>
      <w:r>
        <w:rPr>
          <w:rFonts w:hint="eastAsia"/>
          <w:color w:val="auto"/>
          <w:highlight w:val="none"/>
        </w:rPr>
        <w:t>补充条款</w:t>
      </w:r>
      <w:bookmarkEnd w:id="713"/>
      <w:bookmarkEnd w:id="714"/>
    </w:p>
    <w:p w14:paraId="6CCB6B5B">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w:t>
      </w:r>
    </w:p>
    <w:p w14:paraId="380EEE31">
      <w:pPr>
        <w:widowControl/>
        <w:jc w:val="left"/>
        <w:rPr>
          <w:rFonts w:ascii="宋体" w:hAnsi="宋体"/>
          <w:color w:val="auto"/>
          <w:szCs w:val="21"/>
          <w:highlight w:val="none"/>
        </w:rPr>
        <w:sectPr>
          <w:pgSz w:w="11907" w:h="16840"/>
          <w:pgMar w:top="1701" w:right="1531" w:bottom="1588" w:left="1474" w:header="851" w:footer="851" w:gutter="0"/>
          <w:pgNumType w:fmt="decimal"/>
          <w:cols w:space="720" w:num="1"/>
        </w:sectPr>
      </w:pPr>
    </w:p>
    <w:p w14:paraId="058EFA18">
      <w:pPr>
        <w:pStyle w:val="3"/>
        <w:rPr>
          <w:rFonts w:hint="eastAsia"/>
          <w:b w:val="0"/>
          <w:color w:val="auto"/>
          <w:sz w:val="24"/>
          <w:szCs w:val="24"/>
          <w:highlight w:val="none"/>
        </w:rPr>
      </w:pPr>
      <w:bookmarkStart w:id="715" w:name="_Toc8337"/>
      <w:bookmarkStart w:id="716" w:name="_Toc28531817"/>
      <w:r>
        <w:rPr>
          <w:rFonts w:hint="eastAsia"/>
          <w:b w:val="0"/>
          <w:color w:val="auto"/>
          <w:sz w:val="24"/>
          <w:szCs w:val="24"/>
          <w:highlight w:val="none"/>
        </w:rPr>
        <w:t>附件</w:t>
      </w:r>
      <w:r>
        <w:rPr>
          <w:b w:val="0"/>
          <w:color w:val="auto"/>
          <w:sz w:val="24"/>
          <w:szCs w:val="24"/>
          <w:highlight w:val="none"/>
        </w:rPr>
        <w:t>B</w:t>
      </w:r>
      <w:r>
        <w:rPr>
          <w:rFonts w:hint="eastAsia"/>
          <w:b w:val="0"/>
          <w:color w:val="auto"/>
          <w:sz w:val="24"/>
          <w:szCs w:val="24"/>
          <w:highlight w:val="none"/>
        </w:rPr>
        <w:t>：否决投标的条件</w:t>
      </w:r>
      <w:bookmarkEnd w:id="715"/>
      <w:bookmarkEnd w:id="716"/>
    </w:p>
    <w:p w14:paraId="528674BC">
      <w:pPr>
        <w:jc w:val="center"/>
        <w:rPr>
          <w:rFonts w:ascii="黑体" w:eastAsia="黑体"/>
          <w:b/>
          <w:color w:val="auto"/>
          <w:sz w:val="28"/>
          <w:szCs w:val="28"/>
          <w:highlight w:val="none"/>
        </w:rPr>
      </w:pPr>
      <w:r>
        <w:rPr>
          <w:rFonts w:hint="eastAsia" w:ascii="黑体" w:eastAsia="黑体"/>
          <w:b/>
          <w:color w:val="auto"/>
          <w:sz w:val="28"/>
          <w:szCs w:val="28"/>
          <w:highlight w:val="none"/>
        </w:rPr>
        <w:t>否决投标的条件</w:t>
      </w:r>
    </w:p>
    <w:p w14:paraId="0B2DCCCF">
      <w:pPr>
        <w:pStyle w:val="33"/>
        <w:rPr>
          <w:rFonts w:hint="eastAsia" w:ascii="Times New Roman"/>
          <w:color w:val="auto"/>
          <w:highlight w:val="none"/>
        </w:rPr>
      </w:pPr>
      <w:bookmarkStart w:id="717" w:name="_Toc28912"/>
      <w:bookmarkStart w:id="718" w:name="_Toc28531818"/>
      <w:r>
        <w:rPr>
          <w:color w:val="auto"/>
          <w:highlight w:val="none"/>
        </w:rPr>
        <w:t>B0.</w:t>
      </w:r>
      <w:r>
        <w:rPr>
          <w:rFonts w:hint="eastAsia"/>
          <w:color w:val="auto"/>
          <w:highlight w:val="none"/>
        </w:rPr>
        <w:t>总</w:t>
      </w:r>
      <w:r>
        <w:rPr>
          <w:color w:val="auto"/>
          <w:highlight w:val="none"/>
        </w:rPr>
        <w:t xml:space="preserve">  </w:t>
      </w:r>
      <w:r>
        <w:rPr>
          <w:rFonts w:hint="eastAsia"/>
          <w:color w:val="auto"/>
          <w:highlight w:val="none"/>
        </w:rPr>
        <w:t>则</w:t>
      </w:r>
      <w:bookmarkEnd w:id="717"/>
      <w:bookmarkEnd w:id="718"/>
    </w:p>
    <w:p w14:paraId="24550730">
      <w:pPr>
        <w:spacing w:line="430" w:lineRule="exact"/>
        <w:ind w:firstLine="420" w:firstLineChars="200"/>
        <w:rPr>
          <w:rFonts w:ascii="宋体" w:hAnsi="宋体"/>
          <w:color w:val="auto"/>
          <w:highlight w:val="none"/>
        </w:rPr>
      </w:pPr>
      <w:r>
        <w:rPr>
          <w:rFonts w:hint="eastAsia" w:ascii="宋体" w:hAnsi="宋体"/>
          <w:color w:val="auto"/>
          <w:highlight w:val="none"/>
        </w:rPr>
        <w:t>本附件所集中列示的否决投标的条件，是本章“评标办法”的组成部分，是对第二章“投标人须知”和本章正文部分所规定的否决投标的条件的总结和补充，如果出现不一致的情况，</w:t>
      </w:r>
      <w:r>
        <w:rPr>
          <w:rFonts w:hint="eastAsia"/>
          <w:color w:val="auto"/>
          <w:highlight w:val="none"/>
        </w:rPr>
        <w:t>以本章前附表和正文部分的规定为准。</w:t>
      </w:r>
    </w:p>
    <w:p w14:paraId="0B2F993A">
      <w:pPr>
        <w:pStyle w:val="33"/>
        <w:rPr>
          <w:rFonts w:hint="eastAsia" w:ascii="Times New Roman" w:hAnsi="Times New Roman"/>
          <w:color w:val="auto"/>
          <w:highlight w:val="none"/>
        </w:rPr>
      </w:pPr>
      <w:bookmarkStart w:id="719" w:name="_Toc28531819"/>
      <w:bookmarkStart w:id="720" w:name="_Toc28238"/>
      <w:r>
        <w:rPr>
          <w:color w:val="auto"/>
          <w:highlight w:val="none"/>
        </w:rPr>
        <w:t xml:space="preserve">B1. </w:t>
      </w:r>
      <w:r>
        <w:rPr>
          <w:rFonts w:hint="eastAsia"/>
          <w:color w:val="auto"/>
          <w:highlight w:val="none"/>
        </w:rPr>
        <w:t>否决投标的条件</w:t>
      </w:r>
      <w:bookmarkEnd w:id="719"/>
      <w:bookmarkEnd w:id="720"/>
    </w:p>
    <w:p w14:paraId="4AF262CF">
      <w:pPr>
        <w:spacing w:line="430" w:lineRule="exact"/>
        <w:ind w:firstLine="420" w:firstLineChars="200"/>
        <w:rPr>
          <w:rFonts w:ascii="宋体" w:hAnsi="宋体"/>
          <w:color w:val="auto"/>
          <w:highlight w:val="none"/>
        </w:rPr>
      </w:pPr>
      <w:r>
        <w:rPr>
          <w:rFonts w:hint="eastAsia" w:ascii="宋体" w:hAnsi="宋体"/>
          <w:color w:val="auto"/>
          <w:highlight w:val="none"/>
        </w:rPr>
        <w:t>投标人或其投标文件有下列情形之一的，</w:t>
      </w:r>
      <w:r>
        <w:rPr>
          <w:rFonts w:hint="eastAsia"/>
          <w:color w:val="auto"/>
          <w:highlight w:val="none"/>
        </w:rPr>
        <w:t>评标委员会应当否决其投标</w:t>
      </w:r>
      <w:r>
        <w:rPr>
          <w:rFonts w:hint="eastAsia" w:ascii="宋体" w:hAnsi="宋体"/>
          <w:color w:val="auto"/>
          <w:highlight w:val="none"/>
        </w:rPr>
        <w:t>：</w:t>
      </w:r>
    </w:p>
    <w:p w14:paraId="0D1E26CB">
      <w:pPr>
        <w:spacing w:line="430" w:lineRule="exact"/>
        <w:ind w:firstLine="420" w:firstLineChars="200"/>
        <w:rPr>
          <w:rFonts w:hint="eastAsia" w:ascii="宋体" w:hAnsi="宋体"/>
          <w:color w:val="auto"/>
          <w:highlight w:val="none"/>
        </w:rPr>
      </w:pPr>
      <w:r>
        <w:rPr>
          <w:rFonts w:hint="eastAsia" w:ascii="宋体" w:hAnsi="宋体"/>
          <w:color w:val="auto"/>
          <w:highlight w:val="none"/>
        </w:rPr>
        <w:t>B1.1  在形式评审、资格评审（适用于未进行资格预审的）、响应性评审中，评标委员会认定投标人的投标文件不符合评标办法前附表中规定的任何一项评审标准的。</w:t>
      </w:r>
    </w:p>
    <w:p w14:paraId="042D5F21">
      <w:pPr>
        <w:spacing w:line="430" w:lineRule="exact"/>
        <w:ind w:firstLine="420" w:firstLineChars="200"/>
        <w:rPr>
          <w:rFonts w:hint="eastAsia" w:ascii="宋体" w:hAnsi="宋体"/>
          <w:color w:val="auto"/>
          <w:highlight w:val="none"/>
        </w:rPr>
      </w:pPr>
      <w:r>
        <w:rPr>
          <w:rFonts w:hint="eastAsia" w:ascii="宋体" w:hAnsi="宋体"/>
          <w:color w:val="auto"/>
          <w:highlight w:val="none"/>
        </w:rPr>
        <w:t>B1.2  不按评标委员会要求澄清、说明或补正的。</w:t>
      </w:r>
    </w:p>
    <w:p w14:paraId="188BF2B1">
      <w:pPr>
        <w:spacing w:line="430" w:lineRule="exact"/>
        <w:ind w:firstLine="420" w:firstLineChars="200"/>
        <w:rPr>
          <w:rFonts w:hint="eastAsia" w:ascii="宋体" w:hAnsi="宋体"/>
          <w:color w:val="auto"/>
          <w:highlight w:val="none"/>
        </w:rPr>
      </w:pPr>
      <w:r>
        <w:rPr>
          <w:rFonts w:hint="eastAsia" w:ascii="宋体" w:hAnsi="宋体"/>
          <w:color w:val="auto"/>
          <w:highlight w:val="none"/>
        </w:rPr>
        <w:t>B1.3  有串通投标、弄虚作假</w:t>
      </w:r>
      <w:r>
        <w:rPr>
          <w:rFonts w:hint="eastAsia"/>
          <w:color w:val="auto"/>
          <w:highlight w:val="none"/>
        </w:rPr>
        <w:t>、行贿或</w:t>
      </w:r>
      <w:r>
        <w:rPr>
          <w:rFonts w:hint="eastAsia" w:ascii="宋体" w:hAnsi="宋体"/>
          <w:color w:val="auto"/>
          <w:highlight w:val="none"/>
        </w:rPr>
        <w:t>有其他违法行为的。</w:t>
      </w:r>
    </w:p>
    <w:p w14:paraId="5FC44FB8">
      <w:pPr>
        <w:spacing w:line="430" w:lineRule="exact"/>
        <w:ind w:firstLine="420" w:firstLineChars="200"/>
        <w:rPr>
          <w:rFonts w:hint="eastAsia" w:ascii="仿宋_GB2312" w:hAnsi="Times New Roman" w:eastAsia="仿宋_GB2312"/>
          <w:color w:val="auto"/>
          <w:highlight w:val="none"/>
        </w:rPr>
      </w:pPr>
      <w:r>
        <w:rPr>
          <w:rFonts w:hint="eastAsia" w:ascii="仿宋_GB2312" w:eastAsia="仿宋_GB2312"/>
          <w:color w:val="auto"/>
          <w:highlight w:val="none"/>
        </w:rPr>
        <w:t>……</w:t>
      </w:r>
    </w:p>
    <w:p w14:paraId="1ED8F160">
      <w:pPr>
        <w:adjustRightInd w:val="0"/>
        <w:snapToGrid w:val="0"/>
        <w:spacing w:line="440" w:lineRule="exact"/>
        <w:rPr>
          <w:rFonts w:hint="eastAsia" w:ascii="仿宋_GB2312" w:hAnsi="宋体" w:eastAsia="仿宋_GB2312"/>
          <w:color w:val="auto"/>
          <w:szCs w:val="21"/>
          <w:highlight w:val="none"/>
        </w:rPr>
      </w:pPr>
    </w:p>
    <w:p w14:paraId="3D1C5843">
      <w:pPr>
        <w:adjustRightInd w:val="0"/>
        <w:snapToGrid w:val="0"/>
        <w:spacing w:line="440" w:lineRule="exact"/>
        <w:rPr>
          <w:rFonts w:hint="eastAsia" w:ascii="仿宋_GB2312" w:hAnsi="宋体" w:eastAsia="仿宋_GB2312"/>
          <w:color w:val="auto"/>
          <w:szCs w:val="21"/>
          <w:highlight w:val="none"/>
        </w:rPr>
      </w:pPr>
    </w:p>
    <w:p w14:paraId="7DCF10CB">
      <w:pPr>
        <w:adjustRightInd w:val="0"/>
        <w:snapToGrid w:val="0"/>
        <w:spacing w:line="440" w:lineRule="exact"/>
        <w:rPr>
          <w:rFonts w:hint="eastAsia" w:ascii="仿宋_GB2312" w:hAnsi="宋体" w:eastAsia="仿宋_GB2312"/>
          <w:color w:val="auto"/>
          <w:szCs w:val="21"/>
          <w:highlight w:val="none"/>
        </w:rPr>
      </w:pPr>
    </w:p>
    <w:p w14:paraId="72B70EE2">
      <w:pPr>
        <w:adjustRightInd w:val="0"/>
        <w:snapToGrid w:val="0"/>
        <w:spacing w:line="440" w:lineRule="exact"/>
        <w:rPr>
          <w:rFonts w:hint="eastAsia" w:ascii="仿宋_GB2312" w:hAnsi="宋体" w:eastAsia="仿宋_GB2312"/>
          <w:color w:val="auto"/>
          <w:szCs w:val="21"/>
          <w:highlight w:val="none"/>
        </w:rPr>
      </w:pPr>
    </w:p>
    <w:p w14:paraId="55379D7F">
      <w:pPr>
        <w:adjustRightInd w:val="0"/>
        <w:snapToGrid w:val="0"/>
        <w:spacing w:line="440" w:lineRule="exact"/>
        <w:rPr>
          <w:rFonts w:hint="eastAsia" w:ascii="仿宋_GB2312" w:hAnsi="宋体" w:eastAsia="仿宋_GB2312"/>
          <w:color w:val="auto"/>
          <w:szCs w:val="21"/>
          <w:highlight w:val="none"/>
        </w:rPr>
      </w:pPr>
    </w:p>
    <w:p w14:paraId="5506110D">
      <w:pPr>
        <w:adjustRightInd w:val="0"/>
        <w:snapToGrid w:val="0"/>
        <w:spacing w:line="440" w:lineRule="exact"/>
        <w:rPr>
          <w:rFonts w:hint="eastAsia" w:ascii="仿宋_GB2312" w:hAnsi="宋体" w:eastAsia="仿宋_GB2312"/>
          <w:color w:val="auto"/>
          <w:szCs w:val="21"/>
          <w:highlight w:val="none"/>
        </w:rPr>
      </w:pPr>
    </w:p>
    <w:p w14:paraId="3F353F5E">
      <w:pPr>
        <w:adjustRightInd w:val="0"/>
        <w:snapToGrid w:val="0"/>
        <w:spacing w:line="440" w:lineRule="exact"/>
        <w:rPr>
          <w:rFonts w:hint="eastAsia" w:ascii="仿宋_GB2312" w:hAnsi="宋体" w:eastAsia="仿宋_GB2312"/>
          <w:color w:val="auto"/>
          <w:szCs w:val="21"/>
          <w:highlight w:val="none"/>
        </w:rPr>
      </w:pPr>
    </w:p>
    <w:p w14:paraId="0AE7B22C">
      <w:pPr>
        <w:adjustRightInd w:val="0"/>
        <w:snapToGrid w:val="0"/>
        <w:spacing w:line="440" w:lineRule="exact"/>
        <w:rPr>
          <w:rFonts w:hint="eastAsia" w:ascii="仿宋_GB2312" w:hAnsi="宋体" w:eastAsia="仿宋_GB2312"/>
          <w:color w:val="auto"/>
          <w:szCs w:val="21"/>
          <w:highlight w:val="none"/>
        </w:rPr>
      </w:pPr>
    </w:p>
    <w:p w14:paraId="223744F9">
      <w:pPr>
        <w:adjustRightInd w:val="0"/>
        <w:snapToGrid w:val="0"/>
        <w:spacing w:line="440" w:lineRule="exact"/>
        <w:rPr>
          <w:rFonts w:hint="eastAsia" w:ascii="仿宋_GB2312" w:hAnsi="宋体" w:eastAsia="仿宋_GB2312"/>
          <w:color w:val="auto"/>
          <w:szCs w:val="21"/>
          <w:highlight w:val="none"/>
        </w:rPr>
      </w:pPr>
    </w:p>
    <w:p w14:paraId="77B4BC1D">
      <w:pPr>
        <w:adjustRightInd w:val="0"/>
        <w:snapToGrid w:val="0"/>
        <w:spacing w:line="440" w:lineRule="exact"/>
        <w:rPr>
          <w:rFonts w:hint="eastAsia" w:ascii="仿宋_GB2312" w:hAnsi="宋体" w:eastAsia="仿宋_GB2312"/>
          <w:color w:val="auto"/>
          <w:szCs w:val="21"/>
          <w:highlight w:val="none"/>
        </w:rPr>
      </w:pPr>
    </w:p>
    <w:p w14:paraId="4D652D55">
      <w:pPr>
        <w:adjustRightInd w:val="0"/>
        <w:snapToGrid w:val="0"/>
        <w:spacing w:line="440" w:lineRule="exact"/>
        <w:rPr>
          <w:rFonts w:hint="eastAsia" w:ascii="仿宋_GB2312" w:hAnsi="宋体" w:eastAsia="仿宋_GB2312"/>
          <w:color w:val="auto"/>
          <w:szCs w:val="21"/>
          <w:highlight w:val="none"/>
        </w:rPr>
      </w:pPr>
    </w:p>
    <w:p w14:paraId="10D80152">
      <w:pPr>
        <w:adjustRightInd w:val="0"/>
        <w:snapToGrid w:val="0"/>
        <w:spacing w:line="440" w:lineRule="exact"/>
        <w:rPr>
          <w:rFonts w:hint="eastAsia" w:ascii="仿宋_GB2312" w:hAnsi="宋体" w:eastAsia="仿宋_GB2312"/>
          <w:color w:val="auto"/>
          <w:szCs w:val="21"/>
          <w:highlight w:val="none"/>
        </w:rPr>
      </w:pPr>
    </w:p>
    <w:p w14:paraId="5F2F308D">
      <w:pPr>
        <w:adjustRightInd w:val="0"/>
        <w:snapToGrid w:val="0"/>
        <w:spacing w:line="440" w:lineRule="exact"/>
        <w:rPr>
          <w:rFonts w:hint="eastAsia" w:ascii="仿宋_GB2312" w:hAnsi="宋体" w:eastAsia="仿宋_GB2312"/>
          <w:color w:val="auto"/>
          <w:szCs w:val="21"/>
          <w:highlight w:val="none"/>
        </w:rPr>
      </w:pPr>
    </w:p>
    <w:p w14:paraId="759297D4">
      <w:pPr>
        <w:adjustRightInd w:val="0"/>
        <w:snapToGrid w:val="0"/>
        <w:spacing w:line="440" w:lineRule="exact"/>
        <w:rPr>
          <w:rFonts w:hint="eastAsia" w:ascii="仿宋_GB2312" w:hAnsi="宋体" w:eastAsia="仿宋_GB2312"/>
          <w:color w:val="auto"/>
          <w:szCs w:val="21"/>
          <w:highlight w:val="none"/>
        </w:rPr>
      </w:pPr>
    </w:p>
    <w:p w14:paraId="14C4DA90">
      <w:pPr>
        <w:pStyle w:val="3"/>
        <w:rPr>
          <w:rFonts w:hint="eastAsia"/>
          <w:b w:val="0"/>
          <w:color w:val="auto"/>
          <w:sz w:val="24"/>
          <w:szCs w:val="24"/>
          <w:highlight w:val="none"/>
        </w:rPr>
      </w:pPr>
      <w:bookmarkStart w:id="721" w:name="_Toc28531820"/>
      <w:bookmarkStart w:id="722" w:name="_Toc11507"/>
      <w:r>
        <w:rPr>
          <w:rFonts w:hint="eastAsia"/>
          <w:b w:val="0"/>
          <w:color w:val="auto"/>
          <w:sz w:val="24"/>
          <w:szCs w:val="24"/>
          <w:highlight w:val="none"/>
        </w:rPr>
        <w:t>附件</w:t>
      </w:r>
      <w:r>
        <w:rPr>
          <w:b w:val="0"/>
          <w:color w:val="auto"/>
          <w:sz w:val="24"/>
          <w:szCs w:val="24"/>
          <w:highlight w:val="none"/>
        </w:rPr>
        <w:t>C</w:t>
      </w:r>
      <w:r>
        <w:rPr>
          <w:rFonts w:hint="eastAsia"/>
          <w:b w:val="0"/>
          <w:color w:val="auto"/>
          <w:sz w:val="24"/>
          <w:szCs w:val="24"/>
          <w:highlight w:val="none"/>
        </w:rPr>
        <w:t>：清标报告</w:t>
      </w:r>
      <w:bookmarkEnd w:id="721"/>
      <w:bookmarkEnd w:id="722"/>
    </w:p>
    <w:p w14:paraId="06DAD11A">
      <w:pPr>
        <w:jc w:val="center"/>
        <w:rPr>
          <w:rFonts w:ascii="黑体" w:eastAsia="黑体"/>
          <w:b/>
          <w:color w:val="auto"/>
          <w:sz w:val="28"/>
          <w:szCs w:val="28"/>
          <w:highlight w:val="none"/>
        </w:rPr>
      </w:pPr>
      <w:r>
        <w:rPr>
          <w:rFonts w:hint="eastAsia" w:ascii="黑体" w:eastAsia="黑体"/>
          <w:b/>
          <w:color w:val="auto"/>
          <w:sz w:val="28"/>
          <w:szCs w:val="28"/>
          <w:highlight w:val="none"/>
        </w:rPr>
        <w:t>清标报告</w:t>
      </w:r>
    </w:p>
    <w:p w14:paraId="7ECA4E57">
      <w:pPr>
        <w:adjustRightInd w:val="0"/>
        <w:snapToGrid w:val="0"/>
        <w:spacing w:line="440" w:lineRule="exact"/>
        <w:rPr>
          <w:rFonts w:hint="eastAsia" w:ascii="黑体" w:hAnsi="宋体" w:eastAsia="黑体"/>
          <w:color w:val="auto"/>
          <w:sz w:val="24"/>
          <w:szCs w:val="24"/>
          <w:highlight w:val="none"/>
        </w:rPr>
      </w:pPr>
    </w:p>
    <w:p w14:paraId="2DC9E08D">
      <w:pPr>
        <w:pStyle w:val="33"/>
        <w:rPr>
          <w:rFonts w:hint="eastAsia" w:ascii="Times New Roman" w:hAnsi="Times New Roman"/>
          <w:color w:val="auto"/>
          <w:highlight w:val="none"/>
        </w:rPr>
      </w:pPr>
      <w:bookmarkStart w:id="723" w:name="_Toc28531821"/>
      <w:bookmarkStart w:id="724" w:name="_Toc1588"/>
      <w:r>
        <w:rPr>
          <w:color w:val="auto"/>
          <w:highlight w:val="none"/>
        </w:rPr>
        <w:t>C0.</w:t>
      </w:r>
      <w:r>
        <w:rPr>
          <w:rFonts w:hint="eastAsia"/>
          <w:color w:val="auto"/>
          <w:highlight w:val="none"/>
        </w:rPr>
        <w:t>总</w:t>
      </w:r>
      <w:r>
        <w:rPr>
          <w:color w:val="auto"/>
          <w:highlight w:val="none"/>
        </w:rPr>
        <w:t xml:space="preserve">  </w:t>
      </w:r>
      <w:r>
        <w:rPr>
          <w:rFonts w:hint="eastAsia"/>
          <w:color w:val="auto"/>
          <w:highlight w:val="none"/>
        </w:rPr>
        <w:t>则</w:t>
      </w:r>
      <w:bookmarkEnd w:id="723"/>
      <w:bookmarkEnd w:id="724"/>
    </w:p>
    <w:p w14:paraId="4716AB9C">
      <w:pPr>
        <w:adjustRightInd w:val="0"/>
        <w:snapToGrid w:val="0"/>
        <w:spacing w:line="402" w:lineRule="atLeast"/>
        <w:ind w:firstLine="420" w:firstLineChars="200"/>
        <w:rPr>
          <w:rFonts w:ascii="宋体" w:hAnsi="宋体"/>
          <w:color w:val="auto"/>
          <w:highlight w:val="none"/>
        </w:rPr>
      </w:pPr>
      <w:r>
        <w:rPr>
          <w:rFonts w:hint="eastAsia" w:ascii="宋体" w:hAnsi="宋体"/>
          <w:color w:val="auto"/>
          <w:highlight w:val="none"/>
        </w:rPr>
        <w:t>本附件是本章“评标办法”的组成部分，评标委员会在评标准备和初步评审阶段对投标文件进行基础性数据分析和整理工作(清标)时，适用本附件所规定的办法。</w:t>
      </w:r>
    </w:p>
    <w:p w14:paraId="220FD0B4">
      <w:pPr>
        <w:pStyle w:val="33"/>
        <w:rPr>
          <w:rFonts w:hint="eastAsia" w:ascii="Times New Roman" w:hAnsi="Times New Roman"/>
          <w:color w:val="auto"/>
          <w:highlight w:val="none"/>
        </w:rPr>
      </w:pPr>
      <w:bookmarkStart w:id="725" w:name="_Toc20110"/>
      <w:bookmarkStart w:id="726" w:name="_Toc28531822"/>
      <w:r>
        <w:rPr>
          <w:color w:val="auto"/>
          <w:highlight w:val="none"/>
        </w:rPr>
        <w:t>C1.</w:t>
      </w:r>
      <w:r>
        <w:rPr>
          <w:rFonts w:hint="eastAsia"/>
          <w:color w:val="auto"/>
          <w:highlight w:val="none"/>
        </w:rPr>
        <w:t>清标程序</w:t>
      </w:r>
      <w:bookmarkEnd w:id="725"/>
      <w:bookmarkEnd w:id="726"/>
    </w:p>
    <w:p w14:paraId="75284599">
      <w:pPr>
        <w:spacing w:line="440" w:lineRule="exact"/>
        <w:ind w:firstLine="420" w:firstLineChars="200"/>
        <w:rPr>
          <w:rFonts w:ascii="宋体" w:hAnsi="宋体"/>
          <w:color w:val="auto"/>
          <w:highlight w:val="none"/>
        </w:rPr>
      </w:pPr>
      <w:r>
        <w:rPr>
          <w:rFonts w:hint="eastAsia" w:ascii="宋体" w:hAnsi="宋体"/>
          <w:color w:val="auto"/>
          <w:highlight w:val="none"/>
        </w:rPr>
        <w:t>投标人的投标文件在本章“评标办法”规定的“初步评审”阶段，不存在应当否决的情形的投标应当进入清标程序。清标程序包括：</w:t>
      </w:r>
    </w:p>
    <w:p w14:paraId="46A6F159">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highlight w:val="none"/>
        </w:rPr>
        <w:t>C1.1</w:t>
      </w:r>
      <w:r>
        <w:rPr>
          <w:rFonts w:hint="eastAsia" w:ascii="宋体" w:hAnsi="宋体"/>
          <w:color w:val="auto"/>
          <w:szCs w:val="21"/>
          <w:highlight w:val="none"/>
        </w:rPr>
        <w:t>已标价工程量清单符合性检查</w:t>
      </w:r>
    </w:p>
    <w:p w14:paraId="4DB92010">
      <w:pPr>
        <w:adjustRightInd w:val="0"/>
        <w:snapToGrid w:val="0"/>
        <w:spacing w:line="402" w:lineRule="atLeast"/>
        <w:ind w:firstLine="420" w:firstLineChars="200"/>
        <w:rPr>
          <w:rFonts w:hint="eastAsia" w:ascii="宋体" w:hAnsi="宋体"/>
          <w:color w:val="auto"/>
          <w:szCs w:val="24"/>
          <w:highlight w:val="none"/>
        </w:rPr>
      </w:pPr>
      <w:r>
        <w:rPr>
          <w:rFonts w:hint="eastAsia" w:ascii="宋体" w:hAnsi="宋体"/>
          <w:color w:val="auto"/>
          <w:highlight w:val="none"/>
        </w:rPr>
        <w:t>C1.2</w:t>
      </w:r>
      <w:r>
        <w:rPr>
          <w:rFonts w:hint="eastAsia" w:ascii="宋体" w:hAnsi="宋体"/>
          <w:color w:val="auto"/>
          <w:szCs w:val="21"/>
          <w:highlight w:val="none"/>
        </w:rPr>
        <w:t>已标价工程量清单算术</w:t>
      </w:r>
      <w:r>
        <w:rPr>
          <w:rFonts w:hint="eastAsia" w:ascii="宋体" w:hAnsi="宋体"/>
          <w:color w:val="auto"/>
          <w:highlight w:val="none"/>
        </w:rPr>
        <w:t>错误修正</w:t>
      </w:r>
    </w:p>
    <w:p w14:paraId="15918804">
      <w:pPr>
        <w:adjustRightInd w:val="0"/>
        <w:snapToGrid w:val="0"/>
        <w:spacing w:line="402" w:lineRule="atLeast"/>
        <w:ind w:firstLine="420" w:firstLineChars="200"/>
        <w:rPr>
          <w:rFonts w:hint="eastAsia" w:ascii="宋体" w:hAnsi="宋体"/>
          <w:b/>
          <w:color w:val="auto"/>
          <w:highlight w:val="none"/>
        </w:rPr>
      </w:pPr>
      <w:r>
        <w:rPr>
          <w:rFonts w:hint="eastAsia" w:ascii="宋体" w:hAnsi="宋体"/>
          <w:color w:val="auto"/>
          <w:highlight w:val="none"/>
        </w:rPr>
        <w:t>C1.3</w:t>
      </w:r>
      <w:r>
        <w:rPr>
          <w:rFonts w:hint="eastAsia" w:ascii="宋体" w:hAnsi="宋体"/>
          <w:color w:val="auto"/>
          <w:szCs w:val="21"/>
          <w:highlight w:val="none"/>
        </w:rPr>
        <w:t>已标价工程量清单合理性分析</w:t>
      </w:r>
    </w:p>
    <w:p w14:paraId="58953D65">
      <w:pPr>
        <w:pStyle w:val="33"/>
        <w:rPr>
          <w:rFonts w:hint="eastAsia" w:ascii="Times New Roman" w:hAnsi="Times New Roman"/>
          <w:color w:val="auto"/>
          <w:highlight w:val="none"/>
        </w:rPr>
      </w:pPr>
      <w:bookmarkStart w:id="727" w:name="_Toc28531823"/>
      <w:bookmarkStart w:id="728" w:name="_Toc32284"/>
      <w:r>
        <w:rPr>
          <w:color w:val="auto"/>
          <w:highlight w:val="none"/>
        </w:rPr>
        <w:t>C2.</w:t>
      </w:r>
      <w:r>
        <w:rPr>
          <w:rFonts w:hint="eastAsia"/>
          <w:color w:val="auto"/>
          <w:highlight w:val="none"/>
        </w:rPr>
        <w:t>清标内容</w:t>
      </w:r>
      <w:bookmarkEnd w:id="727"/>
      <w:bookmarkEnd w:id="728"/>
    </w:p>
    <w:p w14:paraId="054ECB40">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highlight w:val="none"/>
        </w:rPr>
        <w:t>评标委员会</w:t>
      </w:r>
      <w:r>
        <w:rPr>
          <w:rFonts w:hint="eastAsia" w:ascii="宋体" w:hAnsi="宋体" w:cs="Arial"/>
          <w:color w:val="auto"/>
          <w:szCs w:val="21"/>
          <w:highlight w:val="none"/>
        </w:rPr>
        <w:t>在不改变投标人投标文件实质性内容的前提下，对投标文件</w:t>
      </w:r>
      <w:r>
        <w:rPr>
          <w:rFonts w:hint="eastAsia" w:ascii="宋体" w:hAnsi="宋体"/>
          <w:color w:val="auto"/>
          <w:szCs w:val="21"/>
          <w:highlight w:val="none"/>
        </w:rPr>
        <w:t>已标价工程量清单</w:t>
      </w:r>
      <w:r>
        <w:rPr>
          <w:rFonts w:hint="eastAsia" w:ascii="宋体" w:hAnsi="宋体" w:cs="Arial"/>
          <w:color w:val="auto"/>
          <w:szCs w:val="21"/>
          <w:highlight w:val="none"/>
        </w:rPr>
        <w:t>进行</w:t>
      </w:r>
      <w:r>
        <w:rPr>
          <w:rFonts w:hint="eastAsia" w:ascii="宋体" w:hAnsi="宋体"/>
          <w:color w:val="auto"/>
          <w:szCs w:val="21"/>
          <w:highlight w:val="none"/>
        </w:rPr>
        <w:t>符合性检查、算术</w:t>
      </w:r>
      <w:r>
        <w:rPr>
          <w:rFonts w:hint="eastAsia" w:ascii="宋体" w:hAnsi="宋体"/>
          <w:color w:val="auto"/>
          <w:highlight w:val="none"/>
        </w:rPr>
        <w:t>错误修正，对其报价进行</w:t>
      </w:r>
      <w:r>
        <w:rPr>
          <w:rFonts w:hint="eastAsia" w:ascii="宋体" w:hAnsi="宋体"/>
          <w:color w:val="auto"/>
          <w:szCs w:val="21"/>
          <w:highlight w:val="none"/>
        </w:rPr>
        <w:t>合理性分析，并形成清标报告。清标报告应当包括以下内容：</w:t>
      </w:r>
    </w:p>
    <w:p w14:paraId="6FDAE597">
      <w:pPr>
        <w:pStyle w:val="33"/>
        <w:ind w:firstLine="413" w:firstLineChars="196"/>
        <w:rPr>
          <w:rFonts w:hint="eastAsia" w:ascii="Times New Roman" w:hAnsi="Times New Roman"/>
          <w:b/>
          <w:color w:val="auto"/>
          <w:sz w:val="21"/>
          <w:szCs w:val="21"/>
          <w:highlight w:val="none"/>
        </w:rPr>
      </w:pPr>
      <w:bookmarkStart w:id="729" w:name="_Toc28531824"/>
      <w:bookmarkStart w:id="730" w:name="_Toc1746"/>
      <w:r>
        <w:rPr>
          <w:b/>
          <w:color w:val="auto"/>
          <w:sz w:val="21"/>
          <w:szCs w:val="21"/>
          <w:highlight w:val="none"/>
        </w:rPr>
        <w:t>C2.1</w:t>
      </w:r>
      <w:r>
        <w:rPr>
          <w:rFonts w:hint="eastAsia"/>
          <w:b/>
          <w:color w:val="auto"/>
          <w:sz w:val="21"/>
          <w:szCs w:val="21"/>
          <w:highlight w:val="none"/>
        </w:rPr>
        <w:t>已标价工程量清单符合性检查</w:t>
      </w:r>
      <w:bookmarkEnd w:id="729"/>
      <w:bookmarkEnd w:id="730"/>
    </w:p>
    <w:p w14:paraId="38D28AE0">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szCs w:val="21"/>
          <w:highlight w:val="none"/>
        </w:rPr>
        <w:t>已标价工程量清单符合性检查主要是检查各投标人编制的已标价工程量清单编制的规范性。并用使用附表C-1至附表C-6记录检查结果。</w:t>
      </w:r>
    </w:p>
    <w:p w14:paraId="061E2584">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highlight w:val="none"/>
        </w:rPr>
        <w:t>C2.1.1</w:t>
      </w:r>
      <w:r>
        <w:rPr>
          <w:rFonts w:hint="eastAsia" w:ascii="宋体" w:hAnsi="宋体"/>
          <w:color w:val="auto"/>
          <w:szCs w:val="21"/>
          <w:highlight w:val="none"/>
        </w:rPr>
        <w:t>分部分项工程和单价措施项目符合性检查：</w:t>
      </w:r>
    </w:p>
    <w:p w14:paraId="72830AAD">
      <w:pPr>
        <w:adjustRightInd w:val="0"/>
        <w:snapToGrid w:val="0"/>
        <w:spacing w:line="402" w:lineRule="atLeast"/>
        <w:ind w:firstLine="420" w:firstLineChars="200"/>
        <w:rPr>
          <w:rFonts w:hint="eastAsia" w:ascii="Times New Roman" w:hAnsi="Times New Roman"/>
          <w:color w:val="auto"/>
          <w:szCs w:val="24"/>
          <w:highlight w:val="none"/>
        </w:rPr>
      </w:pPr>
      <w:r>
        <w:rPr>
          <w:rFonts w:hint="eastAsia" w:ascii="宋体" w:hAnsi="宋体"/>
          <w:color w:val="auto"/>
          <w:szCs w:val="21"/>
          <w:highlight w:val="none"/>
        </w:rPr>
        <w:t>即检查各投标人已标价的工程量清单中分部分项工程和单价措施项目是否存在项目编码错误、项目名称错误、项目特征描述错误、计量单位错误、工程量错误，是否存在未填报的项目、是否存多填报的项目，</w:t>
      </w:r>
      <w:r>
        <w:rPr>
          <w:rFonts w:hint="eastAsia"/>
          <w:color w:val="auto"/>
          <w:highlight w:val="none"/>
        </w:rPr>
        <w:t>已标价清单中相应材料、设备材料设备与材料（工程设备）暂估或发包人提供材料和工程设备单价是否一致。</w:t>
      </w:r>
    </w:p>
    <w:p w14:paraId="716470D1">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highlight w:val="none"/>
        </w:rPr>
        <w:t>C2.1.2</w:t>
      </w:r>
      <w:r>
        <w:rPr>
          <w:rFonts w:hint="eastAsia" w:ascii="宋体" w:hAnsi="宋体"/>
          <w:color w:val="auto"/>
          <w:szCs w:val="21"/>
          <w:highlight w:val="none"/>
        </w:rPr>
        <w:t>总价措施项目符合性检查：</w:t>
      </w:r>
    </w:p>
    <w:p w14:paraId="19DCAB64">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即检查各投标人已标价的工程量清单中总价措施项目是否存在项目编码错误、项目名称错误、计算基础错误、安全文明施工费的取费费率是否存在错误。</w:t>
      </w:r>
    </w:p>
    <w:p w14:paraId="5442BCED">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highlight w:val="none"/>
        </w:rPr>
        <w:t>C2.1.3</w:t>
      </w:r>
      <w:r>
        <w:rPr>
          <w:rFonts w:hint="eastAsia" w:ascii="宋体" w:hAnsi="宋体"/>
          <w:color w:val="auto"/>
          <w:szCs w:val="21"/>
          <w:highlight w:val="none"/>
        </w:rPr>
        <w:t>其他项目符合性检查</w:t>
      </w:r>
    </w:p>
    <w:p w14:paraId="7721606A">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即检查各投标人已标价的工程量清单中其他项目是否存在项目名称错误、金额错误。包括：</w:t>
      </w:r>
    </w:p>
    <w:p w14:paraId="06DC7A74">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检查暂列金是否存在项目名称错误、计量单位错误、暂定金额错误、是否存在未填报的项目、是否存多填报的项目。</w:t>
      </w:r>
    </w:p>
    <w:p w14:paraId="59049731">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检查材料（工程设备）暂估是否存在材料（设备）名称、规格、型号错误、计量单位错误、数量错误、暂估单价错误、是否存在未填报的项目、是否存多填报的项目。</w:t>
      </w:r>
    </w:p>
    <w:p w14:paraId="178AC561">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检查专业工程暂估是否存在工程名称错误、工程内容错误、暂估金额错误，是否存在未填报的项目、是否存多填报的项目。</w:t>
      </w:r>
    </w:p>
    <w:p w14:paraId="53F94350">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检查计日工是否存在项目名称错误、暂定数量错误，是否存在未填报的项目、是否存多填报的项目。</w:t>
      </w:r>
    </w:p>
    <w:p w14:paraId="7D85B1D3">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检查总承包服务费是否存工程名称错误、项目价值错误、服务内容错误、计算基础错误、在是否存在未填报的项目、是否存多填报的项目。</w:t>
      </w:r>
    </w:p>
    <w:p w14:paraId="3D5E34B6">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highlight w:val="none"/>
        </w:rPr>
        <w:t>C2.1.4</w:t>
      </w:r>
      <w:r>
        <w:rPr>
          <w:rFonts w:hint="eastAsia" w:ascii="宋体" w:hAnsi="宋体"/>
          <w:color w:val="auto"/>
          <w:szCs w:val="21"/>
          <w:highlight w:val="none"/>
        </w:rPr>
        <w:t>规费、税金项目符合性检查</w:t>
      </w:r>
    </w:p>
    <w:p w14:paraId="45C23E1E">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即检查各投标人已标价的工程量清单中规费、税金项目是否存在项目名称错误、计税方法错误、计算基础错误、计算基数错误、费率（%）错误。（税金定义见第五章工程量清单第3.1.8项，下同）</w:t>
      </w:r>
    </w:p>
    <w:p w14:paraId="229587FB">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highlight w:val="none"/>
        </w:rPr>
        <w:t>C2.1.5</w:t>
      </w:r>
      <w:r>
        <w:rPr>
          <w:rFonts w:hint="eastAsia" w:ascii="宋体" w:hAnsi="宋体"/>
          <w:color w:val="auto"/>
          <w:szCs w:val="21"/>
          <w:highlight w:val="none"/>
        </w:rPr>
        <w:t>发包人提供材料和工程设备符合性检查</w:t>
      </w:r>
    </w:p>
    <w:p w14:paraId="651F6793">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即检查各投标人已标价的工程量清单中发包人提供材料和工程设备是否存在材料（工程设备）名称、规格、型号错误、单位错误、数量错误、单价错误。</w:t>
      </w:r>
    </w:p>
    <w:p w14:paraId="5F2E4166">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highlight w:val="none"/>
        </w:rPr>
        <w:t>C2.1.6</w:t>
      </w:r>
      <w:r>
        <w:rPr>
          <w:rFonts w:hint="eastAsia" w:ascii="宋体" w:hAnsi="宋体"/>
          <w:color w:val="auto"/>
          <w:szCs w:val="21"/>
          <w:highlight w:val="none"/>
        </w:rPr>
        <w:t>算术错误检查</w:t>
      </w:r>
    </w:p>
    <w:p w14:paraId="7DD35DA5">
      <w:pPr>
        <w:adjustRightInd w:val="0"/>
        <w:snapToGrid w:val="0"/>
        <w:spacing w:line="402" w:lineRule="atLeast"/>
        <w:ind w:firstLine="525" w:firstLineChars="250"/>
        <w:rPr>
          <w:rFonts w:hint="eastAsia" w:ascii="宋体" w:hAnsi="宋体"/>
          <w:color w:val="auto"/>
          <w:szCs w:val="21"/>
          <w:highlight w:val="none"/>
        </w:rPr>
      </w:pPr>
      <w:r>
        <w:rPr>
          <w:rFonts w:hint="eastAsia" w:ascii="宋体" w:hAnsi="宋体"/>
          <w:color w:val="auto"/>
          <w:szCs w:val="21"/>
          <w:highlight w:val="none"/>
        </w:rPr>
        <w:t>即检查各投标人已标价的工程量清单相应表格中是否存在算术错误，并标示错误类型。</w:t>
      </w:r>
    </w:p>
    <w:p w14:paraId="3F933928">
      <w:pPr>
        <w:pStyle w:val="33"/>
        <w:ind w:firstLine="413" w:firstLineChars="196"/>
        <w:rPr>
          <w:rFonts w:hint="eastAsia" w:ascii="Times New Roman" w:hAnsi="Times New Roman"/>
          <w:b/>
          <w:color w:val="auto"/>
          <w:sz w:val="21"/>
          <w:szCs w:val="21"/>
          <w:highlight w:val="none"/>
        </w:rPr>
      </w:pPr>
      <w:bookmarkStart w:id="731" w:name="_Toc28531825"/>
      <w:bookmarkStart w:id="732" w:name="_Toc21248"/>
      <w:r>
        <w:rPr>
          <w:b/>
          <w:color w:val="auto"/>
          <w:sz w:val="21"/>
          <w:szCs w:val="21"/>
          <w:highlight w:val="none"/>
        </w:rPr>
        <w:t>C2.2</w:t>
      </w:r>
      <w:r>
        <w:rPr>
          <w:rFonts w:hint="eastAsia"/>
          <w:b/>
          <w:color w:val="auto"/>
          <w:sz w:val="21"/>
          <w:szCs w:val="21"/>
          <w:highlight w:val="none"/>
        </w:rPr>
        <w:t>已标价工程量清单算术错误修正</w:t>
      </w:r>
      <w:bookmarkEnd w:id="731"/>
      <w:bookmarkEnd w:id="732"/>
    </w:p>
    <w:p w14:paraId="5C697E5D">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highlight w:val="none"/>
        </w:rPr>
        <w:t>评标委员会对已标价工程量清单中</w:t>
      </w:r>
      <w:r>
        <w:rPr>
          <w:rFonts w:hint="eastAsia" w:ascii="宋体" w:hAnsi="宋体"/>
          <w:color w:val="auto"/>
          <w:szCs w:val="21"/>
          <w:highlight w:val="none"/>
        </w:rPr>
        <w:t>存在算术错误和错误类型</w:t>
      </w:r>
      <w:r>
        <w:rPr>
          <w:rFonts w:hint="eastAsia" w:ascii="宋体" w:hAnsi="宋体"/>
          <w:color w:val="auto"/>
          <w:highlight w:val="none"/>
        </w:rPr>
        <w:t>进行逐项分析，根据本章第3.1.3项规定的原则，对投标报价中的算术错误进行修正，按附表C-7、C-8的格式记录分析和修正结果。</w:t>
      </w:r>
      <w:r>
        <w:rPr>
          <w:rFonts w:hint="eastAsia" w:ascii="宋体" w:hAnsi="宋体"/>
          <w:color w:val="auto"/>
          <w:szCs w:val="21"/>
          <w:highlight w:val="none"/>
        </w:rPr>
        <w:t>并按修正后的价格修正投标人已标价工程量清单相应表格，并计算其修正后的投标报价。</w:t>
      </w:r>
    </w:p>
    <w:p w14:paraId="73DF18CB">
      <w:pPr>
        <w:adjustRightInd w:val="0"/>
        <w:snapToGrid w:val="0"/>
        <w:spacing w:line="402" w:lineRule="atLeast"/>
        <w:ind w:firstLine="420" w:firstLineChars="200"/>
        <w:rPr>
          <w:rFonts w:hint="eastAsia" w:ascii="宋体" w:hAnsi="宋体"/>
          <w:b/>
          <w:color w:val="auto"/>
          <w:szCs w:val="21"/>
          <w:highlight w:val="none"/>
        </w:rPr>
      </w:pPr>
      <w:r>
        <w:rPr>
          <w:rFonts w:hint="eastAsia" w:ascii="宋体" w:hAnsi="宋体"/>
          <w:color w:val="auto"/>
          <w:szCs w:val="21"/>
          <w:highlight w:val="none"/>
        </w:rPr>
        <w:t>修正后的投标报价应按本章第A2.5款的澄清程序和第A3.5款的要求通知投标人书面确认。</w:t>
      </w:r>
    </w:p>
    <w:p w14:paraId="1335ED9E">
      <w:pPr>
        <w:pStyle w:val="33"/>
        <w:ind w:firstLine="413" w:firstLineChars="196"/>
        <w:rPr>
          <w:rFonts w:hint="eastAsia" w:ascii="Times New Roman" w:hAnsi="Times New Roman"/>
          <w:b/>
          <w:color w:val="auto"/>
          <w:sz w:val="21"/>
          <w:szCs w:val="21"/>
          <w:highlight w:val="none"/>
        </w:rPr>
      </w:pPr>
      <w:bookmarkStart w:id="733" w:name="_Toc28531826"/>
      <w:bookmarkStart w:id="734" w:name="_Toc30264"/>
      <w:r>
        <w:rPr>
          <w:b/>
          <w:color w:val="auto"/>
          <w:sz w:val="21"/>
          <w:szCs w:val="21"/>
          <w:highlight w:val="none"/>
        </w:rPr>
        <w:t>C2.3</w:t>
      </w:r>
      <w:r>
        <w:rPr>
          <w:rFonts w:hint="eastAsia"/>
          <w:b/>
          <w:color w:val="auto"/>
          <w:sz w:val="21"/>
          <w:szCs w:val="21"/>
          <w:highlight w:val="none"/>
        </w:rPr>
        <w:t>已标价工程量清单偏差分析</w:t>
      </w:r>
      <w:bookmarkEnd w:id="733"/>
      <w:bookmarkEnd w:id="734"/>
    </w:p>
    <w:p w14:paraId="1EF52C03">
      <w:pPr>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szCs w:val="21"/>
          <w:highlight w:val="none"/>
        </w:rPr>
        <w:t>根据本章第A3.5款完成各投标人已标价工程量清单算术错误修正后，以算术错误修正后的已标价工程量清单为基础，对各投标人已标价工程量清单综合单价进行偏差分析。并用使用附表C-9至附表C-13记录结果。</w:t>
      </w:r>
    </w:p>
    <w:p w14:paraId="59319503">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1）分部分项工程和单价措施项目清单价格分析记录表</w:t>
      </w:r>
    </w:p>
    <w:p w14:paraId="47B9F30E">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分部分项工程和单价措施项目与招标控制价相应项目对比，综合单价高于招标控制价相应项目10%以上或低于招标控制价相应项目（房建、安装、仿古、桥梁、隧道20%；装饰、园林25%以上；市政（不含桥梁、隧道）、单独土石方、绿化低于招标控制价相应项目35%以上）；或者主要材料单价高于招标控制价相应材料单价10%以上或低于招标控制价相应材料单价25%以上，其中钢材、沥青、砼或水泥材料单价低于招标控制价相应材料单价10%以上，予以记录。综合单价的企业管理费和利润小于等于0；或者所报的主要材料消耗量低于工程量清单实体量的，予以记录。</w:t>
      </w:r>
    </w:p>
    <w:p w14:paraId="12C3DD6D">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2）总价措施项目清单价格分析记录表</w:t>
      </w:r>
    </w:p>
    <w:p w14:paraId="3B6A734B">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单位工程的总价措施项目费与招标控制价相应单位工程的总价措施项目费对比，其总价措施项目费高于招标控制价的总价措施项目费20%以上或低于招标控制价的总价措施项目费40%以上，予以记录。</w:t>
      </w:r>
    </w:p>
    <w:p w14:paraId="7B59481A">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3）其他项目清单价格分析记录表</w:t>
      </w:r>
    </w:p>
    <w:p w14:paraId="539A7CEC">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投标人已标价工程量清单的单位工程其他项目清单中计日工的企业管理费和利润小于等于0，予以记录。</w:t>
      </w:r>
    </w:p>
    <w:p w14:paraId="43F7C0B8">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4）建设项目总人工费分析记录表</w:t>
      </w:r>
    </w:p>
    <w:p w14:paraId="0D49DC26">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投标人已标价工程量清单的建设项目的总人工费与招标控制价的总人工费对比，其总人工费高于招标控制价总人工费15%以上或低于招标控制价的总人工费30%以上，予以记录。</w:t>
      </w:r>
    </w:p>
    <w:p w14:paraId="61210B7F">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5）单位工程投标报价分析记录表</w:t>
      </w:r>
    </w:p>
    <w:p w14:paraId="4E09B756">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投标人已标价工程量清单的单位工程的投标报价合价与招标控制价相应单位工程的合价对比，其单位工程的投标报价合价高于招标控制价相应单位工程的合价的，予以记录。</w:t>
      </w:r>
    </w:p>
    <w:p w14:paraId="7C9D88AE">
      <w:pPr>
        <w:pStyle w:val="33"/>
        <w:rPr>
          <w:rFonts w:hint="eastAsia" w:ascii="Times New Roman" w:hAnsi="Times New Roman"/>
          <w:color w:val="auto"/>
          <w:highlight w:val="none"/>
        </w:rPr>
      </w:pPr>
      <w:bookmarkStart w:id="735" w:name="_Toc28531827"/>
      <w:bookmarkStart w:id="736" w:name="_Toc1333"/>
      <w:r>
        <w:rPr>
          <w:color w:val="auto"/>
          <w:highlight w:val="none"/>
        </w:rPr>
        <w:t>C3.</w:t>
      </w:r>
      <w:r>
        <w:rPr>
          <w:rFonts w:hint="eastAsia"/>
          <w:color w:val="auto"/>
          <w:highlight w:val="none"/>
        </w:rPr>
        <w:t>清标报告</w:t>
      </w:r>
      <w:bookmarkEnd w:id="735"/>
      <w:bookmarkEnd w:id="736"/>
    </w:p>
    <w:p w14:paraId="1D7F185F">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按本附件第C2.2款对投标文件进行基础性数据分析和整理工作形成的清标成果文件为清标报告的内容。评标委员会根据本章附件A评标详细程序和本章评标办法的规定，结合清标成果完成初步评审、详细评审、推荐中标候选人或者直接确定中标人。</w:t>
      </w:r>
    </w:p>
    <w:p w14:paraId="0AACC9E3">
      <w:pPr>
        <w:adjustRightInd w:val="0"/>
        <w:snapToGrid w:val="0"/>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清标报告是评标报告的组成部分。</w:t>
      </w:r>
    </w:p>
    <w:p w14:paraId="23A22E98">
      <w:pPr>
        <w:adjustRightInd w:val="0"/>
        <w:snapToGrid w:val="0"/>
        <w:spacing w:line="440" w:lineRule="exact"/>
        <w:rPr>
          <w:rFonts w:hint="eastAsia" w:ascii="黑体" w:hAnsi="宋体" w:eastAsia="黑体"/>
          <w:color w:val="auto"/>
          <w:sz w:val="24"/>
          <w:szCs w:val="24"/>
          <w:highlight w:val="none"/>
        </w:rPr>
      </w:pPr>
    </w:p>
    <w:p w14:paraId="05610262">
      <w:pPr>
        <w:adjustRightInd w:val="0"/>
        <w:snapToGrid w:val="0"/>
        <w:spacing w:line="440" w:lineRule="exact"/>
        <w:rPr>
          <w:rFonts w:hint="eastAsia" w:ascii="黑体" w:hAnsi="宋体" w:eastAsia="黑体"/>
          <w:color w:val="auto"/>
          <w:sz w:val="24"/>
          <w:highlight w:val="none"/>
        </w:rPr>
      </w:pPr>
    </w:p>
    <w:p w14:paraId="4269D367">
      <w:pPr>
        <w:adjustRightInd w:val="0"/>
        <w:snapToGrid w:val="0"/>
        <w:spacing w:line="440" w:lineRule="exact"/>
        <w:rPr>
          <w:rFonts w:hint="eastAsia" w:ascii="黑体" w:hAnsi="宋体" w:eastAsia="黑体"/>
          <w:color w:val="auto"/>
          <w:sz w:val="24"/>
          <w:highlight w:val="none"/>
        </w:rPr>
      </w:pPr>
    </w:p>
    <w:p w14:paraId="0B78E3EC">
      <w:pPr>
        <w:adjustRightInd w:val="0"/>
        <w:snapToGrid w:val="0"/>
        <w:spacing w:line="440" w:lineRule="exact"/>
        <w:rPr>
          <w:rFonts w:hint="eastAsia" w:ascii="黑体" w:hAnsi="宋体" w:eastAsia="黑体"/>
          <w:color w:val="auto"/>
          <w:sz w:val="24"/>
          <w:highlight w:val="none"/>
        </w:rPr>
      </w:pPr>
    </w:p>
    <w:p w14:paraId="3EEBFFD7">
      <w:pPr>
        <w:adjustRightInd w:val="0"/>
        <w:snapToGrid w:val="0"/>
        <w:spacing w:line="440" w:lineRule="exact"/>
        <w:rPr>
          <w:rFonts w:hint="eastAsia" w:ascii="黑体" w:hAnsi="宋体" w:eastAsia="黑体"/>
          <w:color w:val="auto"/>
          <w:sz w:val="24"/>
          <w:highlight w:val="none"/>
        </w:rPr>
      </w:pPr>
    </w:p>
    <w:p w14:paraId="3A7DC7B9">
      <w:pPr>
        <w:adjustRightInd w:val="0"/>
        <w:snapToGrid w:val="0"/>
        <w:spacing w:line="440" w:lineRule="exact"/>
        <w:rPr>
          <w:rFonts w:hint="eastAsia" w:ascii="黑体" w:hAnsi="宋体" w:eastAsia="黑体"/>
          <w:color w:val="auto"/>
          <w:sz w:val="24"/>
          <w:highlight w:val="none"/>
        </w:rPr>
      </w:pPr>
    </w:p>
    <w:p w14:paraId="5A2C26C4">
      <w:pPr>
        <w:adjustRightInd w:val="0"/>
        <w:snapToGrid w:val="0"/>
        <w:spacing w:line="440" w:lineRule="exact"/>
        <w:rPr>
          <w:rFonts w:hint="eastAsia" w:ascii="黑体" w:hAnsi="宋体" w:eastAsia="黑体"/>
          <w:color w:val="auto"/>
          <w:sz w:val="24"/>
          <w:highlight w:val="none"/>
        </w:rPr>
      </w:pPr>
    </w:p>
    <w:p w14:paraId="1656089E">
      <w:pPr>
        <w:adjustRightInd w:val="0"/>
        <w:snapToGrid w:val="0"/>
        <w:spacing w:line="440" w:lineRule="exact"/>
        <w:rPr>
          <w:rFonts w:hint="eastAsia" w:ascii="黑体" w:hAnsi="宋体" w:eastAsia="黑体"/>
          <w:color w:val="auto"/>
          <w:sz w:val="24"/>
          <w:highlight w:val="none"/>
        </w:rPr>
      </w:pPr>
    </w:p>
    <w:p w14:paraId="3246250F">
      <w:pPr>
        <w:adjustRightInd w:val="0"/>
        <w:snapToGrid w:val="0"/>
        <w:spacing w:line="440" w:lineRule="exact"/>
        <w:rPr>
          <w:rFonts w:hint="eastAsia" w:ascii="黑体" w:hAnsi="宋体" w:eastAsia="黑体"/>
          <w:color w:val="auto"/>
          <w:sz w:val="24"/>
          <w:highlight w:val="none"/>
        </w:rPr>
      </w:pPr>
    </w:p>
    <w:p w14:paraId="27B86FFB">
      <w:pPr>
        <w:adjustRightInd w:val="0"/>
        <w:snapToGrid w:val="0"/>
        <w:spacing w:line="440" w:lineRule="exact"/>
        <w:rPr>
          <w:rFonts w:hint="eastAsia" w:ascii="黑体" w:hAnsi="宋体" w:eastAsia="黑体"/>
          <w:color w:val="auto"/>
          <w:sz w:val="24"/>
          <w:highlight w:val="none"/>
        </w:rPr>
      </w:pPr>
    </w:p>
    <w:p w14:paraId="0081A26A">
      <w:pPr>
        <w:adjustRightInd w:val="0"/>
        <w:snapToGrid w:val="0"/>
        <w:spacing w:line="440" w:lineRule="exact"/>
        <w:rPr>
          <w:rFonts w:hint="eastAsia" w:ascii="黑体" w:hAnsi="宋体" w:eastAsia="黑体"/>
          <w:color w:val="auto"/>
          <w:sz w:val="24"/>
          <w:highlight w:val="none"/>
        </w:rPr>
      </w:pPr>
    </w:p>
    <w:p w14:paraId="0572BF4B">
      <w:pPr>
        <w:adjustRightInd w:val="0"/>
        <w:snapToGrid w:val="0"/>
        <w:spacing w:line="440" w:lineRule="exact"/>
        <w:rPr>
          <w:rFonts w:hint="eastAsia" w:ascii="黑体" w:hAnsi="宋体" w:eastAsia="黑体"/>
          <w:color w:val="auto"/>
          <w:sz w:val="24"/>
          <w:highlight w:val="none"/>
        </w:rPr>
      </w:pPr>
    </w:p>
    <w:p w14:paraId="3600F014">
      <w:pPr>
        <w:adjustRightInd w:val="0"/>
        <w:snapToGrid w:val="0"/>
        <w:spacing w:line="440" w:lineRule="exact"/>
        <w:rPr>
          <w:rFonts w:hint="eastAsia" w:ascii="黑体" w:hAnsi="宋体" w:eastAsia="黑体"/>
          <w:color w:val="auto"/>
          <w:sz w:val="24"/>
          <w:highlight w:val="none"/>
        </w:rPr>
      </w:pPr>
    </w:p>
    <w:p w14:paraId="29CCBFCA">
      <w:pPr>
        <w:adjustRightInd w:val="0"/>
        <w:snapToGrid w:val="0"/>
        <w:spacing w:line="440" w:lineRule="exact"/>
        <w:rPr>
          <w:rFonts w:hint="eastAsia" w:ascii="黑体" w:hAnsi="宋体" w:eastAsia="黑体"/>
          <w:color w:val="auto"/>
          <w:sz w:val="24"/>
          <w:highlight w:val="none"/>
        </w:rPr>
      </w:pPr>
    </w:p>
    <w:p w14:paraId="24419415">
      <w:pPr>
        <w:pStyle w:val="3"/>
        <w:rPr>
          <w:rFonts w:hint="eastAsia"/>
          <w:b w:val="0"/>
          <w:color w:val="auto"/>
          <w:sz w:val="24"/>
          <w:szCs w:val="24"/>
          <w:highlight w:val="none"/>
        </w:rPr>
      </w:pPr>
      <w:bookmarkStart w:id="737" w:name="_Toc32380"/>
      <w:bookmarkStart w:id="738" w:name="_Toc28531828"/>
      <w:r>
        <w:rPr>
          <w:rFonts w:hint="eastAsia"/>
          <w:b w:val="0"/>
          <w:color w:val="auto"/>
          <w:sz w:val="24"/>
          <w:szCs w:val="24"/>
          <w:highlight w:val="none"/>
        </w:rPr>
        <w:t>附件</w:t>
      </w:r>
      <w:r>
        <w:rPr>
          <w:b w:val="0"/>
          <w:color w:val="auto"/>
          <w:sz w:val="24"/>
          <w:szCs w:val="24"/>
          <w:highlight w:val="none"/>
        </w:rPr>
        <w:t>D</w:t>
      </w:r>
      <w:r>
        <w:rPr>
          <w:rFonts w:hint="eastAsia"/>
          <w:b w:val="0"/>
          <w:color w:val="auto"/>
          <w:sz w:val="24"/>
          <w:szCs w:val="24"/>
          <w:highlight w:val="none"/>
        </w:rPr>
        <w:t>：投标人成本评审办法</w:t>
      </w:r>
      <w:bookmarkEnd w:id="737"/>
      <w:bookmarkEnd w:id="738"/>
    </w:p>
    <w:p w14:paraId="54450DC2">
      <w:pPr>
        <w:jc w:val="center"/>
        <w:rPr>
          <w:rFonts w:ascii="黑体" w:eastAsia="黑体"/>
          <w:b/>
          <w:color w:val="auto"/>
          <w:sz w:val="28"/>
          <w:szCs w:val="28"/>
          <w:highlight w:val="none"/>
        </w:rPr>
      </w:pPr>
      <w:r>
        <w:rPr>
          <w:rFonts w:hint="eastAsia" w:ascii="黑体" w:eastAsia="黑体"/>
          <w:b/>
          <w:color w:val="auto"/>
          <w:sz w:val="28"/>
          <w:szCs w:val="28"/>
          <w:highlight w:val="none"/>
        </w:rPr>
        <w:t>投标人成本评审办法</w:t>
      </w:r>
    </w:p>
    <w:p w14:paraId="1698B0DF">
      <w:pPr>
        <w:adjustRightInd w:val="0"/>
        <w:snapToGrid w:val="0"/>
        <w:spacing w:before="240" w:beforeLines="100" w:after="240" w:afterLines="100" w:line="440" w:lineRule="exact"/>
        <w:jc w:val="center"/>
        <w:rPr>
          <w:rFonts w:hint="eastAsia" w:ascii="黑体" w:hAnsi="宋体" w:eastAsia="黑体"/>
          <w:color w:val="auto"/>
          <w:sz w:val="32"/>
          <w:szCs w:val="32"/>
          <w:highlight w:val="none"/>
        </w:rPr>
      </w:pPr>
    </w:p>
    <w:p w14:paraId="19D3E889">
      <w:pPr>
        <w:pStyle w:val="33"/>
        <w:rPr>
          <w:rFonts w:hint="eastAsia" w:ascii="Times New Roman" w:hAnsi="Times New Roman"/>
          <w:color w:val="auto"/>
          <w:highlight w:val="none"/>
        </w:rPr>
      </w:pPr>
      <w:bookmarkStart w:id="739" w:name="_Toc28531829"/>
      <w:bookmarkStart w:id="740" w:name="_Toc12129"/>
      <w:r>
        <w:rPr>
          <w:color w:val="auto"/>
          <w:highlight w:val="none"/>
        </w:rPr>
        <w:t>D0.</w:t>
      </w:r>
      <w:r>
        <w:rPr>
          <w:rFonts w:hint="eastAsia"/>
          <w:color w:val="auto"/>
          <w:highlight w:val="none"/>
        </w:rPr>
        <w:t>总</w:t>
      </w:r>
      <w:r>
        <w:rPr>
          <w:color w:val="auto"/>
          <w:highlight w:val="none"/>
        </w:rPr>
        <w:t xml:space="preserve">  </w:t>
      </w:r>
      <w:r>
        <w:rPr>
          <w:rFonts w:hint="eastAsia"/>
          <w:color w:val="auto"/>
          <w:highlight w:val="none"/>
        </w:rPr>
        <w:t>则</w:t>
      </w:r>
      <w:bookmarkEnd w:id="739"/>
      <w:bookmarkEnd w:id="740"/>
    </w:p>
    <w:p w14:paraId="652D49D8">
      <w:pPr>
        <w:spacing w:line="440" w:lineRule="exact"/>
        <w:ind w:firstLine="420" w:firstLineChars="200"/>
        <w:rPr>
          <w:rFonts w:ascii="宋体" w:hAnsi="宋体"/>
          <w:color w:val="auto"/>
          <w:highlight w:val="none"/>
        </w:rPr>
      </w:pPr>
      <w:r>
        <w:rPr>
          <w:rFonts w:hint="eastAsia" w:ascii="宋体" w:hAnsi="宋体"/>
          <w:color w:val="auto"/>
          <w:highlight w:val="none"/>
        </w:rPr>
        <w:t>本附件是本章“评标办法”的组成部分，评标委员会按照本章第</w:t>
      </w:r>
      <w:r>
        <w:rPr>
          <w:color w:val="auto"/>
          <w:highlight w:val="none"/>
        </w:rPr>
        <w:t>3.1.4</w:t>
      </w:r>
      <w:r>
        <w:rPr>
          <w:rFonts w:hint="eastAsia" w:hAnsi="宋体"/>
          <w:color w:val="auto"/>
          <w:highlight w:val="none"/>
        </w:rPr>
        <w:t>项的规定，对投标人投标报价是否低于其成本进行评审和判断时，适用本</w:t>
      </w:r>
      <w:r>
        <w:rPr>
          <w:rFonts w:hint="eastAsia" w:ascii="宋体" w:hAnsi="宋体"/>
          <w:color w:val="auto"/>
          <w:highlight w:val="none"/>
        </w:rPr>
        <w:t>附件所规定的办法。</w:t>
      </w:r>
    </w:p>
    <w:p w14:paraId="559079C0">
      <w:pPr>
        <w:pStyle w:val="33"/>
        <w:rPr>
          <w:rFonts w:hint="eastAsia" w:ascii="Times New Roman" w:hAnsi="Times New Roman"/>
          <w:color w:val="auto"/>
          <w:highlight w:val="none"/>
        </w:rPr>
      </w:pPr>
      <w:bookmarkStart w:id="741" w:name="_Toc22584"/>
      <w:bookmarkStart w:id="742" w:name="_Toc28531830"/>
      <w:r>
        <w:rPr>
          <w:color w:val="auto"/>
          <w:highlight w:val="none"/>
        </w:rPr>
        <w:t>D1.</w:t>
      </w:r>
      <w:r>
        <w:rPr>
          <w:rFonts w:hint="eastAsia"/>
          <w:color w:val="auto"/>
          <w:highlight w:val="none"/>
        </w:rPr>
        <w:t>启动成本评审工作的前提条件</w:t>
      </w:r>
      <w:bookmarkEnd w:id="741"/>
      <w:bookmarkEnd w:id="742"/>
    </w:p>
    <w:p w14:paraId="4094312A">
      <w:pPr>
        <w:spacing w:line="440" w:lineRule="exact"/>
        <w:ind w:firstLine="420" w:firstLineChars="200"/>
        <w:rPr>
          <w:rFonts w:ascii="宋体" w:hAnsi="宋体"/>
          <w:color w:val="auto"/>
          <w:highlight w:val="none"/>
        </w:rPr>
      </w:pPr>
      <w:r>
        <w:rPr>
          <w:rFonts w:hint="eastAsia" w:ascii="宋体" w:hAnsi="宋体"/>
          <w:color w:val="auto"/>
          <w:highlight w:val="none"/>
        </w:rPr>
        <w:t>在满足下列两项条件的前提下，评标委员会应当启动并进行本办法所规定的评审，以判别投标人的投标报价是否低于其成本：</w:t>
      </w:r>
    </w:p>
    <w:p w14:paraId="7361A8B2">
      <w:pPr>
        <w:spacing w:line="440" w:lineRule="exact"/>
        <w:ind w:firstLine="420" w:firstLineChars="200"/>
        <w:rPr>
          <w:rFonts w:hint="eastAsia" w:ascii="宋体" w:hAnsi="宋体"/>
          <w:color w:val="auto"/>
          <w:highlight w:val="none"/>
        </w:rPr>
      </w:pPr>
      <w:r>
        <w:rPr>
          <w:rFonts w:hint="eastAsia" w:ascii="宋体" w:hAnsi="宋体"/>
          <w:color w:val="auto"/>
          <w:highlight w:val="none"/>
        </w:rPr>
        <w:t>C1.1投标人的投标文件在本章“评标办法”规定的“初步评审”阶段，不存在应当否决的情形；</w:t>
      </w:r>
    </w:p>
    <w:p w14:paraId="115D9E87">
      <w:pPr>
        <w:spacing w:line="440" w:lineRule="exact"/>
        <w:ind w:firstLine="420" w:firstLineChars="200"/>
        <w:rPr>
          <w:rFonts w:hint="eastAsia" w:ascii="宋体" w:hAnsi="宋体"/>
          <w:color w:val="auto"/>
          <w:highlight w:val="none"/>
        </w:rPr>
      </w:pPr>
      <w:r>
        <w:rPr>
          <w:rFonts w:hint="eastAsia" w:ascii="宋体" w:hAnsi="宋体"/>
          <w:color w:val="auto"/>
          <w:highlight w:val="none"/>
        </w:rPr>
        <w:t>C1.2投标人的投标总报价－</w:t>
      </w:r>
      <w:r>
        <w:rPr>
          <w:rFonts w:hint="eastAsia" w:ascii="宋体" w:hAnsi="宋体"/>
          <w:color w:val="auto"/>
          <w:szCs w:val="21"/>
          <w:highlight w:val="none"/>
        </w:rPr>
        <w:t>（暂列金额+税金）－（专业工程暂估价+税金）</w:t>
      </w:r>
      <w:r>
        <w:rPr>
          <w:rFonts w:hint="eastAsia" w:ascii="宋体" w:hAnsi="宋体"/>
          <w:color w:val="auto"/>
          <w:highlight w:val="none"/>
        </w:rPr>
        <w:t>低于（不含）</w:t>
      </w:r>
      <w:r>
        <w:rPr>
          <w:rFonts w:hint="eastAsia" w:ascii="宋体" w:hAnsi="宋体"/>
          <w:color w:val="auto"/>
          <w:szCs w:val="21"/>
          <w:highlight w:val="none"/>
        </w:rPr>
        <w:t>招标控制价总价</w:t>
      </w:r>
      <w:r>
        <w:rPr>
          <w:rFonts w:hint="eastAsia" w:ascii="宋体" w:hAnsi="宋体"/>
          <w:color w:val="auto"/>
          <w:highlight w:val="none"/>
        </w:rPr>
        <w:t>－</w:t>
      </w:r>
      <w:r>
        <w:rPr>
          <w:rFonts w:hint="eastAsia" w:ascii="宋体" w:hAnsi="宋体"/>
          <w:color w:val="auto"/>
          <w:szCs w:val="21"/>
          <w:highlight w:val="none"/>
        </w:rPr>
        <w:t>（暂列金额+税金）－（专业工程暂估价+税金）</w:t>
      </w:r>
      <w:r>
        <w:rPr>
          <w:rFonts w:hint="eastAsia" w:ascii="宋体" w:hAnsi="宋体"/>
          <w:color w:val="auto"/>
          <w:szCs w:val="21"/>
          <w:highlight w:val="none"/>
          <w:u w:val="single"/>
        </w:rPr>
        <w:t xml:space="preserve">   H%    </w:t>
      </w:r>
      <w:r>
        <w:rPr>
          <w:rFonts w:hint="eastAsia" w:ascii="宋体" w:hAnsi="宋体"/>
          <w:color w:val="auto"/>
          <w:highlight w:val="none"/>
        </w:rPr>
        <w:t>的。</w:t>
      </w:r>
    </w:p>
    <w:p w14:paraId="67ABEA88">
      <w:pPr>
        <w:spacing w:line="440" w:lineRule="exact"/>
        <w:ind w:firstLine="420" w:firstLineChars="200"/>
        <w:rPr>
          <w:rFonts w:hint="eastAsia" w:ascii="宋体" w:hAnsi="宋体"/>
          <w:color w:val="auto"/>
          <w:highlight w:val="none"/>
        </w:rPr>
      </w:pPr>
      <w:r>
        <w:rPr>
          <w:rFonts w:hint="eastAsia" w:ascii="宋体" w:hAnsi="宋体"/>
          <w:color w:val="auto"/>
          <w:highlight w:val="none"/>
        </w:rPr>
        <w:t>招标人</w:t>
      </w:r>
      <w:r>
        <w:rPr>
          <w:rFonts w:hint="eastAsia" w:ascii="宋体" w:hAnsi="宋体"/>
          <w:color w:val="auto"/>
          <w:szCs w:val="21"/>
          <w:highlight w:val="none"/>
        </w:rPr>
        <w:t>根据招标项目具体情况宜选择75-80中的具体数值作为</w:t>
      </w:r>
      <w:r>
        <w:rPr>
          <w:rFonts w:hint="eastAsia" w:ascii="宋体" w:hAnsi="宋体"/>
          <w:color w:val="auto"/>
          <w:highlight w:val="none"/>
        </w:rPr>
        <w:t>H的取值</w:t>
      </w:r>
      <w:r>
        <w:rPr>
          <w:rFonts w:hint="eastAsia" w:ascii="宋体" w:hAnsi="宋体"/>
          <w:color w:val="auto"/>
          <w:szCs w:val="21"/>
          <w:highlight w:val="none"/>
        </w:rPr>
        <w:t>，H的取值见第二章投标人须知前附表第10.2.2项。</w:t>
      </w:r>
    </w:p>
    <w:p w14:paraId="09760A64">
      <w:pPr>
        <w:pStyle w:val="33"/>
        <w:rPr>
          <w:rFonts w:hint="eastAsia" w:ascii="Times New Roman" w:hAnsi="Times New Roman"/>
          <w:color w:val="auto"/>
          <w:highlight w:val="none"/>
        </w:rPr>
      </w:pPr>
      <w:bookmarkStart w:id="743" w:name="_Toc13840"/>
      <w:bookmarkStart w:id="744" w:name="_Toc28531831"/>
      <w:r>
        <w:rPr>
          <w:color w:val="auto"/>
          <w:highlight w:val="none"/>
        </w:rPr>
        <w:t>D2.</w:t>
      </w:r>
      <w:r>
        <w:rPr>
          <w:rFonts w:hint="eastAsia"/>
          <w:color w:val="auto"/>
          <w:highlight w:val="none"/>
        </w:rPr>
        <w:t>评审的依据</w:t>
      </w:r>
      <w:bookmarkEnd w:id="743"/>
      <w:bookmarkEnd w:id="744"/>
    </w:p>
    <w:p w14:paraId="0C803F5F">
      <w:pPr>
        <w:spacing w:line="440" w:lineRule="exact"/>
        <w:ind w:firstLine="420" w:firstLineChars="200"/>
        <w:rPr>
          <w:rFonts w:ascii="宋体" w:hAnsi="宋体"/>
          <w:color w:val="auto"/>
          <w:highlight w:val="none"/>
        </w:rPr>
      </w:pPr>
      <w:r>
        <w:rPr>
          <w:rFonts w:hint="eastAsia" w:ascii="宋体" w:hAnsi="宋体"/>
          <w:color w:val="auto"/>
          <w:highlight w:val="none"/>
        </w:rPr>
        <w:t>评标委员会判断投标人的投标报价是否低于其成本，所参考的评审依据包括：</w:t>
      </w:r>
    </w:p>
    <w:p w14:paraId="3D1D32A5">
      <w:pPr>
        <w:spacing w:line="440" w:lineRule="exact"/>
        <w:ind w:firstLine="420" w:firstLineChars="200"/>
        <w:rPr>
          <w:rFonts w:hint="eastAsia" w:ascii="宋体" w:hAnsi="宋体"/>
          <w:color w:val="auto"/>
          <w:highlight w:val="none"/>
        </w:rPr>
      </w:pPr>
      <w:r>
        <w:rPr>
          <w:rFonts w:hint="eastAsia" w:ascii="宋体" w:hAnsi="宋体"/>
          <w:color w:val="auto"/>
          <w:highlight w:val="none"/>
        </w:rPr>
        <w:t>（1）  招标文件及招标工程量清单；</w:t>
      </w:r>
    </w:p>
    <w:p w14:paraId="19655EE2">
      <w:pPr>
        <w:spacing w:line="440" w:lineRule="exact"/>
        <w:ind w:firstLine="420" w:firstLineChars="200"/>
        <w:rPr>
          <w:rFonts w:hint="eastAsia" w:ascii="宋体" w:hAnsi="宋体"/>
          <w:color w:val="auto"/>
          <w:highlight w:val="none"/>
        </w:rPr>
      </w:pPr>
      <w:r>
        <w:rPr>
          <w:rFonts w:hint="eastAsia" w:ascii="宋体" w:hAnsi="宋体"/>
          <w:color w:val="auto"/>
          <w:highlight w:val="none"/>
        </w:rPr>
        <w:t>（2）  招标控制价；</w:t>
      </w:r>
    </w:p>
    <w:p w14:paraId="17C08BA8">
      <w:pPr>
        <w:spacing w:line="440" w:lineRule="exact"/>
        <w:ind w:firstLine="420" w:firstLineChars="200"/>
        <w:rPr>
          <w:rFonts w:hint="eastAsia" w:ascii="宋体" w:hAnsi="宋体"/>
          <w:color w:val="auto"/>
          <w:highlight w:val="none"/>
        </w:rPr>
      </w:pPr>
      <w:r>
        <w:rPr>
          <w:rFonts w:hint="eastAsia" w:ascii="宋体" w:hAnsi="宋体"/>
          <w:color w:val="auto"/>
          <w:highlight w:val="none"/>
        </w:rPr>
        <w:t>（3）  施工组织设计；</w:t>
      </w:r>
    </w:p>
    <w:p w14:paraId="177A2917">
      <w:pPr>
        <w:spacing w:line="440" w:lineRule="exact"/>
        <w:ind w:firstLine="420" w:firstLineChars="200"/>
        <w:rPr>
          <w:rFonts w:hint="eastAsia" w:ascii="宋体" w:hAnsi="宋体"/>
          <w:color w:val="auto"/>
          <w:highlight w:val="none"/>
        </w:rPr>
      </w:pPr>
      <w:r>
        <w:rPr>
          <w:rFonts w:hint="eastAsia" w:ascii="宋体" w:hAnsi="宋体"/>
          <w:color w:val="auto"/>
          <w:highlight w:val="none"/>
        </w:rPr>
        <w:t>（4）  投标人已标价的工程量清单或经算术错误修正后的已标价的工程量清单（如果有）；</w:t>
      </w:r>
    </w:p>
    <w:p w14:paraId="7041AB18">
      <w:pPr>
        <w:spacing w:line="440" w:lineRule="exact"/>
        <w:ind w:firstLine="420" w:firstLineChars="200"/>
        <w:rPr>
          <w:rFonts w:hint="eastAsia" w:ascii="宋体" w:hAnsi="宋体"/>
          <w:color w:val="auto"/>
          <w:highlight w:val="none"/>
        </w:rPr>
      </w:pPr>
      <w:r>
        <w:rPr>
          <w:rFonts w:hint="eastAsia" w:ascii="宋体" w:hAnsi="宋体"/>
          <w:color w:val="auto"/>
          <w:highlight w:val="none"/>
        </w:rPr>
        <w:t>（5）  工程所在地工程造价管理部门颁布的工程造价信息（如果有）；</w:t>
      </w:r>
    </w:p>
    <w:p w14:paraId="3F7F1877">
      <w:pPr>
        <w:spacing w:line="440" w:lineRule="exact"/>
        <w:ind w:firstLine="420" w:firstLineChars="200"/>
        <w:rPr>
          <w:rFonts w:hint="eastAsia" w:ascii="宋体" w:hAnsi="宋体"/>
          <w:color w:val="auto"/>
          <w:highlight w:val="none"/>
        </w:rPr>
      </w:pPr>
      <w:r>
        <w:rPr>
          <w:rFonts w:hint="eastAsia" w:ascii="宋体" w:hAnsi="宋体"/>
          <w:color w:val="auto"/>
          <w:highlight w:val="none"/>
        </w:rPr>
        <w:t>（6）  工程所在地市场价格水平；</w:t>
      </w:r>
    </w:p>
    <w:p w14:paraId="2F30227C">
      <w:pPr>
        <w:spacing w:line="440" w:lineRule="exact"/>
        <w:ind w:firstLine="420" w:firstLineChars="200"/>
        <w:rPr>
          <w:rFonts w:hint="eastAsia" w:ascii="宋体" w:hAnsi="宋体"/>
          <w:color w:val="auto"/>
          <w:highlight w:val="none"/>
        </w:rPr>
      </w:pPr>
      <w:r>
        <w:rPr>
          <w:rFonts w:hint="eastAsia" w:ascii="宋体" w:hAnsi="宋体"/>
          <w:color w:val="auto"/>
          <w:highlight w:val="none"/>
        </w:rPr>
        <w:t>（7）  工程所在地工程造价管理部门颁布的定额或投标人企业定额；</w:t>
      </w:r>
    </w:p>
    <w:p w14:paraId="3F03411C">
      <w:pPr>
        <w:spacing w:line="440" w:lineRule="exact"/>
        <w:ind w:firstLine="420" w:firstLineChars="200"/>
        <w:rPr>
          <w:rFonts w:hint="eastAsia" w:ascii="宋体" w:hAnsi="宋体"/>
          <w:color w:val="auto"/>
          <w:highlight w:val="none"/>
        </w:rPr>
      </w:pPr>
      <w:r>
        <w:rPr>
          <w:rFonts w:hint="eastAsia" w:ascii="宋体" w:hAnsi="宋体"/>
          <w:color w:val="auto"/>
          <w:highlight w:val="none"/>
        </w:rPr>
        <w:t>（8）  经审计的企业近三年财务报表；</w:t>
      </w:r>
    </w:p>
    <w:p w14:paraId="5E20AEBD">
      <w:pPr>
        <w:spacing w:line="440" w:lineRule="exact"/>
        <w:ind w:firstLine="420" w:firstLineChars="200"/>
        <w:rPr>
          <w:rFonts w:hint="eastAsia" w:ascii="宋体" w:hAnsi="宋体"/>
          <w:color w:val="auto"/>
          <w:highlight w:val="none"/>
        </w:rPr>
      </w:pPr>
      <w:r>
        <w:rPr>
          <w:rFonts w:hint="eastAsia" w:ascii="宋体" w:hAnsi="宋体"/>
          <w:color w:val="auto"/>
          <w:highlight w:val="none"/>
        </w:rPr>
        <w:t>（9）  投标人所附其他证明资料；</w:t>
      </w:r>
    </w:p>
    <w:p w14:paraId="6E8B0100">
      <w:pPr>
        <w:spacing w:line="440" w:lineRule="exact"/>
        <w:ind w:firstLine="420" w:firstLineChars="200"/>
        <w:rPr>
          <w:rFonts w:hint="eastAsia" w:ascii="宋体" w:hAnsi="宋体"/>
          <w:b/>
          <w:color w:val="auto"/>
          <w:highlight w:val="none"/>
        </w:rPr>
      </w:pPr>
      <w:r>
        <w:rPr>
          <w:rFonts w:hint="eastAsia" w:ascii="宋体" w:hAnsi="宋体"/>
          <w:color w:val="auto"/>
          <w:highlight w:val="none"/>
        </w:rPr>
        <w:t>（10） 法律法规允许的和招标文件规定的参考依据等。</w:t>
      </w:r>
    </w:p>
    <w:p w14:paraId="4FFB2A3A">
      <w:pPr>
        <w:pStyle w:val="33"/>
        <w:rPr>
          <w:rFonts w:hint="eastAsia" w:ascii="Times New Roman" w:hAnsi="Times New Roman"/>
          <w:color w:val="auto"/>
          <w:highlight w:val="none"/>
        </w:rPr>
      </w:pPr>
      <w:bookmarkStart w:id="745" w:name="_Toc12959"/>
      <w:bookmarkStart w:id="746" w:name="_Toc28531832"/>
      <w:r>
        <w:rPr>
          <w:color w:val="auto"/>
          <w:highlight w:val="none"/>
        </w:rPr>
        <w:t>D3.</w:t>
      </w:r>
      <w:r>
        <w:rPr>
          <w:rFonts w:hint="eastAsia"/>
          <w:color w:val="auto"/>
          <w:highlight w:val="none"/>
        </w:rPr>
        <w:t>对投标价格的合理性进行评审</w:t>
      </w:r>
      <w:bookmarkEnd w:id="745"/>
      <w:bookmarkEnd w:id="746"/>
    </w:p>
    <w:p w14:paraId="48BE6918">
      <w:pPr>
        <w:spacing w:line="440" w:lineRule="exact"/>
        <w:ind w:firstLine="420" w:firstLineChars="200"/>
        <w:rPr>
          <w:rFonts w:ascii="宋体" w:hAnsi="宋体"/>
          <w:color w:val="auto"/>
          <w:highlight w:val="none"/>
        </w:rPr>
      </w:pPr>
      <w:r>
        <w:rPr>
          <w:rFonts w:hint="eastAsia" w:ascii="宋体" w:hAnsi="宋体"/>
          <w:color w:val="auto"/>
          <w:highlight w:val="none"/>
        </w:rPr>
        <w:t>评标委员会结合清标成果，对各个投标价格和影响投标价格合理性的以下因素逐一进行分析：</w:t>
      </w:r>
      <w:r>
        <w:rPr>
          <w:rFonts w:hint="eastAsia" w:ascii="宋体" w:hAnsi="宋体"/>
          <w:color w:val="auto"/>
          <w:szCs w:val="21"/>
          <w:highlight w:val="none"/>
        </w:rPr>
        <w:t>当出现下列情况时，应当按本章A3.7款的程序，要求该投标人作出书面说明并提供相应的证明材料。</w:t>
      </w:r>
    </w:p>
    <w:p w14:paraId="6FCBF153">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1）分部分项工程和单价措施项目清单价格</w:t>
      </w:r>
    </w:p>
    <w:p w14:paraId="668B5BC3">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投标人已标价工程量清单的分部分项工程和单价措施项目与招标控制价相应项目对比，</w:t>
      </w:r>
      <w:r>
        <w:rPr>
          <w:rFonts w:hint="eastAsia" w:ascii="宋体" w:hAnsi="宋体"/>
          <w:b/>
          <w:color w:val="auto"/>
          <w:szCs w:val="21"/>
          <w:highlight w:val="none"/>
        </w:rPr>
        <w:t>综合单价</w:t>
      </w:r>
      <w:r>
        <w:rPr>
          <w:rFonts w:hint="eastAsia" w:ascii="宋体" w:hAnsi="宋体"/>
          <w:color w:val="auto"/>
          <w:szCs w:val="21"/>
          <w:highlight w:val="none"/>
        </w:rPr>
        <w:t>低于招标控制价相应项目（房建、安装、仿古、桥梁、隧道20%；装饰、园林25%以上；市政（不含桥梁、隧道）、单独土石方、绿化低于招标控制价相应项目35%以上）；或者</w:t>
      </w:r>
      <w:r>
        <w:rPr>
          <w:rFonts w:hint="eastAsia" w:ascii="宋体" w:hAnsi="宋体"/>
          <w:b/>
          <w:color w:val="auto"/>
          <w:szCs w:val="21"/>
          <w:highlight w:val="none"/>
        </w:rPr>
        <w:t>主要材料单价</w:t>
      </w:r>
      <w:r>
        <w:rPr>
          <w:rFonts w:hint="eastAsia" w:ascii="宋体" w:hAnsi="宋体"/>
          <w:color w:val="auto"/>
          <w:szCs w:val="21"/>
          <w:highlight w:val="none"/>
        </w:rPr>
        <w:t>低于招标控制价相应材料单价25%以上，其中钢材、沥青、砼或水泥材料单价低于招标控制价相应材料单价10%以上。综合单价的企业管理费和利润小于等于0；或者所报的主要材料消耗量低于工程量清单实体量。</w:t>
      </w:r>
    </w:p>
    <w:p w14:paraId="17A04B53">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2）总价措施项目清单价格</w:t>
      </w:r>
    </w:p>
    <w:p w14:paraId="5D37B796">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投标人已标价工程量清单的单位工程的总价措施项目费与招标控制价相应单位工程的总价措施项目费对比，其总价措施项目费低于招标控制价的总价措施项目费40%以上。</w:t>
      </w:r>
    </w:p>
    <w:p w14:paraId="002B02ED">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3）其他项目清单价格</w:t>
      </w:r>
    </w:p>
    <w:p w14:paraId="669372B2">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投标人已标价工程量清单的单位工程其他项目清单中计日工的企业管理费和利润小于等于0。</w:t>
      </w:r>
    </w:p>
    <w:p w14:paraId="65FF1B31">
      <w:pPr>
        <w:adjustRightInd w:val="0"/>
        <w:snapToGrid w:val="0"/>
        <w:spacing w:line="402" w:lineRule="atLeast"/>
        <w:ind w:firstLine="420" w:firstLineChars="200"/>
        <w:rPr>
          <w:rFonts w:hint="eastAsia" w:ascii="宋体" w:hAnsi="宋体"/>
          <w:color w:val="auto"/>
          <w:szCs w:val="21"/>
          <w:highlight w:val="none"/>
        </w:rPr>
      </w:pPr>
      <w:r>
        <w:rPr>
          <w:rFonts w:hint="eastAsia" w:ascii="宋体" w:hAnsi="宋体"/>
          <w:color w:val="auto"/>
          <w:szCs w:val="21"/>
          <w:highlight w:val="none"/>
        </w:rPr>
        <w:t>4）建设项目总人工费</w:t>
      </w:r>
    </w:p>
    <w:p w14:paraId="6F2CCAA3">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投标人已标价工程量清单的建设项目的总人工费与招标控制价的总人工费对比，其总人工费低于招标控制价总人工费的30%以上。</w:t>
      </w:r>
    </w:p>
    <w:p w14:paraId="140B7F1C">
      <w:pPr>
        <w:spacing w:line="440" w:lineRule="exact"/>
        <w:ind w:firstLine="420" w:firstLineChars="200"/>
        <w:rPr>
          <w:rFonts w:hint="eastAsia" w:ascii="宋体" w:hAnsi="宋体"/>
          <w:color w:val="auto"/>
          <w:szCs w:val="24"/>
          <w:highlight w:val="none"/>
        </w:rPr>
      </w:pPr>
      <w:r>
        <w:rPr>
          <w:rFonts w:hint="eastAsia" w:ascii="宋体" w:hAnsi="宋体"/>
          <w:color w:val="auto"/>
          <w:szCs w:val="21"/>
          <w:highlight w:val="none"/>
        </w:rPr>
        <w:t>5）未填报的项目费用</w:t>
      </w:r>
    </w:p>
    <w:p w14:paraId="7D604C75">
      <w:pPr>
        <w:pStyle w:val="33"/>
        <w:rPr>
          <w:rFonts w:hint="eastAsia" w:ascii="Times New Roman" w:hAnsi="Times New Roman"/>
          <w:color w:val="auto"/>
          <w:highlight w:val="none"/>
        </w:rPr>
      </w:pPr>
      <w:bookmarkStart w:id="747" w:name="_Toc23839"/>
      <w:bookmarkStart w:id="748" w:name="_Toc28531833"/>
      <w:r>
        <w:rPr>
          <w:color w:val="auto"/>
          <w:highlight w:val="none"/>
        </w:rPr>
        <w:t>D4.</w:t>
      </w:r>
      <w:r>
        <w:rPr>
          <w:rFonts w:hint="eastAsia"/>
          <w:color w:val="auto"/>
          <w:highlight w:val="none"/>
        </w:rPr>
        <w:t>澄清、说明或补正</w:t>
      </w:r>
      <w:bookmarkEnd w:id="747"/>
      <w:bookmarkEnd w:id="748"/>
    </w:p>
    <w:p w14:paraId="1A92A73C">
      <w:pPr>
        <w:spacing w:line="440" w:lineRule="exact"/>
        <w:ind w:firstLine="420" w:firstLineChars="200"/>
        <w:rPr>
          <w:rFonts w:ascii="宋体" w:hAnsi="宋体"/>
          <w:color w:val="auto"/>
          <w:highlight w:val="none"/>
        </w:rPr>
      </w:pPr>
      <w:r>
        <w:rPr>
          <w:rFonts w:hint="eastAsia" w:ascii="宋体" w:hAnsi="宋体"/>
          <w:color w:val="auto"/>
          <w:highlight w:val="none"/>
        </w:rPr>
        <w:t>评标委员会汇总对投标报价的疑问，按</w:t>
      </w:r>
      <w:r>
        <w:rPr>
          <w:rFonts w:hint="eastAsia" w:ascii="宋体" w:hAnsi="宋体"/>
          <w:color w:val="auto"/>
          <w:szCs w:val="21"/>
          <w:highlight w:val="none"/>
        </w:rPr>
        <w:t>A3.7款的程序</w:t>
      </w:r>
      <w:r>
        <w:rPr>
          <w:rFonts w:hint="eastAsia" w:ascii="宋体" w:hAnsi="宋体"/>
          <w:color w:val="auto"/>
          <w:highlight w:val="none"/>
        </w:rPr>
        <w:t>启动“澄清、说明或补正”程序，发出投标文件澄清通知，要求投标人进行澄清和说明并提交有关证明材料。</w:t>
      </w:r>
    </w:p>
    <w:p w14:paraId="6090414C">
      <w:pPr>
        <w:pStyle w:val="33"/>
        <w:rPr>
          <w:rFonts w:hint="eastAsia" w:ascii="Times New Roman" w:hAnsi="Times New Roman"/>
          <w:color w:val="auto"/>
          <w:highlight w:val="none"/>
        </w:rPr>
      </w:pPr>
      <w:bookmarkStart w:id="749" w:name="_Toc5572"/>
      <w:bookmarkStart w:id="750" w:name="_Toc28531834"/>
      <w:r>
        <w:rPr>
          <w:color w:val="auto"/>
          <w:highlight w:val="none"/>
        </w:rPr>
        <w:t>D5.</w:t>
      </w:r>
      <w:r>
        <w:rPr>
          <w:rFonts w:hint="eastAsia"/>
          <w:color w:val="auto"/>
          <w:highlight w:val="none"/>
        </w:rPr>
        <w:t>判断投标报价是否低于其成本</w:t>
      </w:r>
      <w:bookmarkEnd w:id="749"/>
      <w:bookmarkEnd w:id="750"/>
    </w:p>
    <w:p w14:paraId="39EDE954">
      <w:pPr>
        <w:spacing w:line="440" w:lineRule="exact"/>
        <w:ind w:firstLine="420" w:firstLineChars="200"/>
        <w:rPr>
          <w:rFonts w:ascii="宋体" w:hAnsi="宋体"/>
          <w:color w:val="auto"/>
          <w:highlight w:val="none"/>
        </w:rPr>
      </w:pPr>
      <w:r>
        <w:rPr>
          <w:rFonts w:hint="eastAsia" w:ascii="宋体" w:hAnsi="宋体"/>
          <w:color w:val="auto"/>
          <w:highlight w:val="none"/>
        </w:rPr>
        <w:t>评标委员会根据投标人澄清和说明并提交的有关证明材料，判断投标人的投标报价是否低于其成本。使用</w:t>
      </w:r>
      <w:r>
        <w:rPr>
          <w:rFonts w:hint="eastAsia" w:ascii="宋体" w:hAnsi="宋体"/>
          <w:b/>
          <w:color w:val="auto"/>
          <w:highlight w:val="none"/>
        </w:rPr>
        <w:t>附表D-1</w:t>
      </w:r>
      <w:r>
        <w:rPr>
          <w:rFonts w:hint="eastAsia" w:ascii="宋体" w:hAnsi="宋体"/>
          <w:color w:val="auto"/>
          <w:highlight w:val="none"/>
        </w:rPr>
        <w:t>记录记录评审结果。</w:t>
      </w:r>
    </w:p>
    <w:p w14:paraId="18418FDF">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如投标人能合理说明或者提供相应证明材料，充分说明低于上述各项定量指标为合理的，并经过评标委员会确认，可视为未低于成本报价。</w:t>
      </w:r>
    </w:p>
    <w:p w14:paraId="091EED59">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提供该投标人在近三年中已完成一个类似工程（结构特征和规模相似）的投标报价、分部分项工程项目报价，考虑价格变化因素后，与本次投标报价情况近似，同时应由有资质的工程造价咨询单位对该工程结算价出具审价报告，表明该投标人已按投标报价及合同约定圆满完成了工程施工，并未发生投标人原因而增加的费用。</w:t>
      </w:r>
    </w:p>
    <w:p w14:paraId="687CC3EE">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（2）能提供该投标人由于使用经省级及以上行业管理部门确认的新技术、新工艺或先进管理办法，从而降低工程成本的相关材料。</w:t>
      </w:r>
    </w:p>
    <w:p w14:paraId="4A3A8136">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（3）能提供货物采购合同、发票等可信的证据，以证明其采购到的材料、设备单价低于规定的。</w:t>
      </w:r>
    </w:p>
    <w:p w14:paraId="3D51DD96">
      <w:pPr>
        <w:spacing w:line="43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（4）能提供其他有关降低该投标人工程成本的分析报告和证据材料。</w:t>
      </w:r>
    </w:p>
    <w:p w14:paraId="123359DB">
      <w:pPr>
        <w:adjustRightInd w:val="0"/>
        <w:snapToGrid w:val="0"/>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5）在本章评标办法前附表允许未填报项目的项数范围内，对未填报的项目，以招标控制价相应项目价格代替未填报的项目计算其未填报的费用合计。如未填报的费用合计不超过其投标总报价（修正后的投标总报价，如有）的±1%，由投标人澄清未填报的项目包括在其已标价工程量清单的哪个项目中，或承诺如中标后将无条件实施该未填报的项目。如</w:t>
      </w:r>
      <w:r>
        <w:rPr>
          <w:rFonts w:hint="eastAsia" w:ascii="宋体" w:hAnsi="宋体" w:cs="宋体"/>
          <w:color w:val="auto"/>
          <w:szCs w:val="21"/>
          <w:highlight w:val="none"/>
        </w:rPr>
        <w:t>未填报</w:t>
      </w:r>
      <w:r>
        <w:rPr>
          <w:rFonts w:hint="eastAsia" w:ascii="宋体" w:hAnsi="宋体"/>
          <w:color w:val="auto"/>
          <w:szCs w:val="21"/>
          <w:highlight w:val="none"/>
        </w:rPr>
        <w:t>的费用合计超过其投标总报价（修正后的投标总报价，如有）的±1%，评标委员会否决其投标。</w:t>
      </w:r>
    </w:p>
    <w:p w14:paraId="162B45F9">
      <w:pPr>
        <w:adjustRightInd w:val="0"/>
        <w:snapToGrid w:val="0"/>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评标委员会不接受投标人以自有机械闲置、自有材料等不计成本为由进行投标报价的澄清和说明。投标人不能合理说明或者不能提供相应证明材料的，只要任意一个需投标人</w:t>
      </w:r>
      <w:r>
        <w:rPr>
          <w:rFonts w:hint="eastAsia" w:ascii="宋体" w:hAnsi="宋体"/>
          <w:color w:val="auto"/>
          <w:highlight w:val="none"/>
        </w:rPr>
        <w:t>澄清、说明的疑问不能令评标委员会认可，</w:t>
      </w:r>
      <w:r>
        <w:rPr>
          <w:rFonts w:hint="eastAsia" w:ascii="宋体" w:hAnsi="宋体"/>
          <w:color w:val="auto"/>
          <w:szCs w:val="21"/>
          <w:highlight w:val="none"/>
        </w:rPr>
        <w:t>由评标委员会认定该投标人以低于成本报价竞标，否决其投标。</w:t>
      </w:r>
    </w:p>
    <w:p w14:paraId="2E8CAEB3">
      <w:pPr>
        <w:adjustRightInd w:val="0"/>
        <w:snapToGrid w:val="0"/>
        <w:spacing w:line="440" w:lineRule="exact"/>
        <w:ind w:firstLine="420" w:firstLineChars="200"/>
        <w:rPr>
          <w:rFonts w:hint="eastAsia" w:ascii="宋体" w:hAnsi="宋体"/>
          <w:color w:val="auto"/>
          <w:szCs w:val="21"/>
          <w:highlight w:val="none"/>
        </w:rPr>
      </w:pPr>
    </w:p>
    <w:p w14:paraId="13F5B7AB">
      <w:pPr>
        <w:adjustRightInd w:val="0"/>
        <w:snapToGrid w:val="0"/>
        <w:spacing w:line="440" w:lineRule="exact"/>
        <w:ind w:firstLine="420" w:firstLineChars="200"/>
        <w:rPr>
          <w:rFonts w:hint="eastAsia" w:ascii="宋体" w:hAnsi="宋体"/>
          <w:color w:val="auto"/>
          <w:szCs w:val="21"/>
          <w:highlight w:val="none"/>
        </w:rPr>
      </w:pPr>
    </w:p>
    <w:p w14:paraId="1AFBCE93">
      <w:pPr>
        <w:adjustRightInd w:val="0"/>
        <w:snapToGrid w:val="0"/>
        <w:spacing w:line="440" w:lineRule="exact"/>
        <w:ind w:firstLine="420" w:firstLineChars="200"/>
        <w:rPr>
          <w:rFonts w:hint="eastAsia" w:ascii="宋体" w:hAnsi="宋体"/>
          <w:color w:val="auto"/>
          <w:szCs w:val="21"/>
          <w:highlight w:val="none"/>
        </w:rPr>
      </w:pPr>
    </w:p>
    <w:p w14:paraId="1F0D6839">
      <w:pPr>
        <w:adjustRightInd w:val="0"/>
        <w:snapToGrid w:val="0"/>
        <w:spacing w:line="440" w:lineRule="exact"/>
        <w:ind w:firstLine="420" w:firstLineChars="200"/>
        <w:rPr>
          <w:rFonts w:hint="eastAsia" w:ascii="宋体" w:hAnsi="宋体"/>
          <w:color w:val="auto"/>
          <w:szCs w:val="21"/>
          <w:highlight w:val="none"/>
        </w:rPr>
      </w:pPr>
    </w:p>
    <w:p w14:paraId="47D3637E">
      <w:pPr>
        <w:adjustRightInd w:val="0"/>
        <w:snapToGrid w:val="0"/>
        <w:spacing w:line="440" w:lineRule="exact"/>
        <w:ind w:firstLine="420" w:firstLineChars="200"/>
        <w:rPr>
          <w:rFonts w:hint="eastAsia" w:ascii="宋体" w:hAnsi="宋体"/>
          <w:color w:val="auto"/>
          <w:szCs w:val="21"/>
          <w:highlight w:val="none"/>
        </w:rPr>
      </w:pPr>
    </w:p>
    <w:p w14:paraId="2A4AC43E">
      <w:pPr>
        <w:adjustRightInd w:val="0"/>
        <w:snapToGrid w:val="0"/>
        <w:spacing w:line="440" w:lineRule="exact"/>
        <w:ind w:firstLine="420" w:firstLineChars="200"/>
        <w:rPr>
          <w:rFonts w:hint="eastAsia" w:ascii="宋体" w:hAnsi="宋体"/>
          <w:color w:val="auto"/>
          <w:szCs w:val="21"/>
          <w:highlight w:val="none"/>
        </w:rPr>
      </w:pPr>
    </w:p>
    <w:p w14:paraId="26C5EF32">
      <w:pPr>
        <w:adjustRightInd w:val="0"/>
        <w:snapToGrid w:val="0"/>
        <w:spacing w:line="440" w:lineRule="exact"/>
        <w:ind w:firstLine="420" w:firstLineChars="200"/>
        <w:rPr>
          <w:rFonts w:hint="eastAsia" w:ascii="宋体" w:hAnsi="宋体"/>
          <w:color w:val="auto"/>
          <w:szCs w:val="21"/>
          <w:highlight w:val="none"/>
        </w:rPr>
      </w:pPr>
    </w:p>
    <w:p w14:paraId="549D3EFB">
      <w:pPr>
        <w:adjustRightInd w:val="0"/>
        <w:snapToGrid w:val="0"/>
        <w:spacing w:line="440" w:lineRule="exact"/>
        <w:ind w:firstLine="420" w:firstLineChars="200"/>
        <w:rPr>
          <w:rFonts w:hint="eastAsia" w:ascii="宋体" w:hAnsi="宋体"/>
          <w:color w:val="auto"/>
          <w:szCs w:val="21"/>
          <w:highlight w:val="none"/>
        </w:rPr>
      </w:pPr>
    </w:p>
    <w:p w14:paraId="5C8EF2DF">
      <w:pPr>
        <w:adjustRightInd w:val="0"/>
        <w:snapToGrid w:val="0"/>
        <w:spacing w:line="440" w:lineRule="exact"/>
        <w:ind w:firstLine="420" w:firstLineChars="200"/>
        <w:rPr>
          <w:rFonts w:hint="eastAsia" w:ascii="宋体" w:hAnsi="宋体"/>
          <w:color w:val="auto"/>
          <w:szCs w:val="21"/>
          <w:highlight w:val="none"/>
        </w:rPr>
      </w:pPr>
    </w:p>
    <w:p w14:paraId="10192FCD">
      <w:pPr>
        <w:adjustRightInd w:val="0"/>
        <w:snapToGrid w:val="0"/>
        <w:spacing w:line="440" w:lineRule="exact"/>
        <w:ind w:firstLine="420" w:firstLineChars="200"/>
        <w:rPr>
          <w:rFonts w:hint="eastAsia" w:ascii="宋体" w:hAnsi="宋体"/>
          <w:color w:val="auto"/>
          <w:szCs w:val="21"/>
          <w:highlight w:val="none"/>
        </w:rPr>
      </w:pPr>
    </w:p>
    <w:p w14:paraId="1305223E">
      <w:pPr>
        <w:adjustRightInd w:val="0"/>
        <w:snapToGrid w:val="0"/>
        <w:spacing w:line="440" w:lineRule="exact"/>
        <w:ind w:firstLine="420" w:firstLineChars="200"/>
        <w:rPr>
          <w:rFonts w:hint="eastAsia" w:ascii="宋体" w:hAnsi="宋体"/>
          <w:color w:val="auto"/>
          <w:szCs w:val="21"/>
          <w:highlight w:val="none"/>
        </w:rPr>
      </w:pPr>
    </w:p>
    <w:p w14:paraId="2913D3B4">
      <w:pPr>
        <w:adjustRightInd w:val="0"/>
        <w:snapToGrid w:val="0"/>
        <w:spacing w:line="440" w:lineRule="exact"/>
        <w:ind w:firstLine="420" w:firstLineChars="200"/>
        <w:rPr>
          <w:rFonts w:hint="eastAsia" w:ascii="宋体" w:hAnsi="宋体"/>
          <w:color w:val="auto"/>
          <w:szCs w:val="21"/>
          <w:highlight w:val="none"/>
        </w:rPr>
      </w:pPr>
    </w:p>
    <w:p w14:paraId="6F076449">
      <w:pPr>
        <w:adjustRightInd w:val="0"/>
        <w:snapToGrid w:val="0"/>
        <w:spacing w:line="440" w:lineRule="exact"/>
        <w:ind w:firstLine="420" w:firstLineChars="200"/>
        <w:rPr>
          <w:rFonts w:hint="eastAsia" w:ascii="宋体" w:hAnsi="宋体"/>
          <w:color w:val="auto"/>
          <w:szCs w:val="21"/>
          <w:highlight w:val="none"/>
        </w:rPr>
      </w:pPr>
    </w:p>
    <w:p w14:paraId="173FFFC2">
      <w:pPr>
        <w:adjustRightInd w:val="0"/>
        <w:snapToGrid w:val="0"/>
        <w:spacing w:line="440" w:lineRule="exact"/>
        <w:ind w:firstLine="420" w:firstLineChars="200"/>
        <w:rPr>
          <w:rFonts w:hint="eastAsia" w:ascii="宋体" w:hAnsi="宋体"/>
          <w:color w:val="auto"/>
          <w:szCs w:val="21"/>
          <w:highlight w:val="none"/>
        </w:rPr>
      </w:pPr>
    </w:p>
    <w:p w14:paraId="50C84210">
      <w:pPr>
        <w:adjustRightInd w:val="0"/>
        <w:snapToGrid w:val="0"/>
        <w:spacing w:line="440" w:lineRule="exact"/>
        <w:ind w:firstLine="420" w:firstLineChars="200"/>
        <w:rPr>
          <w:rFonts w:hint="eastAsia" w:ascii="宋体" w:hAnsi="宋体"/>
          <w:color w:val="auto"/>
          <w:szCs w:val="21"/>
          <w:highlight w:val="none"/>
        </w:rPr>
      </w:pPr>
    </w:p>
    <w:p w14:paraId="02864BD8">
      <w:pPr>
        <w:adjustRightInd w:val="0"/>
        <w:snapToGrid w:val="0"/>
        <w:spacing w:line="440" w:lineRule="exact"/>
        <w:ind w:firstLine="420" w:firstLineChars="200"/>
        <w:rPr>
          <w:rFonts w:hint="eastAsia" w:ascii="宋体" w:hAnsi="宋体"/>
          <w:color w:val="auto"/>
          <w:szCs w:val="21"/>
          <w:highlight w:val="none"/>
        </w:rPr>
      </w:pPr>
    </w:p>
    <w:p w14:paraId="20AA4375">
      <w:pPr>
        <w:adjustRightInd w:val="0"/>
        <w:snapToGrid w:val="0"/>
        <w:spacing w:line="440" w:lineRule="exact"/>
        <w:ind w:firstLine="420" w:firstLineChars="200"/>
        <w:rPr>
          <w:rFonts w:hint="eastAsia" w:ascii="宋体" w:hAnsi="宋体"/>
          <w:color w:val="auto"/>
          <w:szCs w:val="21"/>
          <w:highlight w:val="none"/>
        </w:rPr>
      </w:pPr>
    </w:p>
    <w:p w14:paraId="6FA27397">
      <w:pPr>
        <w:adjustRightInd w:val="0"/>
        <w:snapToGrid w:val="0"/>
        <w:spacing w:line="440" w:lineRule="exact"/>
        <w:ind w:firstLine="420" w:firstLineChars="200"/>
        <w:rPr>
          <w:rFonts w:hint="eastAsia" w:ascii="宋体" w:hAnsi="宋体"/>
          <w:color w:val="auto"/>
          <w:szCs w:val="21"/>
          <w:highlight w:val="none"/>
        </w:rPr>
      </w:pPr>
    </w:p>
    <w:p w14:paraId="4B024D9C">
      <w:pPr>
        <w:widowControl/>
        <w:jc w:val="left"/>
        <w:rPr>
          <w:rFonts w:ascii="楷体_GB2312" w:hAnsi="宋体" w:eastAsia="楷体_GB2312"/>
          <w:color w:val="auto"/>
          <w:szCs w:val="21"/>
          <w:highlight w:val="none"/>
          <w:bdr w:val="single" w:color="auto" w:sz="4" w:space="0"/>
        </w:rPr>
        <w:sectPr>
          <w:pgSz w:w="11907" w:h="16840"/>
          <w:pgMar w:top="1701" w:right="1531" w:bottom="1588" w:left="1474" w:header="851" w:footer="851" w:gutter="0"/>
          <w:pgNumType w:fmt="decimal"/>
          <w:cols w:space="720" w:num="1"/>
        </w:sectPr>
      </w:pPr>
    </w:p>
    <w:p w14:paraId="7A614202">
      <w:pPr>
        <w:pStyle w:val="33"/>
        <w:rPr>
          <w:rFonts w:hint="eastAsia" w:ascii="Times New Roman" w:hAnsi="Times New Roman"/>
          <w:color w:val="auto"/>
          <w:highlight w:val="none"/>
        </w:rPr>
      </w:pPr>
      <w:bookmarkStart w:id="751" w:name="_Toc28531835"/>
      <w:bookmarkStart w:id="752" w:name="_Toc14679"/>
      <w:r>
        <w:rPr>
          <w:rFonts w:hint="eastAsia"/>
          <w:color w:val="auto"/>
          <w:highlight w:val="none"/>
        </w:rPr>
        <w:t>附表</w:t>
      </w:r>
      <w:r>
        <w:rPr>
          <w:color w:val="auto"/>
          <w:highlight w:val="none"/>
        </w:rPr>
        <w:t>A-1</w:t>
      </w:r>
      <w:r>
        <w:rPr>
          <w:rFonts w:hint="eastAsia"/>
          <w:color w:val="auto"/>
          <w:highlight w:val="none"/>
        </w:rPr>
        <w:t>：评标委员会签到表</w:t>
      </w:r>
      <w:bookmarkEnd w:id="751"/>
      <w:bookmarkEnd w:id="752"/>
    </w:p>
    <w:p w14:paraId="58E56213">
      <w:pPr>
        <w:adjustRightInd w:val="0"/>
        <w:snapToGrid w:val="0"/>
        <w:spacing w:before="240" w:beforeLines="100" w:after="240" w:afterLines="100" w:line="440" w:lineRule="exact"/>
        <w:jc w:val="center"/>
        <w:rPr>
          <w:rFonts w:ascii="黑体" w:hAnsi="宋体" w:eastAsia="黑体"/>
          <w:color w:val="auto"/>
          <w:sz w:val="28"/>
          <w:szCs w:val="28"/>
          <w:highlight w:val="none"/>
        </w:rPr>
      </w:pPr>
      <w:r>
        <w:rPr>
          <w:rFonts w:hint="eastAsia" w:ascii="黑体" w:hAnsi="宋体" w:eastAsia="黑体"/>
          <w:color w:val="auto"/>
          <w:sz w:val="28"/>
          <w:szCs w:val="28"/>
          <w:highlight w:val="none"/>
        </w:rPr>
        <w:t>评标委员会签到表</w:t>
      </w:r>
    </w:p>
    <w:p w14:paraId="7E02F1A7">
      <w:pPr>
        <w:rPr>
          <w:rFonts w:hint="eastAsia" w:ascii="Times New Roman" w:hAnsi="Times New Roman"/>
          <w:color w:val="auto"/>
          <w:szCs w:val="44"/>
          <w:highlight w:val="none"/>
        </w:rPr>
      </w:pPr>
    </w:p>
    <w:p w14:paraId="675BF19B">
      <w:pPr>
        <w:spacing w:after="240" w:afterLines="100"/>
        <w:rPr>
          <w:color w:val="auto"/>
          <w:szCs w:val="44"/>
          <w:highlight w:val="none"/>
        </w:rPr>
      </w:pPr>
      <w:r>
        <w:rPr>
          <w:rFonts w:hint="eastAsia"/>
          <w:color w:val="auto"/>
          <w:szCs w:val="44"/>
          <w:highlight w:val="none"/>
        </w:rPr>
        <w:t>工程名称：</w:t>
      </w:r>
      <w:r>
        <w:rPr>
          <w:color w:val="auto"/>
          <w:szCs w:val="44"/>
          <w:highlight w:val="none"/>
          <w:u w:val="single"/>
        </w:rPr>
        <w:t xml:space="preserve">          </w:t>
      </w:r>
      <w:r>
        <w:rPr>
          <w:color w:val="auto"/>
          <w:szCs w:val="44"/>
          <w:highlight w:val="none"/>
        </w:rPr>
        <w:t>(</w:t>
      </w:r>
      <w:r>
        <w:rPr>
          <w:rFonts w:hint="eastAsia"/>
          <w:color w:val="auto"/>
          <w:szCs w:val="44"/>
          <w:highlight w:val="none"/>
        </w:rPr>
        <w:t>项目名称</w:t>
      </w:r>
      <w:r>
        <w:rPr>
          <w:color w:val="auto"/>
          <w:szCs w:val="44"/>
          <w:highlight w:val="none"/>
        </w:rPr>
        <w:t>)</w:t>
      </w:r>
      <w:r>
        <w:rPr>
          <w:color w:val="auto"/>
          <w:szCs w:val="44"/>
          <w:highlight w:val="none"/>
          <w:u w:val="single"/>
        </w:rPr>
        <w:t xml:space="preserve">       </w:t>
      </w:r>
      <w:r>
        <w:rPr>
          <w:color w:val="auto"/>
          <w:szCs w:val="44"/>
          <w:highlight w:val="none"/>
        </w:rPr>
        <w:t xml:space="preserve"> </w:t>
      </w:r>
      <w:r>
        <w:rPr>
          <w:rFonts w:hint="eastAsia"/>
          <w:color w:val="auto"/>
          <w:highlight w:val="none"/>
        </w:rPr>
        <w:t>（标段名称）</w:t>
      </w:r>
      <w:r>
        <w:rPr>
          <w:color w:val="auto"/>
          <w:szCs w:val="44"/>
          <w:highlight w:val="none"/>
        </w:rPr>
        <w:t xml:space="preserve">                                         </w:t>
      </w:r>
      <w:r>
        <w:rPr>
          <w:rFonts w:hint="eastAsia"/>
          <w:color w:val="auto"/>
          <w:szCs w:val="44"/>
          <w:highlight w:val="none"/>
        </w:rPr>
        <w:t>评标时间：</w:t>
      </w:r>
      <w:r>
        <w:rPr>
          <w:color w:val="auto"/>
          <w:szCs w:val="44"/>
          <w:highlight w:val="none"/>
        </w:rPr>
        <w:t xml:space="preserve">         </w:t>
      </w:r>
      <w:r>
        <w:rPr>
          <w:rFonts w:hint="eastAsia"/>
          <w:color w:val="auto"/>
          <w:szCs w:val="44"/>
          <w:highlight w:val="none"/>
        </w:rPr>
        <w:t>年</w:t>
      </w:r>
      <w:r>
        <w:rPr>
          <w:color w:val="auto"/>
          <w:szCs w:val="44"/>
          <w:highlight w:val="none"/>
        </w:rPr>
        <w:t xml:space="preserve">    </w:t>
      </w:r>
      <w:r>
        <w:rPr>
          <w:rFonts w:hint="eastAsia"/>
          <w:color w:val="auto"/>
          <w:szCs w:val="44"/>
          <w:highlight w:val="none"/>
        </w:rPr>
        <w:t>月</w:t>
      </w:r>
      <w:r>
        <w:rPr>
          <w:color w:val="auto"/>
          <w:szCs w:val="44"/>
          <w:highlight w:val="none"/>
        </w:rPr>
        <w:t xml:space="preserve">    </w:t>
      </w:r>
      <w:r>
        <w:rPr>
          <w:rFonts w:hint="eastAsia"/>
          <w:color w:val="auto"/>
          <w:szCs w:val="44"/>
          <w:highlight w:val="none"/>
        </w:rPr>
        <w:t>日</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9"/>
        <w:gridCol w:w="3419"/>
        <w:gridCol w:w="2294"/>
        <w:gridCol w:w="2294"/>
        <w:gridCol w:w="2295"/>
        <w:gridCol w:w="2296"/>
      </w:tblGrid>
      <w:tr w14:paraId="13F0B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6BE46FBE">
            <w:pPr>
              <w:jc w:val="center"/>
              <w:rPr>
                <w:color w:val="auto"/>
                <w:szCs w:val="44"/>
                <w:highlight w:val="none"/>
              </w:rPr>
            </w:pPr>
            <w:r>
              <w:rPr>
                <w:rFonts w:hint="eastAsia"/>
                <w:color w:val="auto"/>
                <w:szCs w:val="44"/>
                <w:highlight w:val="none"/>
              </w:rPr>
              <w:t>序号</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4261573E">
            <w:pPr>
              <w:jc w:val="center"/>
              <w:rPr>
                <w:color w:val="auto"/>
                <w:szCs w:val="44"/>
                <w:highlight w:val="none"/>
              </w:rPr>
            </w:pPr>
            <w:r>
              <w:rPr>
                <w:rFonts w:hint="eastAsia"/>
                <w:color w:val="auto"/>
                <w:szCs w:val="44"/>
                <w:highlight w:val="none"/>
              </w:rPr>
              <w:t>姓名</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762AB805">
            <w:pPr>
              <w:jc w:val="center"/>
              <w:rPr>
                <w:color w:val="auto"/>
                <w:szCs w:val="44"/>
                <w:highlight w:val="none"/>
              </w:rPr>
            </w:pPr>
            <w:r>
              <w:rPr>
                <w:rFonts w:hint="eastAsia"/>
                <w:color w:val="auto"/>
                <w:szCs w:val="44"/>
                <w:highlight w:val="none"/>
              </w:rPr>
              <w:t>职称</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40C427A7">
            <w:pPr>
              <w:jc w:val="center"/>
              <w:rPr>
                <w:color w:val="auto"/>
                <w:szCs w:val="44"/>
                <w:highlight w:val="none"/>
              </w:rPr>
            </w:pPr>
            <w:r>
              <w:rPr>
                <w:rFonts w:hint="eastAsia"/>
                <w:color w:val="auto"/>
                <w:szCs w:val="44"/>
                <w:highlight w:val="none"/>
              </w:rPr>
              <w:t>工作单位</w:t>
            </w: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6D71E37">
            <w:pPr>
              <w:jc w:val="center"/>
              <w:rPr>
                <w:color w:val="auto"/>
                <w:szCs w:val="44"/>
                <w:highlight w:val="none"/>
              </w:rPr>
            </w:pPr>
            <w:r>
              <w:rPr>
                <w:rFonts w:hint="eastAsia"/>
                <w:color w:val="auto"/>
                <w:szCs w:val="44"/>
                <w:highlight w:val="none"/>
              </w:rPr>
              <w:t>专家身份证证号</w:t>
            </w:r>
          </w:p>
        </w:tc>
        <w:tc>
          <w:tcPr>
            <w:tcW w:w="2342" w:type="dxa"/>
            <w:tcBorders>
              <w:top w:val="single" w:color="auto" w:sz="4" w:space="0"/>
              <w:left w:val="single" w:color="auto" w:sz="4" w:space="0"/>
              <w:bottom w:val="single" w:color="auto" w:sz="4" w:space="0"/>
              <w:right w:val="single" w:color="auto" w:sz="4" w:space="0"/>
            </w:tcBorders>
            <w:noWrap w:val="0"/>
            <w:vAlign w:val="center"/>
          </w:tcPr>
          <w:p w14:paraId="6309547E">
            <w:pPr>
              <w:jc w:val="center"/>
              <w:rPr>
                <w:color w:val="auto"/>
                <w:szCs w:val="44"/>
                <w:highlight w:val="none"/>
              </w:rPr>
            </w:pPr>
            <w:r>
              <w:rPr>
                <w:rFonts w:hint="eastAsia"/>
                <w:color w:val="auto"/>
                <w:szCs w:val="44"/>
                <w:highlight w:val="none"/>
              </w:rPr>
              <w:t>签到时间</w:t>
            </w:r>
          </w:p>
        </w:tc>
      </w:tr>
      <w:tr w14:paraId="7A04E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7021F44C">
            <w:pPr>
              <w:jc w:val="center"/>
              <w:rPr>
                <w:rFonts w:ascii="黑体" w:eastAsia="黑体"/>
                <w:color w:val="auto"/>
                <w:szCs w:val="44"/>
                <w:highlight w:val="none"/>
              </w:rPr>
            </w:pPr>
            <w:r>
              <w:rPr>
                <w:rFonts w:hint="eastAsia" w:ascii="黑体" w:eastAsia="黑体"/>
                <w:color w:val="auto"/>
                <w:szCs w:val="44"/>
                <w:highlight w:val="none"/>
              </w:rPr>
              <w:t>1</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616B4824">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11EE771">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D1D5ECF">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7E7EC995">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BF50744">
            <w:pPr>
              <w:jc w:val="center"/>
              <w:rPr>
                <w:rFonts w:ascii="黑体" w:eastAsia="黑体"/>
                <w:color w:val="auto"/>
                <w:szCs w:val="44"/>
                <w:highlight w:val="none"/>
              </w:rPr>
            </w:pPr>
          </w:p>
        </w:tc>
      </w:tr>
      <w:tr w14:paraId="50D3C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3099AC52">
            <w:pPr>
              <w:jc w:val="center"/>
              <w:rPr>
                <w:rFonts w:ascii="黑体" w:eastAsia="黑体"/>
                <w:color w:val="auto"/>
                <w:szCs w:val="44"/>
                <w:highlight w:val="none"/>
              </w:rPr>
            </w:pPr>
            <w:r>
              <w:rPr>
                <w:rFonts w:hint="eastAsia" w:ascii="黑体" w:eastAsia="黑体"/>
                <w:color w:val="auto"/>
                <w:szCs w:val="44"/>
                <w:highlight w:val="none"/>
              </w:rPr>
              <w:t>2</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652B9090">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2DF4E11">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C2FB2BA">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41A03402">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44B1D035">
            <w:pPr>
              <w:jc w:val="center"/>
              <w:rPr>
                <w:rFonts w:ascii="黑体" w:eastAsia="黑体"/>
                <w:color w:val="auto"/>
                <w:szCs w:val="44"/>
                <w:highlight w:val="none"/>
              </w:rPr>
            </w:pPr>
          </w:p>
        </w:tc>
      </w:tr>
      <w:tr w14:paraId="6012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29416578">
            <w:pPr>
              <w:jc w:val="center"/>
              <w:rPr>
                <w:rFonts w:ascii="黑体" w:eastAsia="黑体"/>
                <w:color w:val="auto"/>
                <w:szCs w:val="44"/>
                <w:highlight w:val="none"/>
              </w:rPr>
            </w:pPr>
            <w:r>
              <w:rPr>
                <w:rFonts w:hint="eastAsia" w:ascii="黑体" w:eastAsia="黑体"/>
                <w:color w:val="auto"/>
                <w:szCs w:val="44"/>
                <w:highlight w:val="none"/>
              </w:rPr>
              <w:t>3</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6D404CF4">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022E6A9D">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595A4D3E">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63523C01">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6752D4D">
            <w:pPr>
              <w:jc w:val="center"/>
              <w:rPr>
                <w:rFonts w:ascii="黑体" w:eastAsia="黑体"/>
                <w:color w:val="auto"/>
                <w:szCs w:val="44"/>
                <w:highlight w:val="none"/>
              </w:rPr>
            </w:pPr>
          </w:p>
        </w:tc>
      </w:tr>
      <w:tr w14:paraId="1033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045C6FDB">
            <w:pPr>
              <w:jc w:val="center"/>
              <w:rPr>
                <w:rFonts w:ascii="黑体" w:eastAsia="黑体"/>
                <w:color w:val="auto"/>
                <w:szCs w:val="44"/>
                <w:highlight w:val="none"/>
              </w:rPr>
            </w:pPr>
            <w:r>
              <w:rPr>
                <w:rFonts w:hint="eastAsia" w:ascii="黑体" w:eastAsia="黑体"/>
                <w:color w:val="auto"/>
                <w:szCs w:val="44"/>
                <w:highlight w:val="none"/>
              </w:rPr>
              <w:t>4</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4EF59CB7">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451BC6F">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466D778F">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2AF7E607">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2D489E60">
            <w:pPr>
              <w:jc w:val="center"/>
              <w:rPr>
                <w:rFonts w:ascii="黑体" w:eastAsia="黑体"/>
                <w:color w:val="auto"/>
                <w:szCs w:val="44"/>
                <w:highlight w:val="none"/>
              </w:rPr>
            </w:pPr>
          </w:p>
        </w:tc>
      </w:tr>
      <w:tr w14:paraId="3618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04C8DA8F">
            <w:pPr>
              <w:jc w:val="center"/>
              <w:rPr>
                <w:rFonts w:ascii="黑体" w:eastAsia="黑体"/>
                <w:color w:val="auto"/>
                <w:szCs w:val="44"/>
                <w:highlight w:val="none"/>
              </w:rPr>
            </w:pPr>
            <w:r>
              <w:rPr>
                <w:rFonts w:hint="eastAsia" w:ascii="黑体" w:eastAsia="黑体"/>
                <w:color w:val="auto"/>
                <w:szCs w:val="44"/>
                <w:highlight w:val="none"/>
              </w:rPr>
              <w:t>5</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1ACD082A">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75F5A4C6">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9CDEAAC">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2E00463F">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4D667F11">
            <w:pPr>
              <w:jc w:val="center"/>
              <w:rPr>
                <w:rFonts w:ascii="黑体" w:eastAsia="黑体"/>
                <w:color w:val="auto"/>
                <w:szCs w:val="44"/>
                <w:highlight w:val="none"/>
              </w:rPr>
            </w:pPr>
          </w:p>
        </w:tc>
      </w:tr>
      <w:tr w14:paraId="04A74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76BF76C7">
            <w:pPr>
              <w:jc w:val="center"/>
              <w:rPr>
                <w:rFonts w:ascii="黑体" w:eastAsia="黑体"/>
                <w:color w:val="auto"/>
                <w:szCs w:val="44"/>
                <w:highlight w:val="none"/>
              </w:rPr>
            </w:pPr>
            <w:r>
              <w:rPr>
                <w:rFonts w:hint="eastAsia" w:ascii="黑体" w:eastAsia="黑体"/>
                <w:color w:val="auto"/>
                <w:szCs w:val="44"/>
                <w:highlight w:val="none"/>
              </w:rPr>
              <w:t>6</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23F8CAFF">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E5EC735">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425F50AB">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2AF22F4F">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9C413E5">
            <w:pPr>
              <w:jc w:val="center"/>
              <w:rPr>
                <w:rFonts w:ascii="黑体" w:eastAsia="黑体"/>
                <w:color w:val="auto"/>
                <w:szCs w:val="44"/>
                <w:highlight w:val="none"/>
              </w:rPr>
            </w:pPr>
          </w:p>
        </w:tc>
      </w:tr>
      <w:tr w14:paraId="05DD5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0787A812">
            <w:pPr>
              <w:jc w:val="center"/>
              <w:rPr>
                <w:rFonts w:ascii="黑体" w:eastAsia="黑体"/>
                <w:color w:val="auto"/>
                <w:szCs w:val="44"/>
                <w:highlight w:val="none"/>
              </w:rPr>
            </w:pPr>
            <w:r>
              <w:rPr>
                <w:rFonts w:hint="eastAsia" w:ascii="黑体" w:eastAsia="黑体"/>
                <w:color w:val="auto"/>
                <w:szCs w:val="44"/>
                <w:highlight w:val="none"/>
              </w:rPr>
              <w:t>7</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285DF400">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65CBF06C">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51BFEF55">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24C1FAE8">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21FF2FD4">
            <w:pPr>
              <w:jc w:val="center"/>
              <w:rPr>
                <w:rFonts w:ascii="黑体" w:eastAsia="黑体"/>
                <w:color w:val="auto"/>
                <w:szCs w:val="44"/>
                <w:highlight w:val="none"/>
              </w:rPr>
            </w:pPr>
          </w:p>
        </w:tc>
      </w:tr>
      <w:tr w14:paraId="50BF4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1671651A">
            <w:pPr>
              <w:jc w:val="center"/>
              <w:rPr>
                <w:rFonts w:ascii="黑体" w:eastAsia="黑体"/>
                <w:color w:val="auto"/>
                <w:szCs w:val="44"/>
                <w:highlight w:val="none"/>
              </w:rPr>
            </w:pPr>
            <w:r>
              <w:rPr>
                <w:rFonts w:hint="eastAsia" w:ascii="黑体" w:eastAsia="黑体"/>
                <w:color w:val="auto"/>
                <w:szCs w:val="44"/>
                <w:highlight w:val="none"/>
              </w:rPr>
              <w:t>8</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42C6AE34">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57E5A25">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069D8E12">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54EE1CCF">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E0BB4C3">
            <w:pPr>
              <w:jc w:val="center"/>
              <w:rPr>
                <w:rFonts w:ascii="黑体" w:eastAsia="黑体"/>
                <w:color w:val="auto"/>
                <w:szCs w:val="44"/>
                <w:highlight w:val="none"/>
              </w:rPr>
            </w:pPr>
          </w:p>
        </w:tc>
      </w:tr>
      <w:tr w14:paraId="30A8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1D69FCE4">
            <w:pPr>
              <w:jc w:val="center"/>
              <w:rPr>
                <w:rFonts w:ascii="黑体" w:eastAsia="黑体"/>
                <w:color w:val="auto"/>
                <w:szCs w:val="44"/>
                <w:highlight w:val="none"/>
              </w:rPr>
            </w:pPr>
            <w:r>
              <w:rPr>
                <w:rFonts w:hint="eastAsia" w:ascii="黑体" w:eastAsia="黑体"/>
                <w:color w:val="auto"/>
                <w:szCs w:val="44"/>
                <w:highlight w:val="none"/>
              </w:rPr>
              <w:t>9</w:t>
            </w:r>
          </w:p>
        </w:tc>
        <w:tc>
          <w:tcPr>
            <w:tcW w:w="3494" w:type="dxa"/>
            <w:tcBorders>
              <w:top w:val="single" w:color="auto" w:sz="4" w:space="0"/>
              <w:left w:val="single" w:color="auto" w:sz="4" w:space="0"/>
              <w:bottom w:val="single" w:color="auto" w:sz="4" w:space="0"/>
              <w:right w:val="single" w:color="auto" w:sz="4" w:space="0"/>
            </w:tcBorders>
            <w:noWrap w:val="0"/>
            <w:vAlign w:val="center"/>
          </w:tcPr>
          <w:p w14:paraId="0A55BA7D">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322F9A5B">
            <w:pPr>
              <w:jc w:val="center"/>
              <w:rPr>
                <w:rFonts w:ascii="黑体" w:eastAsia="黑体"/>
                <w:color w:val="auto"/>
                <w:szCs w:val="44"/>
                <w:highlight w:val="none"/>
              </w:rPr>
            </w:pPr>
          </w:p>
        </w:tc>
        <w:tc>
          <w:tcPr>
            <w:tcW w:w="2341" w:type="dxa"/>
            <w:tcBorders>
              <w:top w:val="single" w:color="auto" w:sz="4" w:space="0"/>
              <w:left w:val="single" w:color="auto" w:sz="4" w:space="0"/>
              <w:bottom w:val="single" w:color="auto" w:sz="4" w:space="0"/>
              <w:right w:val="single" w:color="auto" w:sz="4" w:space="0"/>
            </w:tcBorders>
            <w:noWrap w:val="0"/>
            <w:vAlign w:val="center"/>
          </w:tcPr>
          <w:p w14:paraId="09F47D73">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733295D9">
            <w:pPr>
              <w:jc w:val="center"/>
              <w:rPr>
                <w:rFonts w:ascii="黑体" w:eastAsia="黑体"/>
                <w:color w:val="auto"/>
                <w:szCs w:val="44"/>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7374E15B">
            <w:pPr>
              <w:jc w:val="center"/>
              <w:rPr>
                <w:rFonts w:ascii="黑体" w:eastAsia="黑体"/>
                <w:color w:val="auto"/>
                <w:szCs w:val="44"/>
                <w:highlight w:val="none"/>
              </w:rPr>
            </w:pPr>
          </w:p>
        </w:tc>
      </w:tr>
    </w:tbl>
    <w:p w14:paraId="4AC6352C">
      <w:pPr>
        <w:rPr>
          <w:rFonts w:ascii="黑体" w:hAnsi="Times New Roman" w:eastAsia="黑体"/>
          <w:color w:val="auto"/>
          <w:szCs w:val="44"/>
          <w:highlight w:val="none"/>
        </w:rPr>
      </w:pPr>
    </w:p>
    <w:p w14:paraId="15C2ECCB">
      <w:pPr>
        <w:rPr>
          <w:rFonts w:hint="eastAsia" w:ascii="黑体" w:eastAsia="黑体"/>
          <w:color w:val="auto"/>
          <w:szCs w:val="44"/>
          <w:highlight w:val="none"/>
        </w:rPr>
      </w:pPr>
    </w:p>
    <w:p w14:paraId="76099609">
      <w:pPr>
        <w:adjustRightInd w:val="0"/>
        <w:snapToGrid w:val="0"/>
        <w:spacing w:line="440" w:lineRule="exact"/>
        <w:rPr>
          <w:rFonts w:hint="eastAsia" w:ascii="黑体" w:eastAsia="黑体"/>
          <w:color w:val="auto"/>
          <w:sz w:val="24"/>
          <w:szCs w:val="24"/>
          <w:highlight w:val="none"/>
        </w:rPr>
      </w:pPr>
    </w:p>
    <w:p w14:paraId="1918F939">
      <w:pPr>
        <w:widowControl/>
        <w:jc w:val="left"/>
        <w:rPr>
          <w:rFonts w:ascii="黑体" w:eastAsia="黑体"/>
          <w:color w:val="auto"/>
          <w:sz w:val="24"/>
          <w:highlight w:val="none"/>
        </w:rPr>
        <w:sectPr>
          <w:pgSz w:w="16840" w:h="11907" w:orient="landscape"/>
          <w:pgMar w:top="1531" w:right="1588" w:bottom="1474" w:left="1701" w:header="851" w:footer="851" w:gutter="0"/>
          <w:pgNumType w:fmt="decimal"/>
          <w:cols w:space="720" w:num="1"/>
        </w:sectPr>
      </w:pPr>
    </w:p>
    <w:p w14:paraId="18C9BFF0">
      <w:pPr>
        <w:pStyle w:val="33"/>
        <w:rPr>
          <w:rFonts w:hint="eastAsia" w:ascii="Times New Roman"/>
          <w:color w:val="auto"/>
          <w:highlight w:val="none"/>
        </w:rPr>
      </w:pPr>
      <w:bookmarkStart w:id="753" w:name="_Toc28531836"/>
      <w:bookmarkStart w:id="754" w:name="_Toc17481"/>
      <w:r>
        <w:rPr>
          <w:rFonts w:hint="eastAsia"/>
          <w:color w:val="auto"/>
          <w:highlight w:val="none"/>
        </w:rPr>
        <w:t>附表</w:t>
      </w:r>
      <w:r>
        <w:rPr>
          <w:color w:val="auto"/>
          <w:highlight w:val="none"/>
        </w:rPr>
        <w:t xml:space="preserve"> A-2</w:t>
      </w:r>
      <w:r>
        <w:rPr>
          <w:rFonts w:hint="eastAsia"/>
          <w:color w:val="auto"/>
          <w:highlight w:val="none"/>
        </w:rPr>
        <w:t>：评标专家声明书</w:t>
      </w:r>
      <w:bookmarkEnd w:id="753"/>
      <w:bookmarkEnd w:id="754"/>
    </w:p>
    <w:p w14:paraId="198348FE">
      <w:pPr>
        <w:adjustRightInd w:val="0"/>
        <w:snapToGrid w:val="0"/>
        <w:spacing w:line="440" w:lineRule="exact"/>
        <w:rPr>
          <w:rFonts w:ascii="黑体" w:eastAsia="黑体"/>
          <w:color w:val="auto"/>
          <w:sz w:val="24"/>
          <w:highlight w:val="none"/>
        </w:rPr>
      </w:pPr>
    </w:p>
    <w:p w14:paraId="0A4363BB">
      <w:pPr>
        <w:adjustRightInd w:val="0"/>
        <w:snapToGrid w:val="0"/>
        <w:spacing w:line="440" w:lineRule="exact"/>
        <w:rPr>
          <w:rFonts w:hint="eastAsia" w:ascii="黑体" w:eastAsia="黑体"/>
          <w:color w:val="auto"/>
          <w:sz w:val="24"/>
          <w:highlight w:val="none"/>
        </w:rPr>
      </w:pPr>
    </w:p>
    <w:p w14:paraId="0B443D68">
      <w:pPr>
        <w:adjustRightInd w:val="0"/>
        <w:snapToGrid w:val="0"/>
        <w:spacing w:line="440" w:lineRule="exact"/>
        <w:rPr>
          <w:rFonts w:hint="eastAsia" w:ascii="黑体" w:eastAsia="黑体"/>
          <w:color w:val="auto"/>
          <w:sz w:val="24"/>
          <w:highlight w:val="none"/>
        </w:rPr>
      </w:pPr>
    </w:p>
    <w:p w14:paraId="2E532873">
      <w:pPr>
        <w:adjustRightInd w:val="0"/>
        <w:snapToGrid w:val="0"/>
        <w:spacing w:before="240" w:beforeLines="100" w:after="240" w:afterLines="100" w:line="440" w:lineRule="exact"/>
        <w:jc w:val="center"/>
        <w:rPr>
          <w:rFonts w:hint="eastAsia" w:ascii="黑体" w:hAnsi="宋体" w:eastAsia="黑体"/>
          <w:color w:val="auto"/>
          <w:sz w:val="28"/>
          <w:szCs w:val="28"/>
          <w:highlight w:val="none"/>
        </w:rPr>
      </w:pPr>
      <w:r>
        <w:rPr>
          <w:rFonts w:hint="eastAsia" w:ascii="黑体" w:hAnsi="宋体" w:eastAsia="黑体"/>
          <w:color w:val="auto"/>
          <w:sz w:val="28"/>
          <w:szCs w:val="28"/>
          <w:highlight w:val="none"/>
        </w:rPr>
        <w:t>评标专家声明书</w:t>
      </w:r>
    </w:p>
    <w:p w14:paraId="2597B30D">
      <w:pPr>
        <w:spacing w:line="720" w:lineRule="auto"/>
        <w:jc w:val="center"/>
        <w:rPr>
          <w:rFonts w:hint="eastAsia" w:ascii="仿宋_GB2312" w:hAnsi="Times New Roman" w:eastAsia="仿宋_GB2312"/>
          <w:b/>
          <w:color w:val="auto"/>
          <w:sz w:val="28"/>
          <w:szCs w:val="28"/>
          <w:highlight w:val="none"/>
        </w:rPr>
      </w:pPr>
    </w:p>
    <w:p w14:paraId="71814E9A">
      <w:pPr>
        <w:spacing w:line="430" w:lineRule="exact"/>
        <w:ind w:firstLine="420" w:firstLineChars="200"/>
        <w:rPr>
          <w:rFonts w:hint="eastAsia" w:ascii="Times New Roman"/>
          <w:color w:val="auto"/>
          <w:szCs w:val="24"/>
          <w:highlight w:val="none"/>
        </w:rPr>
      </w:pPr>
      <w:r>
        <w:rPr>
          <w:rFonts w:hint="eastAsia"/>
          <w:color w:val="auto"/>
          <w:highlight w:val="none"/>
        </w:rPr>
        <w:t>本人接受招标人邀请，担任</w:t>
      </w:r>
      <w:r>
        <w:rPr>
          <w:color w:val="auto"/>
          <w:highlight w:val="none"/>
        </w:rPr>
        <w:t xml:space="preserve"> </w:t>
      </w:r>
      <w:r>
        <w:rPr>
          <w:color w:val="auto"/>
          <w:highlight w:val="none"/>
          <w:u w:val="single"/>
        </w:rPr>
        <w:t xml:space="preserve">         </w:t>
      </w:r>
      <w:r>
        <w:rPr>
          <w:rFonts w:hint="eastAsia"/>
          <w:color w:val="auto"/>
          <w:highlight w:val="none"/>
        </w:rPr>
        <w:t>（项目名称）</w:t>
      </w:r>
      <w:r>
        <w:rPr>
          <w:color w:val="auto"/>
          <w:highlight w:val="none"/>
          <w:u w:val="single"/>
        </w:rPr>
        <w:t xml:space="preserve">    </w:t>
      </w:r>
      <w:r>
        <w:rPr>
          <w:rFonts w:hint="eastAsia"/>
          <w:color w:val="auto"/>
          <w:highlight w:val="none"/>
        </w:rPr>
        <w:t>（标段名称）施工招标的评标专家。</w:t>
      </w:r>
    </w:p>
    <w:p w14:paraId="7745738E">
      <w:pPr>
        <w:spacing w:line="430" w:lineRule="exact"/>
        <w:ind w:firstLine="420" w:firstLineChars="200"/>
        <w:rPr>
          <w:color w:val="auto"/>
          <w:highlight w:val="none"/>
        </w:rPr>
      </w:pPr>
      <w:r>
        <w:rPr>
          <w:rFonts w:hint="eastAsia"/>
          <w:color w:val="auto"/>
          <w:highlight w:val="none"/>
        </w:rPr>
        <w:t>本人声明：本人在评标前未与招标人、招标代理机构以及任何投标人或者与招标结果有利害关系的人发生可能影响评标结果的接触；在中标结果确定之前，不向外透露对投标文件的评审、中标候选人的推荐情况以及与评标有关的其他情况；不收受招标人超出合理报酬以外的任何现金、有价证券和礼物；不收受关利害关系人的任何财物和好处；不存在按投标人须知第</w:t>
      </w:r>
      <w:r>
        <w:rPr>
          <w:color w:val="auto"/>
          <w:highlight w:val="none"/>
        </w:rPr>
        <w:t>6.1.2</w:t>
      </w:r>
      <w:r>
        <w:rPr>
          <w:rFonts w:hint="eastAsia"/>
          <w:color w:val="auto"/>
          <w:highlight w:val="none"/>
        </w:rPr>
        <w:t>款规定需要回避的情形。</w:t>
      </w:r>
    </w:p>
    <w:p w14:paraId="7394C6C6">
      <w:pPr>
        <w:spacing w:line="430" w:lineRule="exact"/>
        <w:ind w:firstLine="420" w:firstLineChars="200"/>
        <w:rPr>
          <w:color w:val="auto"/>
          <w:highlight w:val="none"/>
        </w:rPr>
      </w:pPr>
      <w:r>
        <w:rPr>
          <w:rFonts w:hint="eastAsia"/>
          <w:color w:val="auto"/>
          <w:highlight w:val="none"/>
        </w:rPr>
        <w:t>本人保证：在评标过程中，遵守有评标纪律，不向招标人征询其确定中标人的意向，不接受任何单位或者个人明示或者暗示提出的倾向或者排斥特定投标人的要求，不对依法应当否决的投标不提出否决意见，不暗示或者诱导投标人作出澄清、说明或者接受投标人主动提出的澄清、说明；服从评标委员会的统一安排；独立、客观、公正地履行评标专家职责。</w:t>
      </w:r>
    </w:p>
    <w:p w14:paraId="3A202A55">
      <w:pPr>
        <w:spacing w:line="430" w:lineRule="exact"/>
        <w:ind w:firstLine="420" w:firstLineChars="200"/>
        <w:rPr>
          <w:color w:val="auto"/>
          <w:highlight w:val="none"/>
        </w:rPr>
      </w:pPr>
      <w:r>
        <w:rPr>
          <w:rFonts w:hint="eastAsia"/>
          <w:color w:val="auto"/>
          <w:highlight w:val="none"/>
        </w:rPr>
        <w:t>本人接受有关行政监督部门依法实施监督。如违反上述承诺或者不能履行评标专家职责，本人愿意承担一切由此带来的法律责任。</w:t>
      </w:r>
    </w:p>
    <w:p w14:paraId="11632190">
      <w:pPr>
        <w:spacing w:line="430" w:lineRule="exact"/>
        <w:ind w:firstLine="420" w:firstLineChars="200"/>
        <w:rPr>
          <w:color w:val="auto"/>
          <w:highlight w:val="none"/>
        </w:rPr>
      </w:pPr>
      <w:r>
        <w:rPr>
          <w:rFonts w:hint="eastAsia"/>
          <w:color w:val="auto"/>
          <w:highlight w:val="none"/>
        </w:rPr>
        <w:t>特此声明。</w:t>
      </w:r>
    </w:p>
    <w:p w14:paraId="6D7A97FB">
      <w:pPr>
        <w:spacing w:line="430" w:lineRule="exact"/>
        <w:ind w:firstLine="420" w:firstLineChars="200"/>
        <w:rPr>
          <w:color w:val="auto"/>
          <w:highlight w:val="none"/>
        </w:rPr>
      </w:pPr>
    </w:p>
    <w:p w14:paraId="60B8BD58">
      <w:pPr>
        <w:spacing w:line="430" w:lineRule="exact"/>
        <w:ind w:firstLine="5145" w:firstLineChars="2450"/>
        <w:rPr>
          <w:color w:val="auto"/>
          <w:highlight w:val="none"/>
        </w:rPr>
      </w:pPr>
      <w:r>
        <w:rPr>
          <w:rFonts w:hint="eastAsia"/>
          <w:color w:val="auto"/>
          <w:highlight w:val="none"/>
        </w:rPr>
        <w:t>评标委员会成员签名：</w:t>
      </w:r>
    </w:p>
    <w:p w14:paraId="0EA928DE">
      <w:pPr>
        <w:spacing w:line="430" w:lineRule="exact"/>
        <w:ind w:firstLine="5460" w:firstLineChars="2600"/>
        <w:rPr>
          <w:color w:val="auto"/>
          <w:highlight w:val="none"/>
        </w:rPr>
      </w:pP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3149E3F8">
      <w:pPr>
        <w:spacing w:line="430" w:lineRule="exact"/>
        <w:ind w:firstLine="5460" w:firstLineChars="2600"/>
        <w:rPr>
          <w:color w:val="auto"/>
          <w:highlight w:val="none"/>
        </w:rPr>
      </w:pPr>
    </w:p>
    <w:p w14:paraId="37FFCF5F">
      <w:pPr>
        <w:spacing w:line="430" w:lineRule="exact"/>
        <w:ind w:firstLine="5460" w:firstLineChars="2600"/>
        <w:rPr>
          <w:color w:val="auto"/>
          <w:highlight w:val="none"/>
        </w:rPr>
      </w:pPr>
    </w:p>
    <w:p w14:paraId="6710EDD3">
      <w:pPr>
        <w:spacing w:line="430" w:lineRule="exact"/>
        <w:ind w:firstLine="5460" w:firstLineChars="2600"/>
        <w:rPr>
          <w:color w:val="auto"/>
          <w:highlight w:val="none"/>
        </w:rPr>
      </w:pPr>
    </w:p>
    <w:p w14:paraId="629A8A70">
      <w:pPr>
        <w:spacing w:line="430" w:lineRule="exact"/>
        <w:ind w:firstLine="5460" w:firstLineChars="2600"/>
        <w:rPr>
          <w:color w:val="auto"/>
          <w:highlight w:val="none"/>
        </w:rPr>
      </w:pPr>
    </w:p>
    <w:p w14:paraId="50D7FC11">
      <w:pPr>
        <w:spacing w:line="430" w:lineRule="exact"/>
        <w:ind w:firstLine="5460" w:firstLineChars="2600"/>
        <w:rPr>
          <w:color w:val="auto"/>
          <w:highlight w:val="none"/>
        </w:rPr>
      </w:pPr>
    </w:p>
    <w:p w14:paraId="667937CF">
      <w:pPr>
        <w:spacing w:line="430" w:lineRule="exact"/>
        <w:ind w:firstLine="5460" w:firstLineChars="2600"/>
        <w:rPr>
          <w:color w:val="auto"/>
          <w:highlight w:val="none"/>
        </w:rPr>
      </w:pPr>
    </w:p>
    <w:p w14:paraId="23027020">
      <w:pPr>
        <w:pStyle w:val="33"/>
        <w:rPr>
          <w:color w:val="auto"/>
          <w:highlight w:val="none"/>
        </w:rPr>
      </w:pPr>
      <w:bookmarkStart w:id="755" w:name="_Toc26595"/>
      <w:bookmarkStart w:id="756" w:name="_Toc28531837"/>
      <w:r>
        <w:rPr>
          <w:rFonts w:hint="eastAsia"/>
          <w:color w:val="auto"/>
          <w:highlight w:val="none"/>
        </w:rPr>
        <w:t>附表</w:t>
      </w:r>
      <w:r>
        <w:rPr>
          <w:color w:val="auto"/>
          <w:highlight w:val="none"/>
        </w:rPr>
        <w:t xml:space="preserve"> A-3</w:t>
      </w:r>
      <w:r>
        <w:rPr>
          <w:rFonts w:hint="eastAsia"/>
          <w:color w:val="auto"/>
          <w:highlight w:val="none"/>
        </w:rPr>
        <w:t>：技术暗标编号确认表（适用于非计算机辅助评标）</w:t>
      </w:r>
      <w:bookmarkEnd w:id="755"/>
      <w:bookmarkEnd w:id="756"/>
    </w:p>
    <w:p w14:paraId="5E142AE8">
      <w:pPr>
        <w:spacing w:after="240" w:afterLines="100"/>
        <w:rPr>
          <w:rFonts w:ascii="宋体" w:hAnsi="宋体"/>
          <w:color w:val="auto"/>
          <w:szCs w:val="44"/>
          <w:highlight w:val="none"/>
        </w:rPr>
      </w:pPr>
    </w:p>
    <w:p w14:paraId="19234FD5">
      <w:pPr>
        <w:adjustRightInd w:val="0"/>
        <w:snapToGrid w:val="0"/>
        <w:spacing w:before="240" w:beforeLines="100" w:after="240" w:afterLines="100" w:line="440" w:lineRule="exact"/>
        <w:jc w:val="center"/>
        <w:rPr>
          <w:rFonts w:hint="eastAsia" w:ascii="黑体" w:hAnsi="宋体" w:eastAsia="黑体"/>
          <w:color w:val="auto"/>
          <w:sz w:val="28"/>
          <w:szCs w:val="28"/>
          <w:highlight w:val="none"/>
        </w:rPr>
      </w:pPr>
    </w:p>
    <w:p w14:paraId="521B26FF">
      <w:pPr>
        <w:adjustRightInd w:val="0"/>
        <w:snapToGrid w:val="0"/>
        <w:spacing w:before="240" w:beforeLines="100" w:after="240" w:afterLines="100" w:line="440" w:lineRule="exact"/>
        <w:jc w:val="center"/>
        <w:rPr>
          <w:rFonts w:hint="eastAsia" w:ascii="黑体" w:hAnsi="宋体" w:eastAsia="黑体"/>
          <w:color w:val="auto"/>
          <w:sz w:val="28"/>
          <w:szCs w:val="28"/>
          <w:highlight w:val="none"/>
        </w:rPr>
      </w:pPr>
      <w:r>
        <w:rPr>
          <w:rFonts w:hint="eastAsia" w:ascii="黑体" w:hAnsi="宋体" w:eastAsia="黑体"/>
          <w:color w:val="auto"/>
          <w:sz w:val="28"/>
          <w:szCs w:val="28"/>
          <w:highlight w:val="none"/>
        </w:rPr>
        <w:t>技术暗标编号确认表</w:t>
      </w:r>
    </w:p>
    <w:p w14:paraId="5322686E">
      <w:pPr>
        <w:adjustRightInd w:val="0"/>
        <w:snapToGrid w:val="0"/>
        <w:spacing w:before="240" w:beforeLines="100" w:after="240" w:afterLines="100" w:line="440" w:lineRule="exact"/>
        <w:jc w:val="center"/>
        <w:rPr>
          <w:rFonts w:hint="eastAsia" w:ascii="黑体" w:hAnsi="宋体" w:eastAsia="黑体"/>
          <w:color w:val="auto"/>
          <w:sz w:val="28"/>
          <w:szCs w:val="28"/>
          <w:highlight w:val="none"/>
        </w:rPr>
      </w:pPr>
    </w:p>
    <w:p w14:paraId="3C0909BF">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2700"/>
        <w:gridCol w:w="5770"/>
      </w:tblGrid>
      <w:tr w14:paraId="48CAC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6CF1AD8B">
            <w:pPr>
              <w:spacing w:line="430" w:lineRule="exact"/>
              <w:rPr>
                <w:color w:val="auto"/>
                <w:szCs w:val="24"/>
                <w:highlight w:val="none"/>
              </w:rPr>
            </w:pPr>
            <w:r>
              <w:rPr>
                <w:rFonts w:hint="eastAsia"/>
                <w:color w:val="auto"/>
                <w:highlight w:val="none"/>
              </w:rPr>
              <w:t>序号</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51D75207">
            <w:pPr>
              <w:spacing w:line="430" w:lineRule="exact"/>
              <w:jc w:val="center"/>
              <w:rPr>
                <w:color w:val="auto"/>
                <w:szCs w:val="24"/>
                <w:highlight w:val="none"/>
              </w:rPr>
            </w:pPr>
            <w:r>
              <w:rPr>
                <w:rFonts w:hint="eastAsia"/>
                <w:color w:val="auto"/>
                <w:highlight w:val="none"/>
              </w:rPr>
              <w:t>暗标编号</w:t>
            </w:r>
          </w:p>
        </w:tc>
        <w:tc>
          <w:tcPr>
            <w:tcW w:w="5770" w:type="dxa"/>
            <w:tcBorders>
              <w:top w:val="single" w:color="auto" w:sz="4" w:space="0"/>
              <w:left w:val="single" w:color="auto" w:sz="4" w:space="0"/>
              <w:bottom w:val="single" w:color="auto" w:sz="4" w:space="0"/>
              <w:right w:val="single" w:color="auto" w:sz="4" w:space="0"/>
            </w:tcBorders>
            <w:noWrap w:val="0"/>
            <w:vAlign w:val="center"/>
          </w:tcPr>
          <w:p w14:paraId="309ADDB1">
            <w:pPr>
              <w:spacing w:line="430" w:lineRule="exact"/>
              <w:jc w:val="center"/>
              <w:rPr>
                <w:color w:val="auto"/>
                <w:szCs w:val="24"/>
                <w:highlight w:val="none"/>
              </w:rPr>
            </w:pPr>
            <w:r>
              <w:rPr>
                <w:rFonts w:hint="eastAsia" w:ascii="宋体" w:hAnsi="宋体" w:cs="Arial"/>
                <w:bCs/>
                <w:color w:val="auto"/>
                <w:szCs w:val="21"/>
                <w:highlight w:val="none"/>
              </w:rPr>
              <w:t>确认的投标单位名称</w:t>
            </w:r>
          </w:p>
        </w:tc>
      </w:tr>
      <w:tr w14:paraId="3372E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24EE118E">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65A81676">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399F54A3">
            <w:pPr>
              <w:spacing w:line="430" w:lineRule="exact"/>
              <w:rPr>
                <w:color w:val="auto"/>
                <w:szCs w:val="24"/>
                <w:highlight w:val="none"/>
              </w:rPr>
            </w:pPr>
          </w:p>
        </w:tc>
      </w:tr>
      <w:tr w14:paraId="760EA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6FA931E8">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114AF2C3">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1D5388D8">
            <w:pPr>
              <w:spacing w:line="430" w:lineRule="exact"/>
              <w:rPr>
                <w:color w:val="auto"/>
                <w:szCs w:val="24"/>
                <w:highlight w:val="none"/>
              </w:rPr>
            </w:pPr>
          </w:p>
        </w:tc>
      </w:tr>
      <w:tr w14:paraId="1C57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12A84339">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1CCA57F0">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79557A7E">
            <w:pPr>
              <w:spacing w:line="430" w:lineRule="exact"/>
              <w:rPr>
                <w:color w:val="auto"/>
                <w:szCs w:val="24"/>
                <w:highlight w:val="none"/>
              </w:rPr>
            </w:pPr>
          </w:p>
        </w:tc>
      </w:tr>
      <w:tr w14:paraId="57B6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74AD7C1A">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7F27EAB8">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7BB00B03">
            <w:pPr>
              <w:spacing w:line="430" w:lineRule="exact"/>
              <w:rPr>
                <w:color w:val="auto"/>
                <w:szCs w:val="24"/>
                <w:highlight w:val="none"/>
              </w:rPr>
            </w:pPr>
          </w:p>
        </w:tc>
      </w:tr>
      <w:tr w14:paraId="3AED1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6BE3BE54">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1CF80C38">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2026A340">
            <w:pPr>
              <w:spacing w:line="430" w:lineRule="exact"/>
              <w:rPr>
                <w:color w:val="auto"/>
                <w:szCs w:val="24"/>
                <w:highlight w:val="none"/>
              </w:rPr>
            </w:pPr>
          </w:p>
        </w:tc>
      </w:tr>
      <w:tr w14:paraId="3A50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0720AA3A">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32BB2005">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2A998C60">
            <w:pPr>
              <w:spacing w:line="430" w:lineRule="exact"/>
              <w:rPr>
                <w:color w:val="auto"/>
                <w:szCs w:val="24"/>
                <w:highlight w:val="none"/>
              </w:rPr>
            </w:pPr>
          </w:p>
        </w:tc>
      </w:tr>
      <w:tr w14:paraId="06DB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0DCE4CD9">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20920EED">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4D8C16AC">
            <w:pPr>
              <w:spacing w:line="430" w:lineRule="exact"/>
              <w:rPr>
                <w:color w:val="auto"/>
                <w:szCs w:val="24"/>
                <w:highlight w:val="none"/>
              </w:rPr>
            </w:pPr>
          </w:p>
        </w:tc>
      </w:tr>
      <w:tr w14:paraId="442BC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1713602E">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0A17482A">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41053124">
            <w:pPr>
              <w:spacing w:line="430" w:lineRule="exact"/>
              <w:rPr>
                <w:color w:val="auto"/>
                <w:szCs w:val="24"/>
                <w:highlight w:val="none"/>
              </w:rPr>
            </w:pPr>
          </w:p>
        </w:tc>
      </w:tr>
      <w:tr w14:paraId="3D286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4408DA16">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24D2081A">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5326E796">
            <w:pPr>
              <w:spacing w:line="430" w:lineRule="exact"/>
              <w:rPr>
                <w:color w:val="auto"/>
                <w:szCs w:val="24"/>
                <w:highlight w:val="none"/>
              </w:rPr>
            </w:pPr>
          </w:p>
        </w:tc>
      </w:tr>
      <w:tr w14:paraId="505EE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noWrap w:val="0"/>
            <w:vAlign w:val="top"/>
          </w:tcPr>
          <w:p w14:paraId="2159FD3B">
            <w:pPr>
              <w:spacing w:line="430" w:lineRule="exact"/>
              <w:rPr>
                <w:color w:val="auto"/>
                <w:szCs w:val="24"/>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589FEAA7">
            <w:pPr>
              <w:spacing w:line="430" w:lineRule="exact"/>
              <w:rPr>
                <w:color w:val="auto"/>
                <w:szCs w:val="24"/>
                <w:highlight w:val="none"/>
              </w:rPr>
            </w:pPr>
          </w:p>
        </w:tc>
        <w:tc>
          <w:tcPr>
            <w:tcW w:w="5770" w:type="dxa"/>
            <w:tcBorders>
              <w:top w:val="single" w:color="auto" w:sz="4" w:space="0"/>
              <w:left w:val="single" w:color="auto" w:sz="4" w:space="0"/>
              <w:bottom w:val="single" w:color="auto" w:sz="4" w:space="0"/>
              <w:right w:val="single" w:color="auto" w:sz="4" w:space="0"/>
            </w:tcBorders>
            <w:noWrap w:val="0"/>
            <w:vAlign w:val="top"/>
          </w:tcPr>
          <w:p w14:paraId="167A048D">
            <w:pPr>
              <w:spacing w:line="430" w:lineRule="exact"/>
              <w:rPr>
                <w:color w:val="auto"/>
                <w:szCs w:val="24"/>
                <w:highlight w:val="none"/>
              </w:rPr>
            </w:pPr>
          </w:p>
        </w:tc>
      </w:tr>
    </w:tbl>
    <w:p w14:paraId="7AC5D05B">
      <w:pPr>
        <w:spacing w:line="430" w:lineRule="exact"/>
        <w:rPr>
          <w:rFonts w:hint="eastAsia" w:ascii="宋体" w:hAnsi="宋体"/>
          <w:color w:val="auto"/>
          <w:szCs w:val="44"/>
          <w:highlight w:val="none"/>
        </w:rPr>
      </w:pPr>
    </w:p>
    <w:p w14:paraId="1D2A3A61">
      <w:pPr>
        <w:spacing w:line="430" w:lineRule="exact"/>
        <w:rPr>
          <w:rFonts w:hint="eastAsia" w:ascii="黑体" w:hAnsi="Times New Roman" w:eastAsia="黑体"/>
          <w:color w:val="auto"/>
          <w:sz w:val="24"/>
          <w:szCs w:val="24"/>
          <w:highlight w:val="none"/>
        </w:rPr>
      </w:pPr>
      <w:r>
        <w:rPr>
          <w:rFonts w:hint="eastAsia" w:ascii="宋体" w:hAnsi="宋体"/>
          <w:color w:val="auto"/>
          <w:szCs w:val="44"/>
          <w:highlight w:val="none"/>
        </w:rPr>
        <w:t>评标委员会全体成员签名：                                  日期：    年    月    日</w:t>
      </w:r>
    </w:p>
    <w:p w14:paraId="2D55DACD">
      <w:pPr>
        <w:widowControl/>
        <w:jc w:val="left"/>
        <w:rPr>
          <w:rFonts w:ascii="黑体" w:eastAsia="黑体"/>
          <w:color w:val="auto"/>
          <w:sz w:val="24"/>
          <w:highlight w:val="none"/>
        </w:rPr>
        <w:sectPr>
          <w:pgSz w:w="11907" w:h="16840"/>
          <w:pgMar w:top="1701" w:right="1531" w:bottom="1588" w:left="1474" w:header="851" w:footer="851" w:gutter="0"/>
          <w:pgNumType w:fmt="decimal"/>
          <w:cols w:space="720" w:num="1"/>
        </w:sectPr>
      </w:pPr>
    </w:p>
    <w:p w14:paraId="4EE1C995">
      <w:pPr>
        <w:pStyle w:val="33"/>
        <w:rPr>
          <w:rFonts w:hint="eastAsia" w:ascii="Times New Roman"/>
          <w:color w:val="auto"/>
          <w:highlight w:val="none"/>
        </w:rPr>
      </w:pPr>
      <w:bookmarkStart w:id="757" w:name="_Toc28531838"/>
      <w:bookmarkStart w:id="758" w:name="_Toc32629"/>
      <w:r>
        <w:rPr>
          <w:rFonts w:hint="eastAsia"/>
          <w:color w:val="auto"/>
          <w:highlight w:val="none"/>
        </w:rPr>
        <w:t>附表</w:t>
      </w:r>
      <w:r>
        <w:rPr>
          <w:color w:val="auto"/>
          <w:highlight w:val="none"/>
        </w:rPr>
        <w:t xml:space="preserve"> A-3</w:t>
      </w:r>
      <w:r>
        <w:rPr>
          <w:rFonts w:hint="eastAsia"/>
          <w:color w:val="auto"/>
          <w:highlight w:val="none"/>
        </w:rPr>
        <w:t>：技术暗标编号确认表（适用于计算机辅助评标）</w:t>
      </w:r>
      <w:bookmarkEnd w:id="757"/>
      <w:bookmarkEnd w:id="758"/>
    </w:p>
    <w:p w14:paraId="64FD91DD">
      <w:pPr>
        <w:adjustRightInd w:val="0"/>
        <w:snapToGrid w:val="0"/>
        <w:spacing w:before="240" w:beforeLines="100" w:after="240" w:afterLines="100" w:line="440" w:lineRule="exact"/>
        <w:jc w:val="center"/>
        <w:rPr>
          <w:rFonts w:ascii="黑体" w:hAnsi="宋体" w:eastAsia="黑体"/>
          <w:color w:val="auto"/>
          <w:sz w:val="28"/>
          <w:szCs w:val="28"/>
          <w:highlight w:val="none"/>
        </w:rPr>
      </w:pPr>
      <w:r>
        <w:rPr>
          <w:rFonts w:hint="eastAsia" w:ascii="黑体" w:hAnsi="宋体" w:eastAsia="黑体"/>
          <w:color w:val="auto"/>
          <w:sz w:val="28"/>
          <w:szCs w:val="28"/>
          <w:highlight w:val="none"/>
        </w:rPr>
        <w:t>技术暗标编号确认表</w:t>
      </w:r>
    </w:p>
    <w:p w14:paraId="155DFF0F">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13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2731"/>
        <w:gridCol w:w="1177"/>
        <w:gridCol w:w="1178"/>
        <w:gridCol w:w="1178"/>
        <w:gridCol w:w="1178"/>
        <w:gridCol w:w="1178"/>
        <w:gridCol w:w="1178"/>
        <w:gridCol w:w="1178"/>
        <w:gridCol w:w="1178"/>
        <w:gridCol w:w="1178"/>
      </w:tblGrid>
      <w:tr w14:paraId="7204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665" w:type="dxa"/>
            <w:tcBorders>
              <w:top w:val="single" w:color="auto" w:sz="4" w:space="0"/>
              <w:left w:val="single" w:color="auto" w:sz="4" w:space="0"/>
              <w:bottom w:val="single" w:color="auto" w:sz="4" w:space="0"/>
              <w:right w:val="single" w:color="auto" w:sz="4" w:space="0"/>
            </w:tcBorders>
            <w:noWrap w:val="0"/>
            <w:vAlign w:val="center"/>
          </w:tcPr>
          <w:p w14:paraId="206BD6F2">
            <w:pPr>
              <w:jc w:val="center"/>
              <w:rPr>
                <w:rFonts w:ascii="宋体" w:hAnsi="宋体"/>
                <w:color w:val="auto"/>
                <w:szCs w:val="44"/>
                <w:highlight w:val="none"/>
              </w:rPr>
            </w:pPr>
            <w:r>
              <w:rPr>
                <w:rFonts w:hint="eastAsia" w:ascii="宋体" w:hAnsi="宋体"/>
                <w:color w:val="auto"/>
                <w:szCs w:val="44"/>
                <w:highlight w:val="none"/>
              </w:rPr>
              <w:t>序号</w:t>
            </w:r>
          </w:p>
        </w:tc>
        <w:tc>
          <w:tcPr>
            <w:tcW w:w="2731" w:type="dxa"/>
            <w:tcBorders>
              <w:top w:val="single" w:color="auto" w:sz="4" w:space="0"/>
              <w:left w:val="single" w:color="auto" w:sz="4" w:space="0"/>
              <w:bottom w:val="single" w:color="auto" w:sz="4" w:space="0"/>
              <w:right w:val="single" w:color="auto" w:sz="4" w:space="0"/>
            </w:tcBorders>
            <w:noWrap w:val="0"/>
            <w:vAlign w:val="center"/>
          </w:tcPr>
          <w:p w14:paraId="58310E10">
            <w:pPr>
              <w:jc w:val="center"/>
              <w:rPr>
                <w:rFonts w:ascii="宋体" w:hAnsi="宋体"/>
                <w:color w:val="auto"/>
                <w:szCs w:val="44"/>
                <w:highlight w:val="none"/>
              </w:rPr>
            </w:pPr>
            <w:r>
              <w:rPr>
                <w:rFonts w:hint="eastAsia" w:ascii="宋体" w:hAnsi="宋体"/>
                <w:color w:val="auto"/>
                <w:szCs w:val="44"/>
                <w:highlight w:val="none"/>
              </w:rPr>
              <w:t>施工组织设计模块名称</w:t>
            </w:r>
          </w:p>
        </w:tc>
        <w:tc>
          <w:tcPr>
            <w:tcW w:w="10601" w:type="dxa"/>
            <w:gridSpan w:val="9"/>
            <w:tcBorders>
              <w:top w:val="single" w:color="auto" w:sz="4" w:space="0"/>
              <w:left w:val="single" w:color="auto" w:sz="4" w:space="0"/>
              <w:bottom w:val="single" w:color="auto" w:sz="4" w:space="0"/>
              <w:right w:val="single" w:color="auto" w:sz="4" w:space="0"/>
            </w:tcBorders>
            <w:noWrap w:val="0"/>
            <w:vAlign w:val="center"/>
          </w:tcPr>
          <w:p w14:paraId="2BA25E71">
            <w:pPr>
              <w:jc w:val="center"/>
              <w:rPr>
                <w:rFonts w:ascii="宋体" w:hAnsi="宋体"/>
                <w:color w:val="auto"/>
                <w:szCs w:val="44"/>
                <w:highlight w:val="none"/>
              </w:rPr>
            </w:pPr>
            <w:r>
              <w:rPr>
                <w:rFonts w:hint="eastAsia" w:ascii="宋体" w:hAnsi="宋体"/>
                <w:color w:val="auto"/>
                <w:szCs w:val="44"/>
                <w:highlight w:val="none"/>
              </w:rPr>
              <w:t>投标人名称及模块暗标编号</w:t>
            </w:r>
          </w:p>
        </w:tc>
      </w:tr>
      <w:tr w14:paraId="2E44B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5759E17C">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49D28030">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2BC19D16">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40523BF">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671B589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FDB72E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666EC07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F89AF7F">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2DFB634">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6DCAA3FD">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448F3F4">
            <w:pPr>
              <w:spacing w:after="240" w:afterLines="100"/>
              <w:rPr>
                <w:rFonts w:ascii="黑体" w:eastAsia="黑体"/>
                <w:color w:val="auto"/>
                <w:sz w:val="24"/>
                <w:szCs w:val="24"/>
                <w:highlight w:val="none"/>
              </w:rPr>
            </w:pPr>
          </w:p>
        </w:tc>
      </w:tr>
      <w:tr w14:paraId="3F46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56083F67">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3B0A787A">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3D231C2C">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6E6D60DB">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C84E1D4">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79A685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098FF7B">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21EE14B">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6E58AFF7">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114E1E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44345A2">
            <w:pPr>
              <w:spacing w:after="240" w:afterLines="100"/>
              <w:rPr>
                <w:rFonts w:ascii="黑体" w:eastAsia="黑体"/>
                <w:color w:val="auto"/>
                <w:sz w:val="24"/>
                <w:szCs w:val="24"/>
                <w:highlight w:val="none"/>
              </w:rPr>
            </w:pPr>
          </w:p>
        </w:tc>
      </w:tr>
      <w:tr w14:paraId="5289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06C16C5D">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10F79725">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0E5C04EE">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707682C">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2DE9499">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CCDBEA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62B0EE9">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2DC3869">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2A212D7">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0915396">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06D409F">
            <w:pPr>
              <w:spacing w:after="240" w:afterLines="100"/>
              <w:rPr>
                <w:rFonts w:ascii="黑体" w:eastAsia="黑体"/>
                <w:color w:val="auto"/>
                <w:sz w:val="24"/>
                <w:szCs w:val="24"/>
                <w:highlight w:val="none"/>
              </w:rPr>
            </w:pPr>
          </w:p>
        </w:tc>
      </w:tr>
      <w:tr w14:paraId="0A34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4EC92959">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289A1D32">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68F5EC8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811A73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D4215E0">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5C89F04">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6BAF9E1">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DA5203F">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B609106">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72EFD09">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3973286">
            <w:pPr>
              <w:spacing w:after="240" w:afterLines="100"/>
              <w:rPr>
                <w:rFonts w:ascii="黑体" w:eastAsia="黑体"/>
                <w:color w:val="auto"/>
                <w:sz w:val="24"/>
                <w:szCs w:val="24"/>
                <w:highlight w:val="none"/>
              </w:rPr>
            </w:pPr>
          </w:p>
        </w:tc>
      </w:tr>
      <w:tr w14:paraId="1AF8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1E473E07">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1EAEAFB6">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03E8D561">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F8EA29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6FCD6B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E89CF65">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688C8DD">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6936BFED">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CB48D1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17CA3FF">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157A17E">
            <w:pPr>
              <w:spacing w:after="240" w:afterLines="100"/>
              <w:rPr>
                <w:rFonts w:ascii="黑体" w:eastAsia="黑体"/>
                <w:color w:val="auto"/>
                <w:sz w:val="24"/>
                <w:szCs w:val="24"/>
                <w:highlight w:val="none"/>
              </w:rPr>
            </w:pPr>
          </w:p>
        </w:tc>
      </w:tr>
      <w:tr w14:paraId="2ABA3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45AEE0D9">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3B678F45">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7DFCFD61">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6D010C6">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7EFCF11">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5E7B94B">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C595326">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3D3CD0F">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23F7A2C">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51EECA3B">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9A70002">
            <w:pPr>
              <w:spacing w:after="240" w:afterLines="100"/>
              <w:rPr>
                <w:rFonts w:ascii="黑体" w:eastAsia="黑体"/>
                <w:color w:val="auto"/>
                <w:sz w:val="24"/>
                <w:szCs w:val="24"/>
                <w:highlight w:val="none"/>
              </w:rPr>
            </w:pPr>
          </w:p>
        </w:tc>
      </w:tr>
      <w:tr w14:paraId="140C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0A6AB3BB">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5BA405AB">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2478A75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4770CDE">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A96C8C9">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612ECEE">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670B6EA">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365F087">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02ED585">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4E558F3">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2D52475">
            <w:pPr>
              <w:spacing w:after="240" w:afterLines="100"/>
              <w:rPr>
                <w:rFonts w:ascii="黑体" w:eastAsia="黑体"/>
                <w:color w:val="auto"/>
                <w:sz w:val="24"/>
                <w:szCs w:val="24"/>
                <w:highlight w:val="none"/>
              </w:rPr>
            </w:pPr>
          </w:p>
        </w:tc>
      </w:tr>
      <w:tr w14:paraId="4508F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0B707D77">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437F8859">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593F70D4">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57D53F1A">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941A8F1">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D4BE56D">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144FBC7">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6AAE189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098865D">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CE26F09">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F29C09C">
            <w:pPr>
              <w:spacing w:after="240" w:afterLines="100"/>
              <w:rPr>
                <w:rFonts w:ascii="黑体" w:eastAsia="黑体"/>
                <w:color w:val="auto"/>
                <w:sz w:val="24"/>
                <w:szCs w:val="24"/>
                <w:highlight w:val="none"/>
              </w:rPr>
            </w:pPr>
          </w:p>
        </w:tc>
      </w:tr>
      <w:tr w14:paraId="1C75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op w:val="single" w:color="auto" w:sz="4" w:space="0"/>
              <w:left w:val="single" w:color="auto" w:sz="4" w:space="0"/>
              <w:bottom w:val="single" w:color="auto" w:sz="4" w:space="0"/>
              <w:right w:val="single" w:color="auto" w:sz="4" w:space="0"/>
            </w:tcBorders>
            <w:noWrap w:val="0"/>
            <w:vAlign w:val="top"/>
          </w:tcPr>
          <w:p w14:paraId="547FDC3D">
            <w:pPr>
              <w:spacing w:after="240" w:afterLines="100"/>
              <w:rPr>
                <w:rFonts w:ascii="黑体" w:eastAsia="黑体"/>
                <w:color w:val="auto"/>
                <w:sz w:val="24"/>
                <w:szCs w:val="24"/>
                <w:highlight w:val="none"/>
              </w:rPr>
            </w:pPr>
          </w:p>
        </w:tc>
        <w:tc>
          <w:tcPr>
            <w:tcW w:w="2731" w:type="dxa"/>
            <w:tcBorders>
              <w:top w:val="single" w:color="auto" w:sz="4" w:space="0"/>
              <w:left w:val="single" w:color="auto" w:sz="4" w:space="0"/>
              <w:bottom w:val="single" w:color="auto" w:sz="4" w:space="0"/>
              <w:right w:val="single" w:color="auto" w:sz="4" w:space="0"/>
            </w:tcBorders>
            <w:noWrap w:val="0"/>
            <w:vAlign w:val="top"/>
          </w:tcPr>
          <w:p w14:paraId="4D46D394">
            <w:pPr>
              <w:spacing w:after="240" w:afterLines="100"/>
              <w:rPr>
                <w:rFonts w:ascii="黑体" w:eastAsia="黑体"/>
                <w:color w:val="auto"/>
                <w:sz w:val="24"/>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top"/>
          </w:tcPr>
          <w:p w14:paraId="5626DC47">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574658FD">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5A2861B9">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F39A0A4">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760A71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B083FFA">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307A848">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11000A6">
            <w:pPr>
              <w:spacing w:after="240" w:afterLines="100"/>
              <w:rPr>
                <w:rFonts w:ascii="黑体" w:eastAsia="黑体"/>
                <w:color w:val="auto"/>
                <w:sz w:val="24"/>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B4A3AE2">
            <w:pPr>
              <w:spacing w:after="240" w:afterLines="100"/>
              <w:rPr>
                <w:rFonts w:ascii="黑体" w:eastAsia="黑体"/>
                <w:color w:val="auto"/>
                <w:sz w:val="24"/>
                <w:szCs w:val="24"/>
                <w:highlight w:val="none"/>
              </w:rPr>
            </w:pPr>
          </w:p>
        </w:tc>
      </w:tr>
    </w:tbl>
    <w:p w14:paraId="4B579FE9">
      <w:pPr>
        <w:rPr>
          <w:rFonts w:hint="eastAsia" w:ascii="宋体" w:hAnsi="宋体"/>
          <w:color w:val="auto"/>
          <w:szCs w:val="44"/>
          <w:highlight w:val="none"/>
        </w:rPr>
      </w:pPr>
    </w:p>
    <w:p w14:paraId="19CED6D6">
      <w:pPr>
        <w:rPr>
          <w:rFonts w:hint="eastAsia" w:ascii="宋体" w:hAnsi="宋体"/>
          <w:color w:val="auto"/>
          <w:szCs w:val="44"/>
          <w:highlight w:val="none"/>
        </w:rPr>
      </w:pPr>
      <w:r>
        <w:rPr>
          <w:rFonts w:hint="eastAsia" w:ascii="宋体" w:hAnsi="宋体"/>
          <w:color w:val="auto"/>
          <w:szCs w:val="44"/>
          <w:highlight w:val="none"/>
        </w:rPr>
        <w:t>评标委员会全体成员签名：                                                                                日期：    年    月    日</w:t>
      </w:r>
    </w:p>
    <w:p w14:paraId="756FD280">
      <w:pPr>
        <w:spacing w:after="240" w:afterLines="100"/>
        <w:rPr>
          <w:rFonts w:hint="eastAsia" w:ascii="黑体" w:hAnsi="Times New Roman" w:eastAsia="黑体"/>
          <w:color w:val="auto"/>
          <w:sz w:val="24"/>
          <w:szCs w:val="24"/>
          <w:highlight w:val="none"/>
        </w:rPr>
      </w:pPr>
    </w:p>
    <w:p w14:paraId="079F33A1">
      <w:pPr>
        <w:pStyle w:val="33"/>
        <w:rPr>
          <w:rFonts w:hint="eastAsia" w:ascii="Times New Roman"/>
          <w:color w:val="auto"/>
          <w:highlight w:val="none"/>
        </w:rPr>
      </w:pPr>
      <w:bookmarkStart w:id="759" w:name="_Toc656"/>
      <w:bookmarkStart w:id="760" w:name="_Toc28531839"/>
      <w:r>
        <w:rPr>
          <w:rFonts w:hint="eastAsia"/>
          <w:color w:val="auto"/>
          <w:highlight w:val="none"/>
        </w:rPr>
        <w:t>附表</w:t>
      </w:r>
      <w:r>
        <w:rPr>
          <w:color w:val="auto"/>
          <w:highlight w:val="none"/>
        </w:rPr>
        <w:t>A-4</w:t>
      </w:r>
      <w:r>
        <w:rPr>
          <w:rFonts w:hint="eastAsia"/>
          <w:color w:val="auto"/>
          <w:highlight w:val="none"/>
        </w:rPr>
        <w:t>：形式评审记录表</w:t>
      </w:r>
      <w:bookmarkEnd w:id="759"/>
      <w:bookmarkEnd w:id="760"/>
    </w:p>
    <w:p w14:paraId="70CE4E82">
      <w:pPr>
        <w:spacing w:after="240" w:afterLines="100"/>
        <w:jc w:val="center"/>
        <w:rPr>
          <w:rFonts w:ascii="黑体" w:eastAsia="黑体"/>
          <w:color w:val="auto"/>
          <w:sz w:val="28"/>
          <w:szCs w:val="28"/>
          <w:highlight w:val="none"/>
        </w:rPr>
      </w:pPr>
      <w:r>
        <w:rPr>
          <w:rFonts w:hint="eastAsia" w:ascii="黑体" w:eastAsia="黑体"/>
          <w:color w:val="auto"/>
          <w:sz w:val="28"/>
          <w:szCs w:val="28"/>
          <w:highlight w:val="none"/>
        </w:rPr>
        <w:t>形式评审记录表</w:t>
      </w:r>
    </w:p>
    <w:p w14:paraId="74478F32">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p w14:paraId="394ED875">
      <w:pPr>
        <w:spacing w:after="240" w:afterLines="100"/>
        <w:rPr>
          <w:rFonts w:hint="eastAsia" w:ascii="宋体" w:hAnsi="宋体"/>
          <w:color w:val="auto"/>
          <w:szCs w:val="4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800"/>
        <w:gridCol w:w="2700"/>
        <w:gridCol w:w="797"/>
        <w:gridCol w:w="978"/>
        <w:gridCol w:w="978"/>
        <w:gridCol w:w="977"/>
        <w:gridCol w:w="978"/>
        <w:gridCol w:w="978"/>
        <w:gridCol w:w="977"/>
        <w:gridCol w:w="978"/>
        <w:gridCol w:w="978"/>
      </w:tblGrid>
      <w:tr w14:paraId="39C0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restart"/>
            <w:tcBorders>
              <w:top w:val="single" w:color="auto" w:sz="4" w:space="0"/>
              <w:left w:val="single" w:color="auto" w:sz="4" w:space="0"/>
              <w:bottom w:val="single" w:color="auto" w:sz="4" w:space="0"/>
              <w:right w:val="single" w:color="auto" w:sz="4" w:space="0"/>
            </w:tcBorders>
            <w:noWrap w:val="0"/>
            <w:vAlign w:val="center"/>
          </w:tcPr>
          <w:p w14:paraId="29FA62C5">
            <w:pPr>
              <w:jc w:val="center"/>
              <w:rPr>
                <w:rFonts w:ascii="宋体" w:hAnsi="宋体"/>
                <w:color w:val="auto"/>
                <w:szCs w:val="44"/>
                <w:highlight w:val="none"/>
              </w:rPr>
            </w:pPr>
            <w:r>
              <w:rPr>
                <w:rFonts w:hint="eastAsia" w:ascii="宋体" w:hAnsi="宋体"/>
                <w:color w:val="auto"/>
                <w:szCs w:val="44"/>
                <w:highlight w:val="none"/>
              </w:rPr>
              <w:t>序号</w:t>
            </w:r>
          </w:p>
        </w:tc>
        <w:tc>
          <w:tcPr>
            <w:tcW w:w="1800" w:type="dxa"/>
            <w:vMerge w:val="restart"/>
            <w:tcBorders>
              <w:top w:val="single" w:color="auto" w:sz="4" w:space="0"/>
              <w:left w:val="single" w:color="auto" w:sz="4" w:space="0"/>
              <w:bottom w:val="single" w:color="auto" w:sz="4" w:space="0"/>
              <w:right w:val="single" w:color="auto" w:sz="4" w:space="0"/>
            </w:tcBorders>
            <w:noWrap w:val="0"/>
            <w:vAlign w:val="center"/>
          </w:tcPr>
          <w:p w14:paraId="4E81128C">
            <w:pPr>
              <w:jc w:val="center"/>
              <w:rPr>
                <w:rFonts w:ascii="宋体" w:hAnsi="宋体"/>
                <w:color w:val="auto"/>
                <w:szCs w:val="44"/>
                <w:highlight w:val="none"/>
              </w:rPr>
            </w:pPr>
            <w:r>
              <w:rPr>
                <w:rFonts w:hint="eastAsia" w:ascii="宋体" w:hAnsi="宋体"/>
                <w:color w:val="auto"/>
                <w:szCs w:val="44"/>
                <w:highlight w:val="none"/>
              </w:rPr>
              <w:t>评审因素</w:t>
            </w:r>
          </w:p>
        </w:tc>
        <w:tc>
          <w:tcPr>
            <w:tcW w:w="2700" w:type="dxa"/>
            <w:vMerge w:val="restart"/>
            <w:tcBorders>
              <w:top w:val="single" w:color="auto" w:sz="4" w:space="0"/>
              <w:left w:val="single" w:color="auto" w:sz="4" w:space="0"/>
              <w:bottom w:val="single" w:color="auto" w:sz="4" w:space="0"/>
              <w:right w:val="single" w:color="auto" w:sz="4" w:space="0"/>
            </w:tcBorders>
            <w:noWrap w:val="0"/>
            <w:vAlign w:val="center"/>
          </w:tcPr>
          <w:p w14:paraId="6CE297D3">
            <w:pPr>
              <w:jc w:val="center"/>
              <w:rPr>
                <w:rFonts w:ascii="宋体" w:hAnsi="宋体"/>
                <w:color w:val="auto"/>
                <w:szCs w:val="44"/>
                <w:highlight w:val="none"/>
              </w:rPr>
            </w:pPr>
            <w:r>
              <w:rPr>
                <w:rFonts w:hint="eastAsia" w:ascii="宋体" w:hAnsi="宋体"/>
                <w:color w:val="auto"/>
                <w:szCs w:val="44"/>
                <w:highlight w:val="none"/>
              </w:rPr>
              <w:t>评审标准</w:t>
            </w:r>
          </w:p>
        </w:tc>
        <w:tc>
          <w:tcPr>
            <w:tcW w:w="8619" w:type="dxa"/>
            <w:gridSpan w:val="9"/>
            <w:tcBorders>
              <w:top w:val="single" w:color="auto" w:sz="4" w:space="0"/>
              <w:left w:val="single" w:color="auto" w:sz="4" w:space="0"/>
              <w:bottom w:val="single" w:color="auto" w:sz="4" w:space="0"/>
              <w:right w:val="single" w:color="auto" w:sz="4" w:space="0"/>
            </w:tcBorders>
            <w:noWrap w:val="0"/>
            <w:vAlign w:val="center"/>
          </w:tcPr>
          <w:p w14:paraId="5A28E796">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6899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0DCD43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46EB811">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81EA0E0">
            <w:pPr>
              <w:widowControl/>
              <w:jc w:val="left"/>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24820696">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651EB616">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4D6EF508">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784C0497">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4293CC0E">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74295A3">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0619E885">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F01B856">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DB34D08">
            <w:pPr>
              <w:jc w:val="center"/>
              <w:rPr>
                <w:rFonts w:ascii="宋体" w:hAnsi="宋体"/>
                <w:color w:val="auto"/>
                <w:szCs w:val="44"/>
                <w:highlight w:val="none"/>
              </w:rPr>
            </w:pPr>
          </w:p>
        </w:tc>
      </w:tr>
      <w:tr w14:paraId="3EB3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421E21E1">
            <w:pPr>
              <w:jc w:val="center"/>
              <w:rPr>
                <w:rFonts w:ascii="黑体" w:hAnsi="宋体" w:eastAsia="黑体"/>
                <w:color w:val="auto"/>
                <w:szCs w:val="44"/>
                <w:highlight w:val="none"/>
              </w:rPr>
            </w:pPr>
            <w:r>
              <w:rPr>
                <w:rFonts w:hint="eastAsia" w:ascii="黑体" w:hAnsi="宋体" w:eastAsia="黑体"/>
                <w:color w:val="auto"/>
                <w:szCs w:val="44"/>
                <w:highlight w:val="none"/>
              </w:rPr>
              <w:t>1</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0F38CD2">
            <w:pPr>
              <w:jc w:val="center"/>
              <w:rPr>
                <w:rFonts w:ascii="宋体" w:hAnsi="宋体"/>
                <w:color w:val="auto"/>
                <w:szCs w:val="21"/>
                <w:highlight w:val="none"/>
              </w:rPr>
            </w:pPr>
            <w:r>
              <w:rPr>
                <w:rFonts w:hint="eastAsia" w:ascii="宋体" w:hAnsi="宋体"/>
                <w:color w:val="auto"/>
                <w:szCs w:val="21"/>
                <w:highlight w:val="none"/>
              </w:rPr>
              <w:t>投标文件</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1A516D47">
            <w:pPr>
              <w:rPr>
                <w:rFonts w:ascii="宋体" w:hAnsi="宋体"/>
                <w:color w:val="auto"/>
                <w:szCs w:val="21"/>
                <w:highlight w:val="none"/>
              </w:rPr>
            </w:pPr>
            <w:r>
              <w:rPr>
                <w:rFonts w:hint="eastAsia" w:ascii="宋体" w:hAnsi="宋体"/>
                <w:color w:val="auto"/>
                <w:szCs w:val="21"/>
                <w:highlight w:val="none"/>
              </w:rPr>
              <w:t>投标文件能正常</w:t>
            </w:r>
            <w:r>
              <w:rPr>
                <w:rFonts w:hint="eastAsia" w:ascii="宋体" w:hAnsi="宋体"/>
                <w:color w:val="auto"/>
                <w:highlight w:val="none"/>
              </w:rPr>
              <w:t>打开</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45159E07">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5E70298">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76C1AFDF">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63066C63">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F2BEA0D">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B121D40">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03D12446">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79CC5500">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0FB557E">
            <w:pPr>
              <w:jc w:val="center"/>
              <w:rPr>
                <w:rFonts w:ascii="宋体" w:hAnsi="宋体"/>
                <w:color w:val="auto"/>
                <w:szCs w:val="44"/>
                <w:highlight w:val="none"/>
              </w:rPr>
            </w:pPr>
          </w:p>
        </w:tc>
      </w:tr>
      <w:tr w14:paraId="261E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661A1839">
            <w:pPr>
              <w:jc w:val="center"/>
              <w:rPr>
                <w:rFonts w:ascii="黑体" w:hAnsi="宋体" w:eastAsia="黑体"/>
                <w:color w:val="auto"/>
                <w:szCs w:val="44"/>
                <w:highlight w:val="none"/>
              </w:rPr>
            </w:pPr>
            <w:r>
              <w:rPr>
                <w:rFonts w:hint="eastAsia" w:ascii="黑体" w:hAnsi="宋体" w:eastAsia="黑体"/>
                <w:color w:val="auto"/>
                <w:szCs w:val="44"/>
                <w:highlight w:val="none"/>
              </w:rPr>
              <w:t>2</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AB57E3A">
            <w:pPr>
              <w:jc w:val="center"/>
              <w:rPr>
                <w:rFonts w:ascii="宋体" w:hAnsi="宋体"/>
                <w:color w:val="auto"/>
                <w:szCs w:val="44"/>
                <w:highlight w:val="none"/>
              </w:rPr>
            </w:pPr>
            <w:r>
              <w:rPr>
                <w:rFonts w:hint="eastAsia" w:ascii="宋体" w:hAnsi="宋体"/>
                <w:color w:val="auto"/>
                <w:szCs w:val="44"/>
                <w:highlight w:val="none"/>
              </w:rPr>
              <w:t>投标人名称</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4CE23394">
            <w:pPr>
              <w:rPr>
                <w:color w:val="auto"/>
                <w:szCs w:val="24"/>
                <w:highlight w:val="none"/>
              </w:rPr>
            </w:pPr>
            <w:r>
              <w:rPr>
                <w:rFonts w:hint="eastAsia"/>
                <w:color w:val="auto"/>
                <w:highlight w:val="none"/>
              </w:rPr>
              <w:t>与营业执照、资质证书、安全生产许可证一致</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36BF9F0D">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3CF136B">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774314F">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467E6027">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9BEB970">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77A12D8D">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0308EF2A">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599A485E">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4F3771D9">
            <w:pPr>
              <w:jc w:val="center"/>
              <w:rPr>
                <w:rFonts w:ascii="宋体" w:hAnsi="宋体"/>
                <w:color w:val="auto"/>
                <w:szCs w:val="44"/>
                <w:highlight w:val="none"/>
              </w:rPr>
            </w:pPr>
          </w:p>
        </w:tc>
      </w:tr>
      <w:tr w14:paraId="47E0C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087E4661">
            <w:pPr>
              <w:jc w:val="center"/>
              <w:rPr>
                <w:rFonts w:ascii="黑体" w:hAnsi="宋体" w:eastAsia="黑体"/>
                <w:color w:val="auto"/>
                <w:szCs w:val="44"/>
                <w:highlight w:val="none"/>
              </w:rPr>
            </w:pPr>
            <w:r>
              <w:rPr>
                <w:rFonts w:hint="eastAsia" w:ascii="黑体" w:hAnsi="宋体" w:eastAsia="黑体"/>
                <w:color w:val="auto"/>
                <w:szCs w:val="44"/>
                <w:highlight w:val="none"/>
              </w:rPr>
              <w:t>3</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757132B3">
            <w:pPr>
              <w:jc w:val="center"/>
              <w:rPr>
                <w:rFonts w:ascii="宋体" w:hAnsi="宋体"/>
                <w:color w:val="auto"/>
                <w:szCs w:val="21"/>
                <w:highlight w:val="none"/>
              </w:rPr>
            </w:pPr>
            <w:r>
              <w:rPr>
                <w:rFonts w:hint="eastAsia" w:ascii="宋体" w:hAnsi="宋体"/>
                <w:color w:val="auto"/>
                <w:szCs w:val="21"/>
                <w:highlight w:val="none"/>
              </w:rPr>
              <w:t>投标文件</w:t>
            </w:r>
          </w:p>
          <w:p w14:paraId="4DCA951E">
            <w:pPr>
              <w:jc w:val="center"/>
              <w:rPr>
                <w:rFonts w:ascii="宋体" w:hAnsi="宋体"/>
                <w:color w:val="auto"/>
                <w:szCs w:val="44"/>
                <w:highlight w:val="none"/>
              </w:rPr>
            </w:pPr>
            <w:r>
              <w:rPr>
                <w:rFonts w:hint="eastAsia" w:ascii="宋体" w:hAnsi="宋体"/>
                <w:color w:val="auto"/>
                <w:szCs w:val="44"/>
                <w:highlight w:val="none"/>
              </w:rPr>
              <w:t>签字盖章</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09E01356">
            <w:pPr>
              <w:rPr>
                <w:color w:val="auto"/>
                <w:szCs w:val="24"/>
                <w:highlight w:val="none"/>
              </w:rPr>
            </w:pPr>
            <w:r>
              <w:rPr>
                <w:rFonts w:hint="eastAsia" w:ascii="宋体" w:hAnsi="宋体"/>
                <w:color w:val="auto"/>
                <w:szCs w:val="21"/>
                <w:highlight w:val="none"/>
              </w:rPr>
              <w:t>符合第二章“投标人须知”第3.7.3（5）目规定</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76F00793">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DCD0C27">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42A13F2C">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447F2012">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A674FC6">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E97F1FE">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2365E10D">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76D1F49C">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6894393C">
            <w:pPr>
              <w:jc w:val="center"/>
              <w:rPr>
                <w:rFonts w:ascii="宋体" w:hAnsi="宋体"/>
                <w:color w:val="auto"/>
                <w:szCs w:val="44"/>
                <w:highlight w:val="none"/>
              </w:rPr>
            </w:pPr>
          </w:p>
        </w:tc>
      </w:tr>
      <w:tr w14:paraId="6171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3360A3B4">
            <w:pPr>
              <w:jc w:val="center"/>
              <w:rPr>
                <w:rFonts w:ascii="黑体" w:hAnsi="宋体" w:eastAsia="黑体"/>
                <w:color w:val="auto"/>
                <w:szCs w:val="44"/>
                <w:highlight w:val="none"/>
              </w:rPr>
            </w:pPr>
            <w:r>
              <w:rPr>
                <w:rFonts w:hint="eastAsia" w:ascii="黑体" w:hAnsi="宋体" w:eastAsia="黑体"/>
                <w:color w:val="auto"/>
                <w:szCs w:val="44"/>
                <w:highlight w:val="none"/>
              </w:rPr>
              <w:t>4</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42A9C12">
            <w:pPr>
              <w:jc w:val="center"/>
              <w:rPr>
                <w:rFonts w:ascii="宋体" w:hAnsi="宋体"/>
                <w:color w:val="auto"/>
                <w:szCs w:val="21"/>
                <w:highlight w:val="none"/>
              </w:rPr>
            </w:pPr>
            <w:r>
              <w:rPr>
                <w:rFonts w:hint="eastAsia" w:ascii="宋体" w:hAnsi="宋体"/>
                <w:color w:val="auto"/>
                <w:szCs w:val="44"/>
                <w:highlight w:val="none"/>
              </w:rPr>
              <w:t>投标文件格式</w:t>
            </w:r>
            <w:r>
              <w:rPr>
                <w:rFonts w:hint="eastAsia" w:ascii="宋体" w:hAnsi="宋体"/>
                <w:color w:val="auto"/>
                <w:szCs w:val="21"/>
                <w:highlight w:val="none"/>
              </w:rPr>
              <w:t>、</w:t>
            </w:r>
          </w:p>
          <w:p w14:paraId="5C06959B">
            <w:pPr>
              <w:jc w:val="center"/>
              <w:rPr>
                <w:rFonts w:ascii="宋体" w:hAnsi="宋体"/>
                <w:color w:val="auto"/>
                <w:szCs w:val="44"/>
                <w:highlight w:val="none"/>
              </w:rPr>
            </w:pPr>
            <w:r>
              <w:rPr>
                <w:rFonts w:hint="eastAsia" w:ascii="宋体" w:hAnsi="宋体"/>
                <w:color w:val="auto"/>
                <w:szCs w:val="21"/>
                <w:highlight w:val="none"/>
              </w:rPr>
              <w:t>内容</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3EB6800B">
            <w:pPr>
              <w:rPr>
                <w:color w:val="auto"/>
                <w:szCs w:val="24"/>
                <w:highlight w:val="none"/>
              </w:rPr>
            </w:pPr>
            <w:r>
              <w:rPr>
                <w:rFonts w:hint="eastAsia"/>
                <w:color w:val="auto"/>
                <w:highlight w:val="none"/>
              </w:rPr>
              <w:t>符合第八章</w:t>
            </w:r>
            <w:r>
              <w:rPr>
                <w:color w:val="auto"/>
                <w:highlight w:val="none"/>
              </w:rPr>
              <w:t>“</w:t>
            </w:r>
            <w:r>
              <w:rPr>
                <w:rFonts w:hint="eastAsia"/>
                <w:color w:val="auto"/>
                <w:highlight w:val="none"/>
              </w:rPr>
              <w:t>投标文件格式</w:t>
            </w:r>
            <w:r>
              <w:rPr>
                <w:color w:val="auto"/>
                <w:highlight w:val="none"/>
              </w:rPr>
              <w:t>”</w:t>
            </w:r>
            <w:r>
              <w:rPr>
                <w:rFonts w:hint="eastAsia"/>
                <w:color w:val="auto"/>
                <w:highlight w:val="none"/>
              </w:rPr>
              <w:t>的要求</w:t>
            </w:r>
            <w:r>
              <w:rPr>
                <w:rFonts w:hint="eastAsia" w:ascii="宋体" w:hAnsi="宋体"/>
                <w:color w:val="auto"/>
                <w:szCs w:val="21"/>
                <w:highlight w:val="none"/>
              </w:rPr>
              <w:t>，实质性内容齐全、关键字迹清晰可辨</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6BAC541C">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A7E088C">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74059E94">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57C28E00">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C46560B">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1EF1076">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47E85D9B">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9E09E57">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EB22C7A">
            <w:pPr>
              <w:jc w:val="center"/>
              <w:rPr>
                <w:rFonts w:ascii="宋体" w:hAnsi="宋体"/>
                <w:color w:val="auto"/>
                <w:szCs w:val="44"/>
                <w:highlight w:val="none"/>
              </w:rPr>
            </w:pPr>
          </w:p>
        </w:tc>
      </w:tr>
      <w:tr w14:paraId="5724F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54747BE2">
            <w:pPr>
              <w:jc w:val="center"/>
              <w:rPr>
                <w:rFonts w:ascii="黑体" w:hAnsi="宋体" w:eastAsia="黑体"/>
                <w:color w:val="auto"/>
                <w:szCs w:val="44"/>
                <w:highlight w:val="none"/>
              </w:rPr>
            </w:pPr>
            <w:r>
              <w:rPr>
                <w:rFonts w:hint="eastAsia" w:ascii="黑体" w:hAnsi="宋体" w:eastAsia="黑体"/>
                <w:color w:val="auto"/>
                <w:szCs w:val="44"/>
                <w:highlight w:val="none"/>
              </w:rPr>
              <w:t>5</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1499DF77">
            <w:pPr>
              <w:jc w:val="center"/>
              <w:rPr>
                <w:rFonts w:ascii="宋体" w:hAnsi="宋体"/>
                <w:color w:val="auto"/>
                <w:szCs w:val="44"/>
                <w:highlight w:val="none"/>
              </w:rPr>
            </w:pPr>
            <w:r>
              <w:rPr>
                <w:rFonts w:hint="eastAsia" w:ascii="宋体" w:hAnsi="宋体"/>
                <w:color w:val="auto"/>
                <w:szCs w:val="44"/>
                <w:highlight w:val="none"/>
              </w:rPr>
              <w:t>联合体投标人</w:t>
            </w:r>
          </w:p>
          <w:p w14:paraId="50384C0F">
            <w:pPr>
              <w:jc w:val="center"/>
              <w:rPr>
                <w:rFonts w:ascii="宋体" w:hAnsi="宋体"/>
                <w:color w:val="auto"/>
                <w:szCs w:val="44"/>
                <w:highlight w:val="none"/>
              </w:rPr>
            </w:pPr>
            <w:r>
              <w:rPr>
                <w:color w:val="auto"/>
                <w:highlight w:val="none"/>
              </w:rPr>
              <w:t>(</w:t>
            </w:r>
            <w:r>
              <w:rPr>
                <w:rFonts w:hint="eastAsia"/>
                <w:color w:val="auto"/>
                <w:highlight w:val="none"/>
              </w:rPr>
              <w:t>如有</w:t>
            </w:r>
            <w:r>
              <w:rPr>
                <w:color w:val="auto"/>
                <w:highlight w:val="none"/>
              </w:rPr>
              <w:t>)</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2C465B03">
            <w:pPr>
              <w:rPr>
                <w:color w:val="auto"/>
                <w:szCs w:val="24"/>
                <w:highlight w:val="none"/>
              </w:rPr>
            </w:pPr>
            <w:r>
              <w:rPr>
                <w:rFonts w:hint="eastAsia"/>
                <w:color w:val="auto"/>
                <w:highlight w:val="none"/>
              </w:rPr>
              <w:t>提交联合体协议书，并明确联合体牵头人</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6AEDE53B">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57E63A1">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884A1DF">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4F3E4F21">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534DE167">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9CEE4AC">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5CCB5EE1">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7EB1EAC">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53A9AA3">
            <w:pPr>
              <w:jc w:val="center"/>
              <w:rPr>
                <w:rFonts w:ascii="宋体" w:hAnsi="宋体"/>
                <w:color w:val="auto"/>
                <w:szCs w:val="44"/>
                <w:highlight w:val="none"/>
              </w:rPr>
            </w:pPr>
          </w:p>
        </w:tc>
      </w:tr>
      <w:tr w14:paraId="2188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0C207CFA">
            <w:pPr>
              <w:jc w:val="center"/>
              <w:rPr>
                <w:rFonts w:ascii="黑体" w:hAnsi="宋体" w:eastAsia="黑体"/>
                <w:color w:val="auto"/>
                <w:szCs w:val="44"/>
                <w:highlight w:val="none"/>
              </w:rPr>
            </w:pPr>
            <w:r>
              <w:rPr>
                <w:rFonts w:hint="eastAsia" w:ascii="黑体" w:hAnsi="宋体" w:eastAsia="黑体"/>
                <w:color w:val="auto"/>
                <w:szCs w:val="44"/>
                <w:highlight w:val="none"/>
              </w:rPr>
              <w:t>6</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DD7EB9D">
            <w:pPr>
              <w:jc w:val="center"/>
              <w:rPr>
                <w:rFonts w:ascii="宋体" w:hAnsi="宋体"/>
                <w:color w:val="auto"/>
                <w:szCs w:val="44"/>
                <w:highlight w:val="none"/>
              </w:rPr>
            </w:pPr>
            <w:r>
              <w:rPr>
                <w:rFonts w:hint="eastAsia" w:ascii="宋体" w:hAnsi="宋体"/>
                <w:color w:val="auto"/>
                <w:szCs w:val="44"/>
                <w:highlight w:val="none"/>
              </w:rPr>
              <w:t>报价唯一</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750E27E3">
            <w:pPr>
              <w:rPr>
                <w:color w:val="auto"/>
                <w:szCs w:val="24"/>
                <w:highlight w:val="none"/>
              </w:rPr>
            </w:pPr>
            <w:r>
              <w:rPr>
                <w:rFonts w:hint="eastAsia"/>
                <w:color w:val="auto"/>
                <w:highlight w:val="none"/>
              </w:rPr>
              <w:t>只能有一个有效报价</w:t>
            </w:r>
            <w:r>
              <w:rPr>
                <w:rFonts w:hint="eastAsia" w:ascii="宋体" w:hAnsi="宋体"/>
                <w:color w:val="auto"/>
                <w:szCs w:val="21"/>
                <w:highlight w:val="none"/>
              </w:rPr>
              <w:t>（指投标函中的大写报价）</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24364DAE">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6AEBCA14">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3E53028">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5F41EE55">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1D1617B">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C667D44">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7D5B5CC0">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07A07DE">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CF56BCE">
            <w:pPr>
              <w:jc w:val="center"/>
              <w:rPr>
                <w:rFonts w:ascii="宋体" w:hAnsi="宋体"/>
                <w:color w:val="auto"/>
                <w:szCs w:val="44"/>
                <w:highlight w:val="none"/>
              </w:rPr>
            </w:pPr>
          </w:p>
        </w:tc>
      </w:tr>
    </w:tbl>
    <w:p w14:paraId="13614613">
      <w:pPr>
        <w:rPr>
          <w:rFonts w:hint="eastAsia" w:ascii="宋体" w:hAnsi="宋体"/>
          <w:color w:val="auto"/>
          <w:szCs w:val="44"/>
          <w:highlight w:val="none"/>
        </w:rPr>
      </w:pPr>
    </w:p>
    <w:p w14:paraId="641CCD84">
      <w:pPr>
        <w:rPr>
          <w:rFonts w:hint="eastAsia" w:ascii="宋体" w:hAnsi="宋体"/>
          <w:color w:val="auto"/>
          <w:szCs w:val="44"/>
          <w:highlight w:val="none"/>
        </w:rPr>
      </w:pPr>
    </w:p>
    <w:p w14:paraId="4B831D6C">
      <w:pPr>
        <w:rPr>
          <w:rFonts w:hint="eastAsia" w:ascii="宋体" w:hAnsi="宋体"/>
          <w:color w:val="auto"/>
          <w:szCs w:val="44"/>
          <w:highlight w:val="none"/>
        </w:rPr>
      </w:pPr>
    </w:p>
    <w:p w14:paraId="773E7B62">
      <w:pPr>
        <w:rPr>
          <w:rFonts w:hint="eastAsia" w:ascii="宋体" w:hAnsi="宋体"/>
          <w:color w:val="auto"/>
          <w:szCs w:val="44"/>
          <w:highlight w:val="none"/>
        </w:rPr>
      </w:pPr>
    </w:p>
    <w:p w14:paraId="0DED880B">
      <w:pPr>
        <w:rPr>
          <w:rFonts w:hint="eastAsia" w:ascii="宋体" w:hAnsi="宋体"/>
          <w:color w:val="auto"/>
          <w:szCs w:val="44"/>
          <w:highlight w:val="none"/>
        </w:rPr>
      </w:pPr>
    </w:p>
    <w:p w14:paraId="1212C7FF">
      <w:pPr>
        <w:rPr>
          <w:rFonts w:hint="eastAsia" w:ascii="宋体" w:hAnsi="宋体"/>
          <w:color w:val="auto"/>
          <w:szCs w:val="44"/>
          <w:highlight w:val="none"/>
        </w:rPr>
      </w:pPr>
    </w:p>
    <w:p w14:paraId="0465DF4A">
      <w:pPr>
        <w:rPr>
          <w:rFonts w:hint="eastAsia" w:ascii="宋体" w:hAnsi="宋体"/>
          <w:color w:val="auto"/>
          <w:szCs w:val="4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800"/>
        <w:gridCol w:w="2700"/>
        <w:gridCol w:w="797"/>
        <w:gridCol w:w="978"/>
        <w:gridCol w:w="978"/>
        <w:gridCol w:w="977"/>
        <w:gridCol w:w="978"/>
        <w:gridCol w:w="978"/>
        <w:gridCol w:w="977"/>
        <w:gridCol w:w="978"/>
        <w:gridCol w:w="978"/>
      </w:tblGrid>
      <w:tr w14:paraId="0A46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restart"/>
            <w:tcBorders>
              <w:top w:val="single" w:color="auto" w:sz="4" w:space="0"/>
              <w:left w:val="single" w:color="auto" w:sz="4" w:space="0"/>
              <w:bottom w:val="single" w:color="auto" w:sz="4" w:space="0"/>
              <w:right w:val="single" w:color="auto" w:sz="4" w:space="0"/>
            </w:tcBorders>
            <w:noWrap w:val="0"/>
            <w:vAlign w:val="center"/>
          </w:tcPr>
          <w:p w14:paraId="00382BAB">
            <w:pPr>
              <w:jc w:val="center"/>
              <w:rPr>
                <w:rFonts w:ascii="宋体" w:hAnsi="宋体"/>
                <w:color w:val="auto"/>
                <w:szCs w:val="44"/>
                <w:highlight w:val="none"/>
              </w:rPr>
            </w:pPr>
            <w:r>
              <w:rPr>
                <w:rFonts w:hint="eastAsia" w:ascii="宋体" w:hAnsi="宋体"/>
                <w:color w:val="auto"/>
                <w:szCs w:val="44"/>
                <w:highlight w:val="none"/>
              </w:rPr>
              <w:t>序号</w:t>
            </w:r>
          </w:p>
        </w:tc>
        <w:tc>
          <w:tcPr>
            <w:tcW w:w="1800" w:type="dxa"/>
            <w:vMerge w:val="restart"/>
            <w:tcBorders>
              <w:top w:val="single" w:color="auto" w:sz="4" w:space="0"/>
              <w:left w:val="single" w:color="auto" w:sz="4" w:space="0"/>
              <w:bottom w:val="single" w:color="auto" w:sz="4" w:space="0"/>
              <w:right w:val="single" w:color="auto" w:sz="4" w:space="0"/>
            </w:tcBorders>
            <w:noWrap w:val="0"/>
            <w:vAlign w:val="center"/>
          </w:tcPr>
          <w:p w14:paraId="7A76DED2">
            <w:pPr>
              <w:jc w:val="center"/>
              <w:rPr>
                <w:rFonts w:ascii="宋体" w:hAnsi="宋体"/>
                <w:color w:val="auto"/>
                <w:szCs w:val="44"/>
                <w:highlight w:val="none"/>
              </w:rPr>
            </w:pPr>
            <w:r>
              <w:rPr>
                <w:rFonts w:hint="eastAsia" w:ascii="宋体" w:hAnsi="宋体"/>
                <w:color w:val="auto"/>
                <w:szCs w:val="44"/>
                <w:highlight w:val="none"/>
              </w:rPr>
              <w:t>评审因素</w:t>
            </w:r>
          </w:p>
        </w:tc>
        <w:tc>
          <w:tcPr>
            <w:tcW w:w="2700" w:type="dxa"/>
            <w:vMerge w:val="restart"/>
            <w:tcBorders>
              <w:top w:val="single" w:color="auto" w:sz="4" w:space="0"/>
              <w:left w:val="single" w:color="auto" w:sz="4" w:space="0"/>
              <w:bottom w:val="single" w:color="auto" w:sz="4" w:space="0"/>
              <w:right w:val="single" w:color="auto" w:sz="4" w:space="0"/>
            </w:tcBorders>
            <w:noWrap w:val="0"/>
            <w:vAlign w:val="center"/>
          </w:tcPr>
          <w:p w14:paraId="2391D8A5">
            <w:pPr>
              <w:jc w:val="center"/>
              <w:rPr>
                <w:rFonts w:ascii="宋体" w:hAnsi="宋体"/>
                <w:color w:val="auto"/>
                <w:szCs w:val="44"/>
                <w:highlight w:val="none"/>
              </w:rPr>
            </w:pPr>
            <w:r>
              <w:rPr>
                <w:rFonts w:hint="eastAsia" w:ascii="宋体" w:hAnsi="宋体"/>
                <w:color w:val="auto"/>
                <w:szCs w:val="44"/>
                <w:highlight w:val="none"/>
              </w:rPr>
              <w:t>评审标准</w:t>
            </w:r>
          </w:p>
        </w:tc>
        <w:tc>
          <w:tcPr>
            <w:tcW w:w="8619" w:type="dxa"/>
            <w:gridSpan w:val="9"/>
            <w:tcBorders>
              <w:top w:val="single" w:color="auto" w:sz="4" w:space="0"/>
              <w:left w:val="single" w:color="auto" w:sz="4" w:space="0"/>
              <w:bottom w:val="single" w:color="auto" w:sz="4" w:space="0"/>
              <w:right w:val="single" w:color="auto" w:sz="4" w:space="0"/>
            </w:tcBorders>
            <w:noWrap w:val="0"/>
            <w:vAlign w:val="center"/>
          </w:tcPr>
          <w:p w14:paraId="65E15AEE">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11DD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EB789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9198CA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B2C80DB">
            <w:pPr>
              <w:widowControl/>
              <w:jc w:val="left"/>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62C9E68">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5C40F574">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8B524DE">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3B0D38A4">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62DFF53">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3E60877E">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7D1F954C">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65E015A1">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54911B7">
            <w:pPr>
              <w:jc w:val="center"/>
              <w:rPr>
                <w:rFonts w:ascii="宋体" w:hAnsi="宋体"/>
                <w:color w:val="auto"/>
                <w:szCs w:val="44"/>
                <w:highlight w:val="none"/>
              </w:rPr>
            </w:pPr>
          </w:p>
        </w:tc>
      </w:tr>
      <w:tr w14:paraId="2126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6FAE53F3">
            <w:pPr>
              <w:jc w:val="center"/>
              <w:rPr>
                <w:rFonts w:ascii="黑体" w:hAnsi="宋体" w:eastAsia="黑体"/>
                <w:color w:val="auto"/>
                <w:szCs w:val="44"/>
                <w:highlight w:val="none"/>
              </w:rPr>
            </w:pPr>
            <w:r>
              <w:rPr>
                <w:rFonts w:hint="eastAsia" w:ascii="黑体" w:hAnsi="宋体" w:eastAsia="黑体"/>
                <w:color w:val="auto"/>
                <w:szCs w:val="44"/>
                <w:highlight w:val="none"/>
              </w:rPr>
              <w:t>7</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130C3809">
            <w:pPr>
              <w:rPr>
                <w:rFonts w:ascii="宋体" w:hAnsi="宋体"/>
                <w:color w:val="auto"/>
                <w:szCs w:val="21"/>
                <w:highlight w:val="none"/>
              </w:rPr>
            </w:pPr>
            <w:r>
              <w:rPr>
                <w:rFonts w:hint="eastAsia"/>
                <w:color w:val="auto"/>
                <w:szCs w:val="21"/>
                <w:highlight w:val="none"/>
              </w:rPr>
              <w:t>多标段投标</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70B2AD0C">
            <w:pPr>
              <w:rPr>
                <w:color w:val="auto"/>
                <w:szCs w:val="24"/>
                <w:highlight w:val="none"/>
              </w:rPr>
            </w:pPr>
            <w:r>
              <w:rPr>
                <w:rFonts w:hint="eastAsia"/>
                <w:color w:val="auto"/>
                <w:highlight w:val="none"/>
              </w:rPr>
              <w:t>符合第二章“投标人须知”第</w:t>
            </w:r>
            <w:r>
              <w:rPr>
                <w:color w:val="auto"/>
                <w:highlight w:val="none"/>
              </w:rPr>
              <w:t>10.1</w:t>
            </w:r>
            <w:r>
              <w:rPr>
                <w:rFonts w:hint="eastAsia"/>
                <w:color w:val="auto"/>
                <w:highlight w:val="none"/>
              </w:rPr>
              <w:t>款规定</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325EA194">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5FCF27F9">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445104D">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3FD84C60">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1B46D9F">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E02316E">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347C2AAA">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83EB34F">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42DE2501">
            <w:pPr>
              <w:jc w:val="center"/>
              <w:rPr>
                <w:rFonts w:ascii="宋体" w:hAnsi="宋体"/>
                <w:color w:val="auto"/>
                <w:szCs w:val="44"/>
                <w:highlight w:val="none"/>
              </w:rPr>
            </w:pPr>
          </w:p>
        </w:tc>
      </w:tr>
      <w:tr w14:paraId="3966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6E02B163">
            <w:pPr>
              <w:jc w:val="center"/>
              <w:rPr>
                <w:rFonts w:ascii="黑体" w:hAnsi="宋体" w:eastAsia="黑体"/>
                <w:color w:val="auto"/>
                <w:szCs w:val="44"/>
                <w:highlight w:val="none"/>
              </w:rPr>
            </w:pPr>
            <w:r>
              <w:rPr>
                <w:rFonts w:hint="eastAsia" w:ascii="黑体" w:hAnsi="宋体" w:eastAsia="黑体"/>
                <w:color w:val="auto"/>
                <w:szCs w:val="44"/>
                <w:highlight w:val="none"/>
              </w:rPr>
              <w:t>8</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10111FC">
            <w:pPr>
              <w:spacing w:line="440" w:lineRule="exact"/>
              <w:rPr>
                <w:color w:val="auto"/>
                <w:szCs w:val="21"/>
                <w:highlight w:val="none"/>
              </w:rPr>
            </w:pPr>
            <w:r>
              <w:rPr>
                <w:rFonts w:hint="eastAsia"/>
                <w:color w:val="auto"/>
                <w:szCs w:val="21"/>
                <w:highlight w:val="none"/>
              </w:rPr>
              <w:t>“技术</w:t>
            </w:r>
            <w:r>
              <w:rPr>
                <w:rFonts w:hint="eastAsia" w:ascii="宋体" w:hAnsi="宋体"/>
                <w:color w:val="auto"/>
                <w:szCs w:val="21"/>
                <w:highlight w:val="none"/>
              </w:rPr>
              <w:t>暗标”</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57037BDB">
            <w:pPr>
              <w:rPr>
                <w:color w:val="auto"/>
                <w:szCs w:val="24"/>
                <w:highlight w:val="none"/>
              </w:rPr>
            </w:pPr>
            <w:r>
              <w:rPr>
                <w:rFonts w:hint="eastAsia"/>
                <w:color w:val="auto"/>
                <w:highlight w:val="none"/>
              </w:rPr>
              <w:t>符合第二章“投标人须知”</w:t>
            </w:r>
            <w:r>
              <w:rPr>
                <w:color w:val="auto"/>
                <w:szCs w:val="21"/>
                <w:highlight w:val="none"/>
              </w:rPr>
              <w:t xml:space="preserve"> </w:t>
            </w:r>
            <w:r>
              <w:rPr>
                <w:rFonts w:hint="eastAsia"/>
                <w:color w:val="auto"/>
                <w:szCs w:val="21"/>
                <w:highlight w:val="none"/>
              </w:rPr>
              <w:t>第</w:t>
            </w:r>
            <w:r>
              <w:rPr>
                <w:color w:val="auto"/>
                <w:highlight w:val="none"/>
              </w:rPr>
              <w:t>3.7.4</w:t>
            </w:r>
            <w:r>
              <w:rPr>
                <w:rFonts w:hint="eastAsia"/>
                <w:color w:val="auto"/>
                <w:highlight w:val="none"/>
              </w:rPr>
              <w:t>（</w:t>
            </w:r>
            <w:r>
              <w:rPr>
                <w:color w:val="auto"/>
                <w:highlight w:val="none"/>
              </w:rPr>
              <w:t>5</w:t>
            </w:r>
            <w:r>
              <w:rPr>
                <w:rFonts w:hint="eastAsia"/>
                <w:color w:val="auto"/>
                <w:highlight w:val="none"/>
              </w:rPr>
              <w:t>）</w:t>
            </w:r>
            <w:r>
              <w:rPr>
                <w:rFonts w:hint="eastAsia"/>
                <w:color w:val="auto"/>
                <w:szCs w:val="21"/>
                <w:highlight w:val="none"/>
              </w:rPr>
              <w:t>目</w:t>
            </w:r>
            <w:r>
              <w:rPr>
                <w:rFonts w:hint="eastAsia"/>
                <w:color w:val="auto"/>
                <w:highlight w:val="none"/>
              </w:rPr>
              <w:t>规定</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60BD1963">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28A10691">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5865AC11">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7C4A2A23">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63B637A">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77A93D7D">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31A15550">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CFA0C4F">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70975E9">
            <w:pPr>
              <w:jc w:val="center"/>
              <w:rPr>
                <w:rFonts w:ascii="宋体" w:hAnsi="宋体"/>
                <w:color w:val="auto"/>
                <w:szCs w:val="44"/>
                <w:highlight w:val="none"/>
              </w:rPr>
            </w:pPr>
          </w:p>
        </w:tc>
      </w:tr>
      <w:tr w14:paraId="3DB3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48" w:type="dxa"/>
            <w:gridSpan w:val="3"/>
            <w:tcBorders>
              <w:top w:val="single" w:color="auto" w:sz="4" w:space="0"/>
              <w:left w:val="single" w:color="auto" w:sz="4" w:space="0"/>
              <w:bottom w:val="single" w:color="auto" w:sz="4" w:space="0"/>
              <w:right w:val="single" w:color="auto" w:sz="4" w:space="0"/>
            </w:tcBorders>
            <w:noWrap w:val="0"/>
            <w:vAlign w:val="center"/>
          </w:tcPr>
          <w:p w14:paraId="76C0531A">
            <w:pPr>
              <w:rPr>
                <w:rFonts w:ascii="宋体" w:hAnsi="宋体"/>
                <w:color w:val="auto"/>
                <w:szCs w:val="21"/>
                <w:highlight w:val="none"/>
              </w:rPr>
            </w:pPr>
            <w:r>
              <w:rPr>
                <w:rFonts w:hint="eastAsia" w:ascii="宋体" w:hAnsi="宋体"/>
                <w:color w:val="auto"/>
                <w:szCs w:val="21"/>
                <w:highlight w:val="none"/>
              </w:rPr>
              <w:t>形式评审结论：通过形式评审标注为√；未通过形式评审标注为×</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7B3140B7">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75FA829D">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A45DF7E">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67463205">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665DF129">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0F426DB5">
            <w:pPr>
              <w:jc w:val="center"/>
              <w:rPr>
                <w:rFonts w:ascii="宋体" w:hAnsi="宋体"/>
                <w:color w:val="auto"/>
                <w:szCs w:val="44"/>
                <w:highlight w:val="none"/>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5AFBAC96">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5EA12291">
            <w:pPr>
              <w:jc w:val="center"/>
              <w:rPr>
                <w:rFonts w:ascii="宋体" w:hAnsi="宋体"/>
                <w:color w:val="auto"/>
                <w:szCs w:val="44"/>
                <w:highlight w:val="none"/>
              </w:rPr>
            </w:pPr>
          </w:p>
        </w:tc>
        <w:tc>
          <w:tcPr>
            <w:tcW w:w="978" w:type="dxa"/>
            <w:tcBorders>
              <w:top w:val="single" w:color="auto" w:sz="4" w:space="0"/>
              <w:left w:val="single" w:color="auto" w:sz="4" w:space="0"/>
              <w:bottom w:val="single" w:color="auto" w:sz="4" w:space="0"/>
              <w:right w:val="single" w:color="auto" w:sz="4" w:space="0"/>
            </w:tcBorders>
            <w:noWrap w:val="0"/>
            <w:vAlign w:val="center"/>
          </w:tcPr>
          <w:p w14:paraId="1F1ECAD1">
            <w:pPr>
              <w:jc w:val="center"/>
              <w:rPr>
                <w:rFonts w:ascii="宋体" w:hAnsi="宋体"/>
                <w:color w:val="auto"/>
                <w:szCs w:val="44"/>
                <w:highlight w:val="none"/>
              </w:rPr>
            </w:pPr>
          </w:p>
        </w:tc>
      </w:tr>
    </w:tbl>
    <w:p w14:paraId="5769F4F9">
      <w:pPr>
        <w:rPr>
          <w:rFonts w:hint="eastAsia" w:ascii="宋体" w:hAnsi="宋体"/>
          <w:color w:val="auto"/>
          <w:szCs w:val="44"/>
          <w:highlight w:val="none"/>
        </w:rPr>
      </w:pPr>
    </w:p>
    <w:p w14:paraId="552C2AF8">
      <w:pPr>
        <w:rPr>
          <w:rFonts w:hint="eastAsia" w:ascii="宋体" w:hAnsi="宋体"/>
          <w:color w:val="auto"/>
          <w:szCs w:val="44"/>
          <w:highlight w:val="none"/>
        </w:rPr>
      </w:pPr>
      <w:r>
        <w:rPr>
          <w:rFonts w:hint="eastAsia" w:ascii="宋体" w:hAnsi="宋体"/>
          <w:color w:val="auto"/>
          <w:szCs w:val="44"/>
          <w:highlight w:val="none"/>
        </w:rPr>
        <w:t>评标委员会全体成员签名：                                                                                日期：    年    月    日</w:t>
      </w:r>
    </w:p>
    <w:p w14:paraId="7088B5EB">
      <w:pPr>
        <w:rPr>
          <w:rFonts w:hint="eastAsia" w:ascii="宋体" w:hAnsi="宋体"/>
          <w:color w:val="auto"/>
          <w:szCs w:val="44"/>
          <w:highlight w:val="none"/>
        </w:rPr>
      </w:pPr>
    </w:p>
    <w:p w14:paraId="02F631D9">
      <w:pPr>
        <w:rPr>
          <w:rFonts w:hint="eastAsia" w:ascii="宋体" w:hAnsi="宋体"/>
          <w:color w:val="auto"/>
          <w:szCs w:val="44"/>
          <w:highlight w:val="none"/>
        </w:rPr>
      </w:pPr>
    </w:p>
    <w:p w14:paraId="16B47AE8">
      <w:pPr>
        <w:rPr>
          <w:rFonts w:hint="eastAsia" w:ascii="宋体" w:hAnsi="宋体"/>
          <w:color w:val="auto"/>
          <w:szCs w:val="44"/>
          <w:highlight w:val="none"/>
        </w:rPr>
      </w:pPr>
    </w:p>
    <w:p w14:paraId="05FC4723">
      <w:pPr>
        <w:rPr>
          <w:rFonts w:hint="eastAsia" w:ascii="宋体" w:hAnsi="宋体"/>
          <w:color w:val="auto"/>
          <w:szCs w:val="44"/>
          <w:highlight w:val="none"/>
        </w:rPr>
      </w:pPr>
    </w:p>
    <w:p w14:paraId="74C876D7">
      <w:pPr>
        <w:rPr>
          <w:rFonts w:hint="eastAsia" w:ascii="宋体" w:hAnsi="宋体"/>
          <w:color w:val="auto"/>
          <w:szCs w:val="44"/>
          <w:highlight w:val="none"/>
        </w:rPr>
      </w:pPr>
    </w:p>
    <w:p w14:paraId="365CA6F4">
      <w:pPr>
        <w:rPr>
          <w:rFonts w:hint="eastAsia" w:ascii="宋体" w:hAnsi="宋体"/>
          <w:color w:val="auto"/>
          <w:szCs w:val="44"/>
          <w:highlight w:val="none"/>
        </w:rPr>
      </w:pPr>
    </w:p>
    <w:p w14:paraId="0084A016">
      <w:pPr>
        <w:rPr>
          <w:rFonts w:hint="eastAsia" w:ascii="宋体" w:hAnsi="宋体"/>
          <w:color w:val="auto"/>
          <w:szCs w:val="44"/>
          <w:highlight w:val="none"/>
        </w:rPr>
      </w:pPr>
    </w:p>
    <w:p w14:paraId="547F0F50">
      <w:pPr>
        <w:rPr>
          <w:rFonts w:hint="eastAsia" w:ascii="宋体" w:hAnsi="宋体"/>
          <w:color w:val="auto"/>
          <w:szCs w:val="44"/>
          <w:highlight w:val="none"/>
        </w:rPr>
      </w:pPr>
    </w:p>
    <w:p w14:paraId="45ECA5F1">
      <w:pPr>
        <w:rPr>
          <w:rFonts w:hint="eastAsia" w:ascii="宋体" w:hAnsi="宋体"/>
          <w:color w:val="auto"/>
          <w:szCs w:val="44"/>
          <w:highlight w:val="none"/>
        </w:rPr>
      </w:pPr>
    </w:p>
    <w:p w14:paraId="3F245122">
      <w:pPr>
        <w:rPr>
          <w:rFonts w:hint="eastAsia" w:ascii="宋体" w:hAnsi="宋体"/>
          <w:color w:val="auto"/>
          <w:szCs w:val="44"/>
          <w:highlight w:val="none"/>
        </w:rPr>
      </w:pPr>
    </w:p>
    <w:p w14:paraId="471DE0F2">
      <w:pPr>
        <w:rPr>
          <w:rFonts w:hint="eastAsia" w:ascii="宋体" w:hAnsi="宋体"/>
          <w:color w:val="auto"/>
          <w:szCs w:val="44"/>
          <w:highlight w:val="none"/>
        </w:rPr>
      </w:pPr>
    </w:p>
    <w:p w14:paraId="1DB88175">
      <w:pPr>
        <w:rPr>
          <w:rFonts w:hint="eastAsia" w:ascii="宋体" w:hAnsi="宋体"/>
          <w:color w:val="auto"/>
          <w:szCs w:val="44"/>
          <w:highlight w:val="none"/>
        </w:rPr>
      </w:pPr>
    </w:p>
    <w:p w14:paraId="0EB02A52">
      <w:pPr>
        <w:rPr>
          <w:rFonts w:hint="eastAsia" w:ascii="宋体" w:hAnsi="宋体"/>
          <w:color w:val="auto"/>
          <w:szCs w:val="44"/>
          <w:highlight w:val="none"/>
        </w:rPr>
      </w:pPr>
    </w:p>
    <w:p w14:paraId="47ED2A1A">
      <w:pPr>
        <w:rPr>
          <w:rFonts w:hint="eastAsia" w:ascii="宋体" w:hAnsi="宋体"/>
          <w:color w:val="auto"/>
          <w:szCs w:val="44"/>
          <w:highlight w:val="none"/>
        </w:rPr>
      </w:pPr>
    </w:p>
    <w:p w14:paraId="60C01CA5">
      <w:pPr>
        <w:rPr>
          <w:rFonts w:hint="eastAsia" w:ascii="宋体" w:hAnsi="宋体"/>
          <w:color w:val="auto"/>
          <w:szCs w:val="44"/>
          <w:highlight w:val="none"/>
        </w:rPr>
      </w:pPr>
    </w:p>
    <w:p w14:paraId="3C0297C2">
      <w:pPr>
        <w:rPr>
          <w:rFonts w:hint="eastAsia" w:ascii="宋体" w:hAnsi="宋体"/>
          <w:color w:val="auto"/>
          <w:szCs w:val="44"/>
          <w:highlight w:val="none"/>
        </w:rPr>
      </w:pPr>
    </w:p>
    <w:p w14:paraId="64B1134B">
      <w:pPr>
        <w:rPr>
          <w:rFonts w:hint="eastAsia" w:ascii="宋体" w:hAnsi="宋体"/>
          <w:color w:val="auto"/>
          <w:szCs w:val="44"/>
          <w:highlight w:val="none"/>
        </w:rPr>
      </w:pPr>
    </w:p>
    <w:p w14:paraId="41FE40B6">
      <w:pPr>
        <w:rPr>
          <w:rFonts w:hint="eastAsia" w:ascii="宋体" w:hAnsi="宋体"/>
          <w:color w:val="auto"/>
          <w:szCs w:val="44"/>
          <w:highlight w:val="none"/>
        </w:rPr>
      </w:pPr>
    </w:p>
    <w:p w14:paraId="3A3377EA">
      <w:pPr>
        <w:rPr>
          <w:rFonts w:hint="eastAsia" w:ascii="宋体" w:hAnsi="宋体"/>
          <w:color w:val="auto"/>
          <w:szCs w:val="44"/>
          <w:highlight w:val="none"/>
        </w:rPr>
      </w:pPr>
    </w:p>
    <w:p w14:paraId="315B186C">
      <w:pPr>
        <w:pStyle w:val="33"/>
        <w:rPr>
          <w:rFonts w:hint="eastAsia" w:ascii="黑体" w:hAnsi="宋体"/>
          <w:color w:val="auto"/>
          <w:highlight w:val="none"/>
        </w:rPr>
      </w:pPr>
      <w:bookmarkStart w:id="761" w:name="_Toc28531840"/>
      <w:bookmarkStart w:id="762" w:name="_Toc26875"/>
      <w:r>
        <w:rPr>
          <w:rFonts w:hint="eastAsia"/>
          <w:color w:val="auto"/>
          <w:highlight w:val="none"/>
        </w:rPr>
        <w:t>附表</w:t>
      </w:r>
      <w:r>
        <w:rPr>
          <w:color w:val="auto"/>
          <w:highlight w:val="none"/>
        </w:rPr>
        <w:t>A-5</w:t>
      </w:r>
      <w:r>
        <w:rPr>
          <w:rFonts w:hint="eastAsia"/>
          <w:color w:val="auto"/>
          <w:highlight w:val="none"/>
        </w:rPr>
        <w:t>：资格评审记录表</w:t>
      </w:r>
      <w:bookmarkEnd w:id="761"/>
      <w:bookmarkEnd w:id="762"/>
    </w:p>
    <w:p w14:paraId="38E19D48">
      <w:pPr>
        <w:spacing w:after="240" w:afterLines="100"/>
        <w:jc w:val="center"/>
        <w:rPr>
          <w:rFonts w:hint="eastAsia" w:ascii="黑体" w:hAnsi="宋体" w:eastAsia="黑体"/>
          <w:color w:val="auto"/>
          <w:sz w:val="28"/>
          <w:szCs w:val="28"/>
          <w:highlight w:val="none"/>
        </w:rPr>
      </w:pPr>
      <w:r>
        <w:rPr>
          <w:rFonts w:hint="eastAsia" w:ascii="黑体" w:hAnsi="宋体" w:eastAsia="黑体"/>
          <w:color w:val="auto"/>
          <w:sz w:val="28"/>
          <w:szCs w:val="28"/>
          <w:highlight w:val="none"/>
        </w:rPr>
        <w:t>资格评审记录表</w:t>
      </w:r>
    </w:p>
    <w:p w14:paraId="6153D73E">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p w14:paraId="22BD90E7">
      <w:pPr>
        <w:spacing w:after="240" w:afterLines="100"/>
        <w:rPr>
          <w:rFonts w:hint="eastAsia" w:ascii="宋体" w:hAnsi="宋体"/>
          <w:color w:val="auto"/>
          <w:szCs w:val="44"/>
          <w:highlight w:val="none"/>
        </w:rPr>
      </w:pP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542"/>
        <w:gridCol w:w="2004"/>
        <w:gridCol w:w="2349"/>
        <w:gridCol w:w="815"/>
        <w:gridCol w:w="818"/>
        <w:gridCol w:w="818"/>
        <w:gridCol w:w="818"/>
        <w:gridCol w:w="815"/>
        <w:gridCol w:w="818"/>
        <w:gridCol w:w="818"/>
        <w:gridCol w:w="818"/>
        <w:gridCol w:w="812"/>
      </w:tblGrid>
      <w:tr w14:paraId="2710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90" w:type="pct"/>
            <w:vMerge w:val="restart"/>
            <w:tcBorders>
              <w:top w:val="single" w:color="auto" w:sz="4" w:space="0"/>
              <w:left w:val="single" w:color="auto" w:sz="4" w:space="0"/>
              <w:bottom w:val="single" w:color="auto" w:sz="4" w:space="0"/>
              <w:right w:val="single" w:color="auto" w:sz="4" w:space="0"/>
            </w:tcBorders>
            <w:noWrap w:val="0"/>
            <w:vAlign w:val="center"/>
          </w:tcPr>
          <w:p w14:paraId="4B42725C">
            <w:pPr>
              <w:jc w:val="center"/>
              <w:rPr>
                <w:rFonts w:ascii="宋体" w:hAnsi="宋体"/>
                <w:color w:val="auto"/>
                <w:szCs w:val="44"/>
                <w:highlight w:val="none"/>
              </w:rPr>
            </w:pPr>
            <w:r>
              <w:rPr>
                <w:rFonts w:hint="eastAsia" w:ascii="宋体" w:hAnsi="宋体"/>
                <w:color w:val="auto"/>
                <w:szCs w:val="44"/>
                <w:highlight w:val="none"/>
              </w:rPr>
              <w:t>序号</w:t>
            </w:r>
          </w:p>
        </w:tc>
        <w:tc>
          <w:tcPr>
            <w:tcW w:w="560" w:type="pct"/>
            <w:vMerge w:val="restart"/>
            <w:tcBorders>
              <w:top w:val="single" w:color="auto" w:sz="4" w:space="0"/>
              <w:left w:val="single" w:color="auto" w:sz="4" w:space="0"/>
              <w:bottom w:val="single" w:color="auto" w:sz="4" w:space="0"/>
              <w:right w:val="single" w:color="auto" w:sz="4" w:space="0"/>
            </w:tcBorders>
            <w:noWrap w:val="0"/>
            <w:vAlign w:val="center"/>
          </w:tcPr>
          <w:p w14:paraId="27754E8E">
            <w:pPr>
              <w:jc w:val="center"/>
              <w:rPr>
                <w:rFonts w:ascii="宋体" w:hAnsi="宋体"/>
                <w:color w:val="auto"/>
                <w:szCs w:val="44"/>
                <w:highlight w:val="none"/>
              </w:rPr>
            </w:pPr>
            <w:r>
              <w:rPr>
                <w:rFonts w:hint="eastAsia" w:ascii="宋体" w:hAnsi="宋体"/>
                <w:color w:val="auto"/>
                <w:szCs w:val="44"/>
                <w:highlight w:val="none"/>
              </w:rPr>
              <w:t>评审因素</w:t>
            </w:r>
          </w:p>
        </w:tc>
        <w:tc>
          <w:tcPr>
            <w:tcW w:w="728" w:type="pct"/>
            <w:vMerge w:val="restart"/>
            <w:tcBorders>
              <w:top w:val="single" w:color="auto" w:sz="4" w:space="0"/>
              <w:left w:val="single" w:color="auto" w:sz="4" w:space="0"/>
              <w:bottom w:val="single" w:color="auto" w:sz="4" w:space="0"/>
              <w:right w:val="single" w:color="auto" w:sz="4" w:space="0"/>
            </w:tcBorders>
            <w:noWrap w:val="0"/>
            <w:vAlign w:val="center"/>
          </w:tcPr>
          <w:p w14:paraId="1310B9C0">
            <w:pPr>
              <w:jc w:val="center"/>
              <w:rPr>
                <w:rFonts w:ascii="宋体" w:hAnsi="宋体"/>
                <w:color w:val="auto"/>
                <w:szCs w:val="44"/>
                <w:highlight w:val="none"/>
              </w:rPr>
            </w:pPr>
            <w:r>
              <w:rPr>
                <w:rFonts w:hint="eastAsia" w:ascii="宋体" w:hAnsi="宋体"/>
                <w:color w:val="auto"/>
                <w:szCs w:val="44"/>
                <w:highlight w:val="none"/>
              </w:rPr>
              <w:t>评审标准</w:t>
            </w:r>
          </w:p>
        </w:tc>
        <w:tc>
          <w:tcPr>
            <w:tcW w:w="853" w:type="pct"/>
            <w:vMerge w:val="restart"/>
            <w:tcBorders>
              <w:top w:val="single" w:color="auto" w:sz="4" w:space="0"/>
              <w:left w:val="single" w:color="auto" w:sz="4" w:space="0"/>
              <w:bottom w:val="single" w:color="auto" w:sz="4" w:space="0"/>
              <w:right w:val="single" w:color="auto" w:sz="4" w:space="0"/>
            </w:tcBorders>
            <w:noWrap w:val="0"/>
            <w:vAlign w:val="center"/>
          </w:tcPr>
          <w:p w14:paraId="40A70017">
            <w:pPr>
              <w:autoSpaceDE w:val="0"/>
              <w:autoSpaceDN w:val="0"/>
              <w:adjustRightInd w:val="0"/>
              <w:snapToGrid w:val="0"/>
              <w:jc w:val="center"/>
              <w:rPr>
                <w:color w:val="auto"/>
                <w:kern w:val="0"/>
                <w:sz w:val="24"/>
                <w:szCs w:val="24"/>
                <w:highlight w:val="none"/>
              </w:rPr>
            </w:pPr>
            <w:r>
              <w:rPr>
                <w:rFonts w:hint="eastAsia" w:ascii="宋体" w:hAnsi="宋体"/>
                <w:color w:val="auto"/>
                <w:szCs w:val="44"/>
                <w:highlight w:val="none"/>
              </w:rPr>
              <w:t>有效的证明材料</w:t>
            </w:r>
          </w:p>
        </w:tc>
        <w:tc>
          <w:tcPr>
            <w:tcW w:w="2669" w:type="pct"/>
            <w:gridSpan w:val="9"/>
            <w:tcBorders>
              <w:top w:val="single" w:color="auto" w:sz="4" w:space="0"/>
              <w:left w:val="single" w:color="auto" w:sz="4" w:space="0"/>
              <w:bottom w:val="single" w:color="auto" w:sz="4" w:space="0"/>
              <w:right w:val="single" w:color="auto" w:sz="4" w:space="0"/>
            </w:tcBorders>
            <w:noWrap w:val="0"/>
            <w:vAlign w:val="center"/>
          </w:tcPr>
          <w:p w14:paraId="541F46A4">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41C90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7917D5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7C8608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761FAA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9F4E9E0">
            <w:pPr>
              <w:widowControl/>
              <w:jc w:val="left"/>
              <w:rPr>
                <w:color w:val="auto"/>
                <w:kern w:val="0"/>
                <w:sz w:val="24"/>
                <w:szCs w:val="2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0260A68D">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2312183">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3884F7E7">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30A69448">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15644F1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0EC737F">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8C54405">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8EA363C">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4979CFAC">
            <w:pPr>
              <w:jc w:val="center"/>
              <w:rPr>
                <w:rFonts w:ascii="宋体" w:hAnsi="宋体"/>
                <w:color w:val="auto"/>
                <w:szCs w:val="44"/>
                <w:highlight w:val="none"/>
              </w:rPr>
            </w:pPr>
          </w:p>
        </w:tc>
      </w:tr>
      <w:tr w14:paraId="54F3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4529FCC4">
            <w:pPr>
              <w:jc w:val="center"/>
              <w:rPr>
                <w:rFonts w:ascii="黑体" w:hAnsi="宋体" w:eastAsia="黑体"/>
                <w:color w:val="auto"/>
                <w:szCs w:val="44"/>
                <w:highlight w:val="none"/>
              </w:rPr>
            </w:pPr>
            <w:r>
              <w:rPr>
                <w:rFonts w:hint="eastAsia" w:ascii="黑体" w:hAnsi="宋体" w:eastAsia="黑体"/>
                <w:color w:val="auto"/>
                <w:szCs w:val="44"/>
                <w:highlight w:val="none"/>
              </w:rPr>
              <w:t>1</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7F5C5622">
            <w:pPr>
              <w:jc w:val="center"/>
              <w:rPr>
                <w:rFonts w:ascii="宋体" w:hAnsi="宋体"/>
                <w:color w:val="auto"/>
                <w:szCs w:val="44"/>
                <w:highlight w:val="none"/>
              </w:rPr>
            </w:pPr>
            <w:r>
              <w:rPr>
                <w:rFonts w:hint="eastAsia" w:ascii="宋体" w:hAnsi="宋体"/>
                <w:color w:val="auto"/>
                <w:szCs w:val="44"/>
                <w:highlight w:val="none"/>
              </w:rPr>
              <w:t>营业执照</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391C9734">
            <w:pPr>
              <w:rPr>
                <w:rFonts w:ascii="宋体" w:hAnsi="宋体"/>
                <w:color w:val="auto"/>
                <w:szCs w:val="44"/>
                <w:highlight w:val="none"/>
              </w:rPr>
            </w:pPr>
            <w:r>
              <w:rPr>
                <w:rFonts w:hint="eastAsia" w:ascii="宋体" w:hAnsi="宋体"/>
                <w:color w:val="auto"/>
                <w:szCs w:val="44"/>
                <w:highlight w:val="none"/>
              </w:rPr>
              <w:t>具备有效的营业执照</w:t>
            </w:r>
          </w:p>
        </w:tc>
        <w:tc>
          <w:tcPr>
            <w:tcW w:w="853" w:type="pct"/>
            <w:tcBorders>
              <w:top w:val="single" w:color="auto" w:sz="4" w:space="0"/>
              <w:left w:val="single" w:color="auto" w:sz="4" w:space="0"/>
              <w:bottom w:val="single" w:color="auto" w:sz="4" w:space="0"/>
              <w:right w:val="single" w:color="auto" w:sz="4" w:space="0"/>
            </w:tcBorders>
            <w:noWrap w:val="0"/>
            <w:vAlign w:val="top"/>
          </w:tcPr>
          <w:p w14:paraId="1CEE2552">
            <w:pPr>
              <w:rPr>
                <w:rFonts w:ascii="宋体" w:hAnsi="宋体"/>
                <w:color w:val="auto"/>
                <w:szCs w:val="44"/>
                <w:highlight w:val="none"/>
              </w:rPr>
            </w:pPr>
            <w:r>
              <w:rPr>
                <w:rFonts w:hint="eastAsia" w:ascii="宋体" w:hAnsi="宋体"/>
                <w:color w:val="auto"/>
                <w:szCs w:val="44"/>
                <w:highlight w:val="none"/>
              </w:rPr>
              <w:t>营业执照扫描件</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4658F3C7">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0A3EDB1">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53643B3">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32AE86FC">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5B21930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6ADD46C">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221CD19">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690225A">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47CF409A">
            <w:pPr>
              <w:jc w:val="center"/>
              <w:rPr>
                <w:rFonts w:ascii="宋体" w:hAnsi="宋体"/>
                <w:color w:val="auto"/>
                <w:szCs w:val="44"/>
                <w:highlight w:val="none"/>
              </w:rPr>
            </w:pPr>
          </w:p>
        </w:tc>
      </w:tr>
      <w:tr w14:paraId="22D7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27CDB8AD">
            <w:pPr>
              <w:jc w:val="center"/>
              <w:rPr>
                <w:rFonts w:ascii="黑体" w:hAnsi="宋体" w:eastAsia="黑体"/>
                <w:color w:val="auto"/>
                <w:szCs w:val="44"/>
                <w:highlight w:val="none"/>
              </w:rPr>
            </w:pPr>
            <w:r>
              <w:rPr>
                <w:rFonts w:hint="eastAsia" w:ascii="黑体" w:hAnsi="宋体" w:eastAsia="黑体"/>
                <w:color w:val="auto"/>
                <w:szCs w:val="44"/>
                <w:highlight w:val="none"/>
              </w:rPr>
              <w:t>2</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36DCDB40">
            <w:pPr>
              <w:jc w:val="center"/>
              <w:rPr>
                <w:rFonts w:ascii="宋体" w:hAnsi="宋体"/>
                <w:color w:val="auto"/>
                <w:szCs w:val="44"/>
                <w:highlight w:val="none"/>
              </w:rPr>
            </w:pPr>
            <w:r>
              <w:rPr>
                <w:rFonts w:hint="eastAsia" w:ascii="宋体" w:hAnsi="宋体"/>
                <w:color w:val="auto"/>
                <w:szCs w:val="44"/>
                <w:highlight w:val="none"/>
              </w:rPr>
              <w:t>安全生产</w:t>
            </w:r>
          </w:p>
          <w:p w14:paraId="37179C1E">
            <w:pPr>
              <w:jc w:val="center"/>
              <w:rPr>
                <w:rFonts w:ascii="宋体" w:hAnsi="宋体"/>
                <w:color w:val="auto"/>
                <w:szCs w:val="44"/>
                <w:highlight w:val="none"/>
              </w:rPr>
            </w:pPr>
            <w:r>
              <w:rPr>
                <w:rFonts w:hint="eastAsia" w:ascii="宋体" w:hAnsi="宋体"/>
                <w:color w:val="auto"/>
                <w:szCs w:val="44"/>
                <w:highlight w:val="none"/>
              </w:rPr>
              <w:t>许可证</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43B13620">
            <w:pPr>
              <w:rPr>
                <w:rFonts w:ascii="宋体" w:hAnsi="宋体"/>
                <w:color w:val="auto"/>
                <w:szCs w:val="44"/>
                <w:highlight w:val="none"/>
              </w:rPr>
            </w:pPr>
            <w:r>
              <w:rPr>
                <w:rFonts w:hint="eastAsia" w:ascii="宋体" w:hAnsi="宋体"/>
                <w:color w:val="auto"/>
                <w:szCs w:val="44"/>
                <w:highlight w:val="none"/>
              </w:rPr>
              <w:t>具备有效的安全生产许可证</w:t>
            </w:r>
          </w:p>
        </w:tc>
        <w:tc>
          <w:tcPr>
            <w:tcW w:w="853" w:type="pct"/>
            <w:tcBorders>
              <w:top w:val="single" w:color="auto" w:sz="4" w:space="0"/>
              <w:left w:val="single" w:color="auto" w:sz="4" w:space="0"/>
              <w:bottom w:val="single" w:color="auto" w:sz="4" w:space="0"/>
              <w:right w:val="single" w:color="auto" w:sz="4" w:space="0"/>
            </w:tcBorders>
            <w:noWrap w:val="0"/>
            <w:vAlign w:val="top"/>
          </w:tcPr>
          <w:p w14:paraId="1E9BD264">
            <w:pPr>
              <w:rPr>
                <w:rFonts w:ascii="宋体" w:hAnsi="宋体"/>
                <w:color w:val="auto"/>
                <w:szCs w:val="44"/>
                <w:highlight w:val="none"/>
              </w:rPr>
            </w:pPr>
            <w:r>
              <w:rPr>
                <w:rFonts w:hint="eastAsia"/>
                <w:color w:val="auto"/>
                <w:szCs w:val="21"/>
                <w:highlight w:val="none"/>
              </w:rPr>
              <w:t>住房城乡建设</w:t>
            </w:r>
            <w:r>
              <w:rPr>
                <w:rFonts w:hint="eastAsia" w:ascii="宋体" w:hAnsi="宋体"/>
                <w:color w:val="auto"/>
                <w:szCs w:val="44"/>
                <w:highlight w:val="none"/>
              </w:rPr>
              <w:t>主管部门核发的安全生产许可证扫描件</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2F71E0A6">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7C5AE2F6">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E1F6019">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4AC2D9F">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3E81E011">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2B41942">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191F60D8">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13C9A12">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1474DFFA">
            <w:pPr>
              <w:jc w:val="center"/>
              <w:rPr>
                <w:rFonts w:ascii="宋体" w:hAnsi="宋体"/>
                <w:color w:val="auto"/>
                <w:szCs w:val="44"/>
                <w:highlight w:val="none"/>
              </w:rPr>
            </w:pPr>
          </w:p>
        </w:tc>
      </w:tr>
      <w:tr w14:paraId="2440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05BEB1E7">
            <w:pPr>
              <w:jc w:val="center"/>
              <w:rPr>
                <w:rFonts w:ascii="黑体" w:hAnsi="宋体" w:eastAsia="黑体"/>
                <w:color w:val="auto"/>
                <w:szCs w:val="44"/>
                <w:highlight w:val="none"/>
              </w:rPr>
            </w:pPr>
            <w:r>
              <w:rPr>
                <w:rFonts w:hint="eastAsia" w:ascii="黑体" w:hAnsi="宋体" w:eastAsia="黑体"/>
                <w:color w:val="auto"/>
                <w:szCs w:val="44"/>
                <w:highlight w:val="none"/>
              </w:rPr>
              <w:t>3</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17969D8F">
            <w:pPr>
              <w:jc w:val="center"/>
              <w:rPr>
                <w:rFonts w:ascii="宋体" w:hAnsi="宋体"/>
                <w:color w:val="auto"/>
                <w:szCs w:val="44"/>
                <w:highlight w:val="none"/>
              </w:rPr>
            </w:pPr>
            <w:r>
              <w:rPr>
                <w:rFonts w:hint="eastAsia" w:ascii="宋体" w:hAnsi="宋体"/>
                <w:color w:val="auto"/>
                <w:szCs w:val="44"/>
                <w:highlight w:val="none"/>
              </w:rPr>
              <w:t>资质等级</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567132C5">
            <w:pPr>
              <w:rPr>
                <w:rFonts w:ascii="宋体" w:hAnsi="宋体"/>
                <w:color w:val="auto"/>
                <w:szCs w:val="44"/>
                <w:highlight w:val="none"/>
              </w:rPr>
            </w:pPr>
            <w:r>
              <w:rPr>
                <w:rFonts w:hint="eastAsia" w:ascii="宋体" w:hAnsi="宋体"/>
                <w:color w:val="auto"/>
                <w:szCs w:val="44"/>
                <w:highlight w:val="none"/>
              </w:rPr>
              <w:t>符合第二章“投标人须知”第1.4.1 项规定</w:t>
            </w:r>
          </w:p>
        </w:tc>
        <w:tc>
          <w:tcPr>
            <w:tcW w:w="853" w:type="pct"/>
            <w:tcBorders>
              <w:top w:val="single" w:color="auto" w:sz="4" w:space="0"/>
              <w:left w:val="single" w:color="auto" w:sz="4" w:space="0"/>
              <w:bottom w:val="single" w:color="auto" w:sz="4" w:space="0"/>
              <w:right w:val="single" w:color="auto" w:sz="4" w:space="0"/>
            </w:tcBorders>
            <w:noWrap w:val="0"/>
            <w:vAlign w:val="top"/>
          </w:tcPr>
          <w:p w14:paraId="33F4621D">
            <w:pPr>
              <w:rPr>
                <w:rFonts w:ascii="宋体" w:hAnsi="宋体"/>
                <w:color w:val="auto"/>
                <w:szCs w:val="44"/>
                <w:highlight w:val="none"/>
              </w:rPr>
            </w:pPr>
            <w:r>
              <w:rPr>
                <w:rFonts w:hint="eastAsia"/>
                <w:color w:val="auto"/>
                <w:szCs w:val="21"/>
                <w:highlight w:val="none"/>
              </w:rPr>
              <w:t>住房城乡建设</w:t>
            </w:r>
            <w:r>
              <w:rPr>
                <w:rFonts w:hint="eastAsia" w:ascii="宋体" w:hAnsi="宋体"/>
                <w:color w:val="auto"/>
                <w:szCs w:val="44"/>
                <w:highlight w:val="none"/>
              </w:rPr>
              <w:t>主管部门核发的资质等级证书扫描件</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1171AAE6">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7C856F6F">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5DCE29F">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64436B2">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7F40C3E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7134F962">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2162F28">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701FBB2C">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721FB9C1">
            <w:pPr>
              <w:jc w:val="center"/>
              <w:rPr>
                <w:rFonts w:ascii="宋体" w:hAnsi="宋体"/>
                <w:color w:val="auto"/>
                <w:szCs w:val="44"/>
                <w:highlight w:val="none"/>
              </w:rPr>
            </w:pPr>
          </w:p>
        </w:tc>
      </w:tr>
      <w:tr w14:paraId="48B53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08AD9089">
            <w:pPr>
              <w:jc w:val="center"/>
              <w:rPr>
                <w:rFonts w:ascii="黑体" w:hAnsi="宋体" w:eastAsia="黑体"/>
                <w:color w:val="auto"/>
                <w:szCs w:val="44"/>
                <w:highlight w:val="none"/>
              </w:rPr>
            </w:pPr>
            <w:r>
              <w:rPr>
                <w:rFonts w:hint="eastAsia" w:ascii="黑体" w:hAnsi="宋体" w:eastAsia="黑体"/>
                <w:color w:val="auto"/>
                <w:szCs w:val="44"/>
                <w:highlight w:val="none"/>
              </w:rPr>
              <w:t>4</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507100D3">
            <w:pPr>
              <w:jc w:val="center"/>
              <w:rPr>
                <w:rFonts w:ascii="宋体" w:hAnsi="宋体"/>
                <w:color w:val="auto"/>
                <w:szCs w:val="44"/>
                <w:highlight w:val="none"/>
              </w:rPr>
            </w:pPr>
            <w:r>
              <w:rPr>
                <w:rFonts w:hint="eastAsia" w:ascii="宋体" w:hAnsi="宋体"/>
                <w:color w:val="auto"/>
                <w:szCs w:val="44"/>
                <w:highlight w:val="none"/>
              </w:rPr>
              <w:t>财务状况</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2AB019B3">
            <w:pPr>
              <w:rPr>
                <w:rFonts w:ascii="宋体" w:hAnsi="宋体"/>
                <w:color w:val="auto"/>
                <w:szCs w:val="44"/>
                <w:highlight w:val="none"/>
              </w:rPr>
            </w:pPr>
            <w:r>
              <w:rPr>
                <w:rFonts w:hint="eastAsia" w:ascii="宋体" w:hAnsi="宋体"/>
                <w:color w:val="auto"/>
                <w:szCs w:val="44"/>
                <w:highlight w:val="none"/>
              </w:rPr>
              <w:t>符合第二章“投标人须知”第1.4.1 项规定</w:t>
            </w:r>
          </w:p>
        </w:tc>
        <w:tc>
          <w:tcPr>
            <w:tcW w:w="853" w:type="pct"/>
            <w:tcBorders>
              <w:top w:val="single" w:color="auto" w:sz="4" w:space="0"/>
              <w:left w:val="single" w:color="auto" w:sz="4" w:space="0"/>
              <w:bottom w:val="single" w:color="auto" w:sz="4" w:space="0"/>
              <w:right w:val="single" w:color="auto" w:sz="4" w:space="0"/>
            </w:tcBorders>
            <w:noWrap w:val="0"/>
            <w:vAlign w:val="top"/>
          </w:tcPr>
          <w:p w14:paraId="79132A71">
            <w:pPr>
              <w:rPr>
                <w:rFonts w:ascii="宋体" w:hAnsi="宋体"/>
                <w:color w:val="auto"/>
                <w:szCs w:val="44"/>
                <w:highlight w:val="none"/>
              </w:rPr>
            </w:pPr>
            <w:r>
              <w:rPr>
                <w:rFonts w:hint="eastAsia" w:ascii="宋体" w:hAnsi="宋体"/>
                <w:color w:val="auto"/>
                <w:szCs w:val="44"/>
                <w:highlight w:val="none"/>
              </w:rPr>
              <w:t>经会计师事务所或者审计机构审计的财务会计报表，包括资产负债表、损益表、现金流量表、利润表和财务状况说明书扫描件</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1B5402FC">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37FCAEA0">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8E87CB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5718EA4">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334CBB3C">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70C5183">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76A4A9B0">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2C3991B">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16EAAB59">
            <w:pPr>
              <w:jc w:val="center"/>
              <w:rPr>
                <w:rFonts w:ascii="宋体" w:hAnsi="宋体"/>
                <w:color w:val="auto"/>
                <w:szCs w:val="44"/>
                <w:highlight w:val="none"/>
              </w:rPr>
            </w:pPr>
          </w:p>
        </w:tc>
      </w:tr>
      <w:tr w14:paraId="4DFB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47B28B0A">
            <w:pPr>
              <w:jc w:val="center"/>
              <w:rPr>
                <w:rFonts w:ascii="黑体" w:hAnsi="宋体" w:eastAsia="黑体"/>
                <w:color w:val="auto"/>
                <w:szCs w:val="44"/>
                <w:highlight w:val="none"/>
              </w:rPr>
            </w:pPr>
            <w:r>
              <w:rPr>
                <w:rFonts w:hint="eastAsia" w:ascii="黑体" w:hAnsi="宋体" w:eastAsia="黑体"/>
                <w:color w:val="auto"/>
                <w:szCs w:val="44"/>
                <w:highlight w:val="none"/>
              </w:rPr>
              <w:t>5</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5F830A02">
            <w:pPr>
              <w:jc w:val="center"/>
              <w:rPr>
                <w:rFonts w:ascii="宋体" w:hAnsi="宋体"/>
                <w:color w:val="auto"/>
                <w:szCs w:val="44"/>
                <w:highlight w:val="none"/>
              </w:rPr>
            </w:pPr>
            <w:r>
              <w:rPr>
                <w:rFonts w:hint="eastAsia" w:ascii="宋体" w:hAnsi="宋体"/>
                <w:color w:val="auto"/>
                <w:szCs w:val="44"/>
                <w:highlight w:val="none"/>
              </w:rPr>
              <w:t>类似项目</w:t>
            </w:r>
          </w:p>
          <w:p w14:paraId="6A5D1A7F">
            <w:pPr>
              <w:jc w:val="center"/>
              <w:rPr>
                <w:rFonts w:ascii="宋体" w:hAnsi="宋体"/>
                <w:color w:val="auto"/>
                <w:szCs w:val="44"/>
                <w:highlight w:val="none"/>
              </w:rPr>
            </w:pPr>
            <w:r>
              <w:rPr>
                <w:rFonts w:hint="eastAsia" w:ascii="宋体" w:hAnsi="宋体"/>
                <w:color w:val="auto"/>
                <w:szCs w:val="44"/>
                <w:highlight w:val="none"/>
              </w:rPr>
              <w:t>业绩</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7D6B8559">
            <w:pPr>
              <w:rPr>
                <w:rFonts w:ascii="宋体" w:hAnsi="宋体"/>
                <w:color w:val="auto"/>
                <w:szCs w:val="44"/>
                <w:highlight w:val="none"/>
              </w:rPr>
            </w:pPr>
            <w:r>
              <w:rPr>
                <w:rFonts w:hint="eastAsia" w:ascii="宋体" w:hAnsi="宋体"/>
                <w:color w:val="auto"/>
                <w:szCs w:val="44"/>
                <w:highlight w:val="none"/>
              </w:rPr>
              <w:t>符合第二章“投标人须知”第1.4.1 项规定</w:t>
            </w:r>
          </w:p>
        </w:tc>
        <w:tc>
          <w:tcPr>
            <w:tcW w:w="853" w:type="pct"/>
            <w:tcBorders>
              <w:top w:val="single" w:color="auto" w:sz="4" w:space="0"/>
              <w:left w:val="single" w:color="auto" w:sz="4" w:space="0"/>
              <w:bottom w:val="single" w:color="auto" w:sz="4" w:space="0"/>
              <w:right w:val="single" w:color="auto" w:sz="4" w:space="0"/>
            </w:tcBorders>
            <w:noWrap w:val="0"/>
            <w:vAlign w:val="top"/>
          </w:tcPr>
          <w:p w14:paraId="2A9FE3CE">
            <w:pPr>
              <w:rPr>
                <w:rFonts w:ascii="宋体" w:hAnsi="宋体"/>
                <w:color w:val="auto"/>
                <w:szCs w:val="44"/>
                <w:highlight w:val="none"/>
              </w:rPr>
            </w:pPr>
            <w:r>
              <w:rPr>
                <w:rFonts w:hint="eastAsia" w:ascii="宋体" w:hAnsi="宋体"/>
                <w:color w:val="auto"/>
                <w:szCs w:val="44"/>
                <w:highlight w:val="none"/>
              </w:rPr>
              <w:t>中标通知书、合同协议书、工程接收证书</w:t>
            </w:r>
            <w:r>
              <w:rPr>
                <w:rFonts w:hint="eastAsia"/>
                <w:color w:val="auto"/>
                <w:highlight w:val="none"/>
              </w:rPr>
              <w:t>或工程竣工验收证书（工程竣工验收备案证）及其他证明材料（如需要）</w:t>
            </w:r>
            <w:r>
              <w:rPr>
                <w:rFonts w:hint="eastAsia" w:ascii="宋体" w:hAnsi="宋体"/>
                <w:color w:val="auto"/>
                <w:szCs w:val="44"/>
                <w:highlight w:val="none"/>
              </w:rPr>
              <w:t>的扫描件</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046F61E4">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2D2E3DE">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42FE6B9">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1D65626">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046F062A">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1A53D028">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A6B5E76">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12542945">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68E34EE2">
            <w:pPr>
              <w:jc w:val="center"/>
              <w:rPr>
                <w:rFonts w:ascii="宋体" w:hAnsi="宋体"/>
                <w:color w:val="auto"/>
                <w:szCs w:val="44"/>
                <w:highlight w:val="none"/>
              </w:rPr>
            </w:pPr>
          </w:p>
        </w:tc>
      </w:tr>
    </w:tbl>
    <w:p w14:paraId="6D6111A1">
      <w:pPr>
        <w:rPr>
          <w:rFonts w:hint="eastAsia" w:ascii="宋体" w:hAnsi="宋体"/>
          <w:color w:val="auto"/>
          <w:szCs w:val="44"/>
          <w:highlight w:val="none"/>
        </w:rPr>
      </w:pPr>
    </w:p>
    <w:p w14:paraId="0B3CD852">
      <w:pPr>
        <w:rPr>
          <w:rFonts w:hint="eastAsia" w:ascii="宋体" w:hAnsi="宋体"/>
          <w:color w:val="auto"/>
          <w:szCs w:val="44"/>
          <w:highlight w:val="none"/>
        </w:rPr>
      </w:pPr>
    </w:p>
    <w:p w14:paraId="0D836D94">
      <w:pPr>
        <w:rPr>
          <w:rFonts w:hint="eastAsia" w:ascii="宋体" w:hAnsi="宋体"/>
          <w:color w:val="auto"/>
          <w:szCs w:val="44"/>
          <w:highlight w:val="none"/>
        </w:rPr>
      </w:pPr>
    </w:p>
    <w:p w14:paraId="5CE905F0">
      <w:pPr>
        <w:rPr>
          <w:rFonts w:hint="eastAsia" w:ascii="宋体" w:hAnsi="宋体"/>
          <w:color w:val="auto"/>
          <w:szCs w:val="44"/>
          <w:highlight w:val="none"/>
        </w:rPr>
      </w:pP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542"/>
        <w:gridCol w:w="2004"/>
        <w:gridCol w:w="2349"/>
        <w:gridCol w:w="815"/>
        <w:gridCol w:w="818"/>
        <w:gridCol w:w="818"/>
        <w:gridCol w:w="818"/>
        <w:gridCol w:w="815"/>
        <w:gridCol w:w="818"/>
        <w:gridCol w:w="818"/>
        <w:gridCol w:w="818"/>
        <w:gridCol w:w="812"/>
      </w:tblGrid>
      <w:tr w14:paraId="458B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vMerge w:val="restart"/>
            <w:tcBorders>
              <w:top w:val="single" w:color="auto" w:sz="4" w:space="0"/>
              <w:left w:val="single" w:color="auto" w:sz="4" w:space="0"/>
              <w:bottom w:val="single" w:color="auto" w:sz="4" w:space="0"/>
              <w:right w:val="single" w:color="auto" w:sz="4" w:space="0"/>
            </w:tcBorders>
            <w:noWrap w:val="0"/>
            <w:vAlign w:val="center"/>
          </w:tcPr>
          <w:p w14:paraId="5E63DFB6">
            <w:pPr>
              <w:jc w:val="center"/>
              <w:rPr>
                <w:rFonts w:ascii="宋体" w:hAnsi="宋体"/>
                <w:color w:val="auto"/>
                <w:szCs w:val="44"/>
                <w:highlight w:val="none"/>
              </w:rPr>
            </w:pPr>
            <w:r>
              <w:rPr>
                <w:rFonts w:hint="eastAsia" w:ascii="宋体" w:hAnsi="宋体"/>
                <w:color w:val="auto"/>
                <w:szCs w:val="44"/>
                <w:highlight w:val="none"/>
              </w:rPr>
              <w:t>序号</w:t>
            </w:r>
          </w:p>
        </w:tc>
        <w:tc>
          <w:tcPr>
            <w:tcW w:w="560" w:type="pct"/>
            <w:vMerge w:val="restart"/>
            <w:tcBorders>
              <w:top w:val="single" w:color="auto" w:sz="4" w:space="0"/>
              <w:left w:val="single" w:color="auto" w:sz="4" w:space="0"/>
              <w:bottom w:val="single" w:color="auto" w:sz="4" w:space="0"/>
              <w:right w:val="single" w:color="auto" w:sz="4" w:space="0"/>
            </w:tcBorders>
            <w:noWrap w:val="0"/>
            <w:vAlign w:val="center"/>
          </w:tcPr>
          <w:p w14:paraId="548D8F16">
            <w:pPr>
              <w:jc w:val="center"/>
              <w:rPr>
                <w:rFonts w:ascii="宋体" w:hAnsi="宋体"/>
                <w:color w:val="auto"/>
                <w:szCs w:val="44"/>
                <w:highlight w:val="none"/>
              </w:rPr>
            </w:pPr>
            <w:r>
              <w:rPr>
                <w:rFonts w:hint="eastAsia" w:ascii="宋体" w:hAnsi="宋体"/>
                <w:color w:val="auto"/>
                <w:szCs w:val="44"/>
                <w:highlight w:val="none"/>
              </w:rPr>
              <w:t>评审因素</w:t>
            </w:r>
          </w:p>
        </w:tc>
        <w:tc>
          <w:tcPr>
            <w:tcW w:w="728" w:type="pct"/>
            <w:vMerge w:val="restart"/>
            <w:tcBorders>
              <w:top w:val="single" w:color="auto" w:sz="4" w:space="0"/>
              <w:left w:val="single" w:color="auto" w:sz="4" w:space="0"/>
              <w:bottom w:val="single" w:color="auto" w:sz="4" w:space="0"/>
              <w:right w:val="single" w:color="auto" w:sz="4" w:space="0"/>
            </w:tcBorders>
            <w:noWrap w:val="0"/>
            <w:vAlign w:val="center"/>
          </w:tcPr>
          <w:p w14:paraId="72F2753B">
            <w:pPr>
              <w:jc w:val="center"/>
              <w:rPr>
                <w:rFonts w:ascii="宋体" w:hAnsi="宋体"/>
                <w:color w:val="auto"/>
                <w:szCs w:val="44"/>
                <w:highlight w:val="none"/>
              </w:rPr>
            </w:pPr>
            <w:r>
              <w:rPr>
                <w:rFonts w:hint="eastAsia" w:ascii="宋体" w:hAnsi="宋体"/>
                <w:color w:val="auto"/>
                <w:szCs w:val="44"/>
                <w:highlight w:val="none"/>
              </w:rPr>
              <w:t>评审标准</w:t>
            </w:r>
          </w:p>
        </w:tc>
        <w:tc>
          <w:tcPr>
            <w:tcW w:w="853" w:type="pct"/>
            <w:vMerge w:val="restart"/>
            <w:tcBorders>
              <w:top w:val="single" w:color="auto" w:sz="4" w:space="0"/>
              <w:left w:val="single" w:color="auto" w:sz="4" w:space="0"/>
              <w:bottom w:val="single" w:color="auto" w:sz="4" w:space="0"/>
              <w:right w:val="single" w:color="auto" w:sz="4" w:space="0"/>
            </w:tcBorders>
            <w:noWrap w:val="0"/>
            <w:vAlign w:val="center"/>
          </w:tcPr>
          <w:p w14:paraId="7FE90A0E">
            <w:pPr>
              <w:autoSpaceDE w:val="0"/>
              <w:autoSpaceDN w:val="0"/>
              <w:adjustRightInd w:val="0"/>
              <w:snapToGrid w:val="0"/>
              <w:jc w:val="center"/>
              <w:rPr>
                <w:color w:val="auto"/>
                <w:kern w:val="0"/>
                <w:sz w:val="24"/>
                <w:szCs w:val="24"/>
                <w:highlight w:val="none"/>
              </w:rPr>
            </w:pPr>
            <w:r>
              <w:rPr>
                <w:rFonts w:hint="eastAsia" w:ascii="宋体" w:hAnsi="宋体"/>
                <w:color w:val="auto"/>
                <w:szCs w:val="44"/>
                <w:highlight w:val="none"/>
              </w:rPr>
              <w:t>有效的证明材料</w:t>
            </w:r>
          </w:p>
        </w:tc>
        <w:tc>
          <w:tcPr>
            <w:tcW w:w="2669" w:type="pct"/>
            <w:gridSpan w:val="9"/>
            <w:tcBorders>
              <w:top w:val="single" w:color="auto" w:sz="4" w:space="0"/>
              <w:left w:val="single" w:color="auto" w:sz="4" w:space="0"/>
              <w:bottom w:val="single" w:color="auto" w:sz="4" w:space="0"/>
              <w:right w:val="single" w:color="auto" w:sz="4" w:space="0"/>
            </w:tcBorders>
            <w:noWrap w:val="0"/>
            <w:vAlign w:val="center"/>
          </w:tcPr>
          <w:p w14:paraId="21D9DAEF">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339C7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790EFD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BF8042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FEB7B5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5FD9AAD">
            <w:pPr>
              <w:widowControl/>
              <w:jc w:val="left"/>
              <w:rPr>
                <w:color w:val="auto"/>
                <w:kern w:val="0"/>
                <w:sz w:val="24"/>
                <w:szCs w:val="2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3B8163C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594B5F8">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47FFA7A">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196E49D7">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7B4C7722">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1E4A0D0">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03CFCB26">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70B659C">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111EFCDB">
            <w:pPr>
              <w:jc w:val="center"/>
              <w:rPr>
                <w:rFonts w:ascii="宋体" w:hAnsi="宋体"/>
                <w:color w:val="auto"/>
                <w:szCs w:val="44"/>
                <w:highlight w:val="none"/>
              </w:rPr>
            </w:pPr>
          </w:p>
        </w:tc>
      </w:tr>
      <w:tr w14:paraId="278AA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71CFF9AB">
            <w:pPr>
              <w:jc w:val="center"/>
              <w:rPr>
                <w:rFonts w:ascii="黑体" w:hAnsi="宋体" w:eastAsia="黑体"/>
                <w:color w:val="auto"/>
                <w:szCs w:val="44"/>
                <w:highlight w:val="none"/>
              </w:rPr>
            </w:pPr>
            <w:r>
              <w:rPr>
                <w:rFonts w:hint="eastAsia" w:ascii="黑体" w:hAnsi="宋体" w:eastAsia="黑体"/>
                <w:color w:val="auto"/>
                <w:szCs w:val="44"/>
                <w:highlight w:val="none"/>
              </w:rPr>
              <w:t>6</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76358013">
            <w:pPr>
              <w:jc w:val="center"/>
              <w:rPr>
                <w:rFonts w:ascii="宋体" w:hAnsi="宋体"/>
                <w:color w:val="auto"/>
                <w:szCs w:val="44"/>
                <w:highlight w:val="none"/>
              </w:rPr>
            </w:pPr>
            <w:r>
              <w:rPr>
                <w:rFonts w:hint="eastAsia" w:ascii="宋体" w:hAnsi="宋体"/>
                <w:color w:val="auto"/>
                <w:szCs w:val="44"/>
                <w:highlight w:val="none"/>
              </w:rPr>
              <w:t>信誉</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72BD58B0">
            <w:pPr>
              <w:rPr>
                <w:rFonts w:ascii="宋体" w:hAnsi="宋体"/>
                <w:color w:val="auto"/>
                <w:szCs w:val="44"/>
                <w:highlight w:val="none"/>
              </w:rPr>
            </w:pPr>
            <w:r>
              <w:rPr>
                <w:rFonts w:hint="eastAsia" w:ascii="宋体" w:hAnsi="宋体"/>
                <w:color w:val="auto"/>
                <w:szCs w:val="44"/>
                <w:highlight w:val="none"/>
              </w:rPr>
              <w:t>符合第二章“投标人须知”第1.4.1 项规定</w:t>
            </w:r>
          </w:p>
        </w:tc>
        <w:tc>
          <w:tcPr>
            <w:tcW w:w="853" w:type="pct"/>
            <w:tcBorders>
              <w:top w:val="single" w:color="auto" w:sz="4" w:space="0"/>
              <w:left w:val="single" w:color="auto" w:sz="4" w:space="0"/>
              <w:bottom w:val="single" w:color="auto" w:sz="4" w:space="0"/>
              <w:right w:val="single" w:color="auto" w:sz="4" w:space="0"/>
            </w:tcBorders>
            <w:noWrap w:val="0"/>
            <w:vAlign w:val="top"/>
          </w:tcPr>
          <w:p w14:paraId="3B0CFAF6">
            <w:pPr>
              <w:spacing w:line="340" w:lineRule="exact"/>
              <w:rPr>
                <w:color w:val="auto"/>
                <w:szCs w:val="21"/>
                <w:highlight w:val="none"/>
              </w:rPr>
            </w:pPr>
            <w:r>
              <w:rPr>
                <w:rFonts w:hint="eastAsia" w:ascii="宋体" w:hAnsi="宋体"/>
                <w:color w:val="auto"/>
                <w:szCs w:val="44"/>
                <w:highlight w:val="none"/>
              </w:rPr>
              <w:t>投标人的“</w:t>
            </w:r>
            <w:r>
              <w:rPr>
                <w:rFonts w:hint="eastAsia" w:ascii="宋体" w:hAnsi="宋体"/>
                <w:color w:val="auto"/>
                <w:szCs w:val="21"/>
                <w:highlight w:val="none"/>
              </w:rPr>
              <w:t>企业信誉声明”</w:t>
            </w:r>
            <w:r>
              <w:rPr>
                <w:rFonts w:hint="eastAsia" w:ascii="宋体" w:hAnsi="宋体"/>
                <w:color w:val="auto"/>
                <w:szCs w:val="44"/>
                <w:highlight w:val="none"/>
              </w:rPr>
              <w:t>及相关证明材料</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1E0486FA">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1F69CE87">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09FF7AE">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283061D2">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77C29185">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5A90186">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0606AC1">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D4947AC">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6852391F">
            <w:pPr>
              <w:jc w:val="center"/>
              <w:rPr>
                <w:rFonts w:ascii="宋体" w:hAnsi="宋体"/>
                <w:color w:val="auto"/>
                <w:szCs w:val="44"/>
                <w:highlight w:val="none"/>
              </w:rPr>
            </w:pPr>
          </w:p>
        </w:tc>
      </w:tr>
      <w:tr w14:paraId="7769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40A51992">
            <w:pPr>
              <w:jc w:val="center"/>
              <w:rPr>
                <w:rFonts w:ascii="黑体" w:hAnsi="宋体" w:eastAsia="黑体"/>
                <w:color w:val="auto"/>
                <w:szCs w:val="44"/>
                <w:highlight w:val="none"/>
              </w:rPr>
            </w:pPr>
            <w:r>
              <w:rPr>
                <w:rFonts w:hint="eastAsia" w:ascii="黑体" w:hAnsi="宋体" w:eastAsia="黑体"/>
                <w:color w:val="auto"/>
                <w:szCs w:val="44"/>
                <w:highlight w:val="none"/>
              </w:rPr>
              <w:t>7</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3E2F212C">
            <w:pPr>
              <w:jc w:val="center"/>
              <w:rPr>
                <w:rFonts w:ascii="宋体" w:hAnsi="宋体"/>
                <w:color w:val="auto"/>
                <w:szCs w:val="44"/>
                <w:highlight w:val="none"/>
              </w:rPr>
            </w:pPr>
            <w:r>
              <w:rPr>
                <w:rFonts w:hint="eastAsia" w:ascii="宋体" w:hAnsi="宋体"/>
                <w:color w:val="auto"/>
                <w:szCs w:val="44"/>
                <w:highlight w:val="none"/>
              </w:rPr>
              <w:t>项目经理</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08C73EBF">
            <w:pPr>
              <w:rPr>
                <w:rFonts w:ascii="宋体" w:hAnsi="宋体"/>
                <w:color w:val="auto"/>
                <w:szCs w:val="44"/>
                <w:highlight w:val="none"/>
              </w:rPr>
            </w:pPr>
            <w:r>
              <w:rPr>
                <w:rFonts w:hint="eastAsia" w:ascii="宋体" w:hAnsi="宋体"/>
                <w:color w:val="auto"/>
                <w:szCs w:val="44"/>
                <w:highlight w:val="none"/>
              </w:rPr>
              <w:t>符合第二章“投标人须知”第1.4.1 项规定</w:t>
            </w:r>
          </w:p>
        </w:tc>
        <w:tc>
          <w:tcPr>
            <w:tcW w:w="853" w:type="pct"/>
            <w:tcBorders>
              <w:top w:val="single" w:color="auto" w:sz="4" w:space="0"/>
              <w:left w:val="single" w:color="auto" w:sz="4" w:space="0"/>
              <w:bottom w:val="single" w:color="auto" w:sz="4" w:space="0"/>
              <w:right w:val="single" w:color="auto" w:sz="4" w:space="0"/>
            </w:tcBorders>
            <w:noWrap w:val="0"/>
            <w:vAlign w:val="top"/>
          </w:tcPr>
          <w:p w14:paraId="7B654C8A">
            <w:pPr>
              <w:rPr>
                <w:rFonts w:ascii="宋体" w:hAnsi="宋体"/>
                <w:color w:val="auto"/>
                <w:szCs w:val="44"/>
                <w:highlight w:val="none"/>
              </w:rPr>
            </w:pPr>
            <w:r>
              <w:rPr>
                <w:rFonts w:hint="eastAsia"/>
                <w:color w:val="auto"/>
                <w:szCs w:val="21"/>
                <w:highlight w:val="none"/>
              </w:rPr>
              <w:t>住房城乡建设</w:t>
            </w:r>
            <w:r>
              <w:rPr>
                <w:rFonts w:hint="eastAsia" w:ascii="宋体" w:hAnsi="宋体"/>
                <w:color w:val="auto"/>
                <w:szCs w:val="44"/>
                <w:highlight w:val="none"/>
              </w:rPr>
              <w:t>主管部门核发的建造师执业资格证书、注册证书和有效的安全生产考核合格证书（B证）扫描件</w:t>
            </w:r>
          </w:p>
          <w:p w14:paraId="4494E1C9">
            <w:pPr>
              <w:rPr>
                <w:rFonts w:ascii="宋体" w:hAnsi="宋体"/>
                <w:color w:val="auto"/>
                <w:szCs w:val="44"/>
                <w:highlight w:val="none"/>
              </w:rPr>
            </w:pPr>
            <w:r>
              <w:rPr>
                <w:rFonts w:hint="eastAsia" w:ascii="宋体" w:hAnsi="宋体"/>
                <w:color w:val="auto"/>
                <w:szCs w:val="44"/>
                <w:highlight w:val="none"/>
              </w:rPr>
              <w:t>由投标人的法定代表人签字并加盖单位章的未在其他在施建设工程项目担任项目经理的书面承诺</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5AE996F8">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3FFA292F">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024144F">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11BECE41">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0EDD31A2">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31667FAE">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8F2E075">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1F0BBA4C">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67D6D7F4">
            <w:pPr>
              <w:jc w:val="center"/>
              <w:rPr>
                <w:rFonts w:ascii="宋体" w:hAnsi="宋体"/>
                <w:color w:val="auto"/>
                <w:szCs w:val="44"/>
                <w:highlight w:val="none"/>
              </w:rPr>
            </w:pPr>
          </w:p>
        </w:tc>
      </w:tr>
      <w:tr w14:paraId="60EF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1B5D32FC">
            <w:pPr>
              <w:jc w:val="center"/>
              <w:rPr>
                <w:rFonts w:ascii="黑体" w:hAnsi="宋体" w:eastAsia="黑体"/>
                <w:color w:val="auto"/>
                <w:szCs w:val="44"/>
                <w:highlight w:val="none"/>
              </w:rPr>
            </w:pPr>
            <w:r>
              <w:rPr>
                <w:rFonts w:hint="eastAsia" w:ascii="黑体" w:hAnsi="宋体" w:eastAsia="黑体"/>
                <w:color w:val="auto"/>
                <w:szCs w:val="44"/>
                <w:highlight w:val="none"/>
              </w:rPr>
              <w:t>8</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49898B2D">
            <w:pPr>
              <w:jc w:val="center"/>
              <w:rPr>
                <w:rFonts w:ascii="宋体" w:hAnsi="宋体"/>
                <w:color w:val="auto"/>
                <w:szCs w:val="44"/>
                <w:highlight w:val="none"/>
              </w:rPr>
            </w:pPr>
            <w:r>
              <w:rPr>
                <w:rFonts w:hint="eastAsia" w:ascii="宋体" w:hAnsi="宋体"/>
                <w:color w:val="auto"/>
                <w:szCs w:val="44"/>
                <w:highlight w:val="none"/>
              </w:rPr>
              <w:t>其他要求</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567453E3">
            <w:pPr>
              <w:rPr>
                <w:rFonts w:ascii="宋体" w:hAnsi="宋体"/>
                <w:color w:val="auto"/>
                <w:szCs w:val="44"/>
                <w:highlight w:val="none"/>
              </w:rPr>
            </w:pPr>
            <w:r>
              <w:rPr>
                <w:rFonts w:hint="eastAsia" w:ascii="宋体" w:hAnsi="宋体"/>
                <w:color w:val="auto"/>
                <w:szCs w:val="44"/>
                <w:highlight w:val="none"/>
              </w:rPr>
              <w:t>符合第二章“投标人须知”第1.4.1 项规定</w:t>
            </w:r>
          </w:p>
        </w:tc>
        <w:tc>
          <w:tcPr>
            <w:tcW w:w="853" w:type="pct"/>
            <w:tcBorders>
              <w:top w:val="single" w:color="auto" w:sz="4" w:space="0"/>
              <w:left w:val="single" w:color="auto" w:sz="4" w:space="0"/>
              <w:bottom w:val="single" w:color="auto" w:sz="4" w:space="0"/>
              <w:right w:val="single" w:color="auto" w:sz="4" w:space="0"/>
            </w:tcBorders>
            <w:noWrap w:val="0"/>
            <w:vAlign w:val="top"/>
          </w:tcPr>
          <w:p w14:paraId="33448FA3">
            <w:pP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4F87FB29">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3AFBCAB7">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79AF66B0">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526F3A7">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1C19970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3C07E6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07F9602">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88E9E92">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5A47A396">
            <w:pPr>
              <w:jc w:val="center"/>
              <w:rPr>
                <w:rFonts w:ascii="宋体" w:hAnsi="宋体"/>
                <w:color w:val="auto"/>
                <w:szCs w:val="44"/>
                <w:highlight w:val="none"/>
              </w:rPr>
            </w:pPr>
          </w:p>
        </w:tc>
      </w:tr>
      <w:tr w14:paraId="6F79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tcBorders>
              <w:top w:val="single" w:color="auto" w:sz="4" w:space="0"/>
              <w:left w:val="single" w:color="auto" w:sz="4" w:space="0"/>
              <w:bottom w:val="single" w:color="auto" w:sz="4" w:space="0"/>
              <w:right w:val="single" w:color="auto" w:sz="4" w:space="0"/>
            </w:tcBorders>
            <w:noWrap w:val="0"/>
            <w:vAlign w:val="center"/>
          </w:tcPr>
          <w:p w14:paraId="49A16967">
            <w:pPr>
              <w:jc w:val="center"/>
              <w:rPr>
                <w:rFonts w:ascii="黑体" w:hAnsi="宋体" w:eastAsia="黑体"/>
                <w:color w:val="auto"/>
                <w:szCs w:val="44"/>
                <w:highlight w:val="none"/>
              </w:rPr>
            </w:pPr>
            <w:r>
              <w:rPr>
                <w:rFonts w:hint="eastAsia" w:ascii="黑体" w:hAnsi="宋体" w:eastAsia="黑体"/>
                <w:color w:val="auto"/>
                <w:szCs w:val="44"/>
                <w:highlight w:val="none"/>
              </w:rPr>
              <w:t>9</w:t>
            </w:r>
          </w:p>
        </w:tc>
        <w:tc>
          <w:tcPr>
            <w:tcW w:w="560" w:type="pct"/>
            <w:tcBorders>
              <w:top w:val="single" w:color="auto" w:sz="4" w:space="0"/>
              <w:left w:val="single" w:color="auto" w:sz="4" w:space="0"/>
              <w:bottom w:val="single" w:color="auto" w:sz="4" w:space="0"/>
              <w:right w:val="single" w:color="auto" w:sz="4" w:space="0"/>
            </w:tcBorders>
            <w:noWrap w:val="0"/>
            <w:vAlign w:val="center"/>
          </w:tcPr>
          <w:p w14:paraId="65A88CC1">
            <w:pPr>
              <w:jc w:val="center"/>
              <w:rPr>
                <w:rFonts w:ascii="宋体" w:hAnsi="宋体"/>
                <w:color w:val="auto"/>
                <w:szCs w:val="44"/>
                <w:highlight w:val="none"/>
              </w:rPr>
            </w:pPr>
            <w:r>
              <w:rPr>
                <w:rFonts w:hint="eastAsia" w:ascii="宋体" w:hAnsi="宋体"/>
                <w:color w:val="auto"/>
                <w:szCs w:val="44"/>
                <w:highlight w:val="none"/>
              </w:rPr>
              <w:t>联合体</w:t>
            </w:r>
          </w:p>
          <w:p w14:paraId="5D17BECE">
            <w:pPr>
              <w:jc w:val="center"/>
              <w:rPr>
                <w:rFonts w:hint="eastAsia" w:ascii="宋体" w:hAnsi="宋体"/>
                <w:color w:val="auto"/>
                <w:szCs w:val="44"/>
                <w:highlight w:val="none"/>
              </w:rPr>
            </w:pPr>
            <w:r>
              <w:rPr>
                <w:rFonts w:hint="eastAsia" w:ascii="宋体" w:hAnsi="宋体"/>
                <w:color w:val="auto"/>
                <w:szCs w:val="44"/>
                <w:highlight w:val="none"/>
              </w:rPr>
              <w:t>投标人</w:t>
            </w:r>
          </w:p>
          <w:p w14:paraId="61BF2703">
            <w:pPr>
              <w:jc w:val="center"/>
              <w:rPr>
                <w:rFonts w:ascii="宋体" w:hAnsi="宋体"/>
                <w:color w:val="auto"/>
                <w:szCs w:val="44"/>
                <w:highlight w:val="none"/>
              </w:rPr>
            </w:pPr>
            <w:r>
              <w:rPr>
                <w:rFonts w:hint="eastAsia" w:ascii="宋体" w:hAnsi="宋体"/>
                <w:color w:val="auto"/>
                <w:szCs w:val="44"/>
                <w:highlight w:val="none"/>
              </w:rPr>
              <w:t>（如有）</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2FCF8D2E">
            <w:pPr>
              <w:rPr>
                <w:rFonts w:ascii="宋体" w:hAnsi="宋体"/>
                <w:color w:val="auto"/>
                <w:szCs w:val="44"/>
                <w:highlight w:val="none"/>
              </w:rPr>
            </w:pPr>
            <w:r>
              <w:rPr>
                <w:rFonts w:hint="eastAsia" w:ascii="宋体" w:hAnsi="宋体"/>
                <w:color w:val="auto"/>
                <w:szCs w:val="44"/>
                <w:highlight w:val="none"/>
              </w:rPr>
              <w:t>符合第二章“投标人须知”第1.4.1 项规定</w:t>
            </w:r>
          </w:p>
        </w:tc>
        <w:tc>
          <w:tcPr>
            <w:tcW w:w="853" w:type="pct"/>
            <w:tcBorders>
              <w:top w:val="single" w:color="auto" w:sz="4" w:space="0"/>
              <w:left w:val="single" w:color="auto" w:sz="4" w:space="0"/>
              <w:bottom w:val="single" w:color="auto" w:sz="4" w:space="0"/>
              <w:right w:val="single" w:color="auto" w:sz="4" w:space="0"/>
            </w:tcBorders>
            <w:noWrap w:val="0"/>
            <w:vAlign w:val="top"/>
          </w:tcPr>
          <w:p w14:paraId="03A3B308">
            <w:pPr>
              <w:rPr>
                <w:rFonts w:ascii="宋体" w:hAnsi="宋体"/>
                <w:color w:val="auto"/>
                <w:szCs w:val="44"/>
                <w:highlight w:val="none"/>
              </w:rPr>
            </w:pPr>
            <w:r>
              <w:rPr>
                <w:rFonts w:hint="eastAsia" w:ascii="宋体" w:hAnsi="宋体"/>
                <w:color w:val="auto"/>
                <w:szCs w:val="44"/>
                <w:highlight w:val="none"/>
              </w:rPr>
              <w:t>联合体协议书及联合体各成员单位提供的上述详细审查因素所需的证明材料</w:t>
            </w:r>
          </w:p>
        </w:tc>
        <w:tc>
          <w:tcPr>
            <w:tcW w:w="296" w:type="pct"/>
            <w:tcBorders>
              <w:top w:val="single" w:color="auto" w:sz="4" w:space="0"/>
              <w:left w:val="single" w:color="auto" w:sz="4" w:space="0"/>
              <w:bottom w:val="single" w:color="auto" w:sz="4" w:space="0"/>
              <w:right w:val="single" w:color="auto" w:sz="4" w:space="0"/>
            </w:tcBorders>
            <w:noWrap w:val="0"/>
            <w:vAlign w:val="center"/>
          </w:tcPr>
          <w:p w14:paraId="54B2581C">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4C9A06B">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45A48C36">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3CA5F9A">
            <w:pPr>
              <w:jc w:val="center"/>
              <w:rPr>
                <w:rFonts w:ascii="宋体" w:hAnsi="宋体"/>
                <w:color w:val="auto"/>
                <w:szCs w:val="44"/>
                <w:highlight w:val="none"/>
              </w:rPr>
            </w:pPr>
          </w:p>
        </w:tc>
        <w:tc>
          <w:tcPr>
            <w:tcW w:w="296" w:type="pct"/>
            <w:tcBorders>
              <w:top w:val="single" w:color="auto" w:sz="4" w:space="0"/>
              <w:left w:val="single" w:color="auto" w:sz="4" w:space="0"/>
              <w:bottom w:val="single" w:color="auto" w:sz="4" w:space="0"/>
              <w:right w:val="single" w:color="auto" w:sz="4" w:space="0"/>
            </w:tcBorders>
            <w:noWrap w:val="0"/>
            <w:vAlign w:val="center"/>
          </w:tcPr>
          <w:p w14:paraId="3E353619">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51145DB1">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6F77E3B2">
            <w:pPr>
              <w:jc w:val="center"/>
              <w:rPr>
                <w:rFonts w:ascii="宋体" w:hAnsi="宋体"/>
                <w:color w:val="auto"/>
                <w:szCs w:val="44"/>
                <w:highlight w:val="none"/>
              </w:rPr>
            </w:pPr>
          </w:p>
        </w:tc>
        <w:tc>
          <w:tcPr>
            <w:tcW w:w="297" w:type="pct"/>
            <w:tcBorders>
              <w:top w:val="single" w:color="auto" w:sz="4" w:space="0"/>
              <w:left w:val="single" w:color="auto" w:sz="4" w:space="0"/>
              <w:bottom w:val="single" w:color="auto" w:sz="4" w:space="0"/>
              <w:right w:val="single" w:color="auto" w:sz="4" w:space="0"/>
            </w:tcBorders>
            <w:noWrap w:val="0"/>
            <w:vAlign w:val="center"/>
          </w:tcPr>
          <w:p w14:paraId="769E482E">
            <w:pPr>
              <w:jc w:val="center"/>
              <w:rPr>
                <w:rFonts w:ascii="宋体" w:hAnsi="宋体"/>
                <w:color w:val="auto"/>
                <w:szCs w:val="44"/>
                <w:highlight w:val="none"/>
              </w:rPr>
            </w:pPr>
          </w:p>
        </w:tc>
        <w:tc>
          <w:tcPr>
            <w:tcW w:w="295" w:type="pct"/>
            <w:tcBorders>
              <w:top w:val="single" w:color="auto" w:sz="4" w:space="0"/>
              <w:left w:val="single" w:color="auto" w:sz="4" w:space="0"/>
              <w:bottom w:val="single" w:color="auto" w:sz="4" w:space="0"/>
              <w:right w:val="single" w:color="auto" w:sz="4" w:space="0"/>
            </w:tcBorders>
            <w:noWrap w:val="0"/>
            <w:vAlign w:val="center"/>
          </w:tcPr>
          <w:p w14:paraId="60F2BE12">
            <w:pPr>
              <w:jc w:val="center"/>
              <w:rPr>
                <w:rFonts w:ascii="宋体" w:hAnsi="宋体"/>
                <w:color w:val="auto"/>
                <w:szCs w:val="44"/>
                <w:highlight w:val="none"/>
              </w:rPr>
            </w:pPr>
          </w:p>
        </w:tc>
      </w:tr>
    </w:tbl>
    <w:p w14:paraId="3315D46A">
      <w:pPr>
        <w:rPr>
          <w:rFonts w:hint="eastAsia" w:ascii="宋体" w:hAnsi="宋体"/>
          <w:color w:val="auto"/>
          <w:szCs w:val="44"/>
          <w:highlight w:val="none"/>
        </w:rPr>
      </w:pPr>
    </w:p>
    <w:p w14:paraId="664B1AB7">
      <w:pPr>
        <w:rPr>
          <w:rFonts w:hint="eastAsia" w:ascii="宋体" w:hAnsi="宋体"/>
          <w:color w:val="auto"/>
          <w:szCs w:val="44"/>
          <w:highlight w:val="none"/>
        </w:rPr>
      </w:pPr>
    </w:p>
    <w:p w14:paraId="0D7F948E">
      <w:pPr>
        <w:rPr>
          <w:rFonts w:hint="eastAsia" w:ascii="宋体" w:hAnsi="宋体"/>
          <w:color w:val="auto"/>
          <w:szCs w:val="44"/>
          <w:highlight w:val="none"/>
        </w:rPr>
      </w:pPr>
    </w:p>
    <w:p w14:paraId="35B0C2CB">
      <w:pPr>
        <w:rPr>
          <w:rFonts w:hint="eastAsia" w:ascii="宋体" w:hAnsi="宋体"/>
          <w:color w:val="auto"/>
          <w:szCs w:val="44"/>
          <w:highlight w:val="none"/>
        </w:rPr>
      </w:pPr>
    </w:p>
    <w:p w14:paraId="2931ACD6">
      <w:pPr>
        <w:rPr>
          <w:rFonts w:hint="eastAsia" w:ascii="宋体" w:hAnsi="宋体"/>
          <w:color w:val="auto"/>
          <w:szCs w:val="44"/>
          <w:highlight w:val="none"/>
        </w:rPr>
      </w:pPr>
    </w:p>
    <w:p w14:paraId="03FA9E3E">
      <w:pPr>
        <w:rPr>
          <w:rFonts w:hint="eastAsia" w:ascii="宋体" w:hAnsi="宋体"/>
          <w:color w:val="auto"/>
          <w:szCs w:val="44"/>
          <w:highlight w:val="none"/>
        </w:rPr>
      </w:pPr>
    </w:p>
    <w:p w14:paraId="20E79D85">
      <w:pPr>
        <w:rPr>
          <w:rFonts w:hint="eastAsia" w:ascii="宋体" w:hAnsi="宋体"/>
          <w:color w:val="auto"/>
          <w:szCs w:val="44"/>
          <w:highlight w:val="none"/>
        </w:rPr>
      </w:pP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1508"/>
        <w:gridCol w:w="1968"/>
        <w:gridCol w:w="2316"/>
        <w:gridCol w:w="782"/>
        <w:gridCol w:w="785"/>
        <w:gridCol w:w="785"/>
        <w:gridCol w:w="785"/>
        <w:gridCol w:w="782"/>
        <w:gridCol w:w="785"/>
        <w:gridCol w:w="785"/>
        <w:gridCol w:w="785"/>
        <w:gridCol w:w="774"/>
      </w:tblGrid>
      <w:tr w14:paraId="07BF8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vMerge w:val="restart"/>
            <w:tcBorders>
              <w:top w:val="single" w:color="auto" w:sz="4" w:space="0"/>
              <w:left w:val="single" w:color="auto" w:sz="4" w:space="0"/>
              <w:bottom w:val="single" w:color="auto" w:sz="4" w:space="0"/>
              <w:right w:val="single" w:color="auto" w:sz="4" w:space="0"/>
            </w:tcBorders>
            <w:noWrap w:val="0"/>
            <w:vAlign w:val="center"/>
          </w:tcPr>
          <w:p w14:paraId="276B3A5F">
            <w:pPr>
              <w:jc w:val="center"/>
              <w:rPr>
                <w:rFonts w:ascii="宋体" w:hAnsi="宋体"/>
                <w:color w:val="auto"/>
                <w:szCs w:val="44"/>
                <w:highlight w:val="none"/>
              </w:rPr>
            </w:pPr>
            <w:r>
              <w:rPr>
                <w:rFonts w:hint="eastAsia" w:ascii="宋体" w:hAnsi="宋体"/>
                <w:color w:val="auto"/>
                <w:szCs w:val="44"/>
                <w:highlight w:val="none"/>
              </w:rPr>
              <w:t>序号</w:t>
            </w:r>
          </w:p>
        </w:tc>
        <w:tc>
          <w:tcPr>
            <w:tcW w:w="548" w:type="pct"/>
            <w:vMerge w:val="restart"/>
            <w:tcBorders>
              <w:top w:val="single" w:color="auto" w:sz="4" w:space="0"/>
              <w:left w:val="single" w:color="auto" w:sz="4" w:space="0"/>
              <w:bottom w:val="single" w:color="auto" w:sz="4" w:space="0"/>
              <w:right w:val="single" w:color="auto" w:sz="4" w:space="0"/>
            </w:tcBorders>
            <w:noWrap w:val="0"/>
            <w:vAlign w:val="center"/>
          </w:tcPr>
          <w:p w14:paraId="192DCF63">
            <w:pPr>
              <w:jc w:val="center"/>
              <w:rPr>
                <w:rFonts w:ascii="宋体" w:hAnsi="宋体"/>
                <w:color w:val="auto"/>
                <w:szCs w:val="44"/>
                <w:highlight w:val="none"/>
              </w:rPr>
            </w:pPr>
            <w:r>
              <w:rPr>
                <w:rFonts w:hint="eastAsia" w:ascii="宋体" w:hAnsi="宋体"/>
                <w:color w:val="auto"/>
                <w:szCs w:val="44"/>
                <w:highlight w:val="none"/>
              </w:rPr>
              <w:t>评审因素</w:t>
            </w:r>
          </w:p>
        </w:tc>
        <w:tc>
          <w:tcPr>
            <w:tcW w:w="715" w:type="pct"/>
            <w:vMerge w:val="restart"/>
            <w:tcBorders>
              <w:top w:val="single" w:color="auto" w:sz="4" w:space="0"/>
              <w:left w:val="single" w:color="auto" w:sz="4" w:space="0"/>
              <w:bottom w:val="single" w:color="auto" w:sz="4" w:space="0"/>
              <w:right w:val="single" w:color="auto" w:sz="4" w:space="0"/>
            </w:tcBorders>
            <w:noWrap w:val="0"/>
            <w:vAlign w:val="center"/>
          </w:tcPr>
          <w:p w14:paraId="1AF26A5F">
            <w:pPr>
              <w:jc w:val="center"/>
              <w:rPr>
                <w:rFonts w:ascii="宋体" w:hAnsi="宋体"/>
                <w:color w:val="auto"/>
                <w:szCs w:val="44"/>
                <w:highlight w:val="none"/>
              </w:rPr>
            </w:pPr>
            <w:r>
              <w:rPr>
                <w:rFonts w:hint="eastAsia" w:ascii="宋体" w:hAnsi="宋体"/>
                <w:color w:val="auto"/>
                <w:szCs w:val="44"/>
                <w:highlight w:val="none"/>
              </w:rPr>
              <w:t>评审标准</w:t>
            </w:r>
          </w:p>
        </w:tc>
        <w:tc>
          <w:tcPr>
            <w:tcW w:w="841" w:type="pct"/>
            <w:vMerge w:val="restart"/>
            <w:tcBorders>
              <w:top w:val="single" w:color="auto" w:sz="4" w:space="0"/>
              <w:left w:val="single" w:color="auto" w:sz="4" w:space="0"/>
              <w:bottom w:val="single" w:color="auto" w:sz="4" w:space="0"/>
              <w:right w:val="single" w:color="auto" w:sz="4" w:space="0"/>
            </w:tcBorders>
            <w:noWrap w:val="0"/>
            <w:vAlign w:val="center"/>
          </w:tcPr>
          <w:p w14:paraId="0FB33277">
            <w:pPr>
              <w:autoSpaceDE w:val="0"/>
              <w:autoSpaceDN w:val="0"/>
              <w:adjustRightInd w:val="0"/>
              <w:snapToGrid w:val="0"/>
              <w:jc w:val="center"/>
              <w:rPr>
                <w:color w:val="auto"/>
                <w:kern w:val="0"/>
                <w:sz w:val="24"/>
                <w:szCs w:val="24"/>
                <w:highlight w:val="none"/>
              </w:rPr>
            </w:pPr>
            <w:r>
              <w:rPr>
                <w:rFonts w:hint="eastAsia" w:ascii="宋体" w:hAnsi="宋体"/>
                <w:color w:val="auto"/>
                <w:szCs w:val="44"/>
                <w:highlight w:val="none"/>
              </w:rPr>
              <w:t>有效的证明材料</w:t>
            </w:r>
          </w:p>
        </w:tc>
        <w:tc>
          <w:tcPr>
            <w:tcW w:w="2559" w:type="pct"/>
            <w:gridSpan w:val="9"/>
            <w:tcBorders>
              <w:top w:val="single" w:color="auto" w:sz="4" w:space="0"/>
              <w:left w:val="single" w:color="auto" w:sz="4" w:space="0"/>
              <w:bottom w:val="single" w:color="auto" w:sz="4" w:space="0"/>
              <w:right w:val="single" w:color="auto" w:sz="4" w:space="0"/>
            </w:tcBorders>
            <w:noWrap w:val="0"/>
            <w:vAlign w:val="center"/>
          </w:tcPr>
          <w:p w14:paraId="2B74A1C0">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6897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249B25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33A37A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B8752E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218E24">
            <w:pPr>
              <w:widowControl/>
              <w:jc w:val="left"/>
              <w:rPr>
                <w:color w:val="auto"/>
                <w:kern w:val="0"/>
                <w:sz w:val="24"/>
                <w:szCs w:val="24"/>
                <w:highlight w:val="none"/>
              </w:rPr>
            </w:pPr>
          </w:p>
        </w:tc>
        <w:tc>
          <w:tcPr>
            <w:tcW w:w="284" w:type="pct"/>
            <w:tcBorders>
              <w:top w:val="single" w:color="auto" w:sz="4" w:space="0"/>
              <w:left w:val="single" w:color="auto" w:sz="4" w:space="0"/>
              <w:bottom w:val="single" w:color="auto" w:sz="4" w:space="0"/>
              <w:right w:val="single" w:color="auto" w:sz="4" w:space="0"/>
            </w:tcBorders>
            <w:noWrap w:val="0"/>
            <w:vAlign w:val="center"/>
          </w:tcPr>
          <w:p w14:paraId="3FC3CA75">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139D7BCA">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60E21E38">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472F6D3A">
            <w:pPr>
              <w:jc w:val="center"/>
              <w:rPr>
                <w:rFonts w:ascii="宋体" w:hAnsi="宋体"/>
                <w:color w:val="auto"/>
                <w:szCs w:val="44"/>
                <w:highlight w:val="none"/>
              </w:rPr>
            </w:pPr>
          </w:p>
        </w:tc>
        <w:tc>
          <w:tcPr>
            <w:tcW w:w="284" w:type="pct"/>
            <w:tcBorders>
              <w:top w:val="single" w:color="auto" w:sz="4" w:space="0"/>
              <w:left w:val="single" w:color="auto" w:sz="4" w:space="0"/>
              <w:bottom w:val="single" w:color="auto" w:sz="4" w:space="0"/>
              <w:right w:val="single" w:color="auto" w:sz="4" w:space="0"/>
            </w:tcBorders>
            <w:noWrap w:val="0"/>
            <w:vAlign w:val="center"/>
          </w:tcPr>
          <w:p w14:paraId="6059749F">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4B1AF7E7">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5F999B21">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05A4F80A">
            <w:pPr>
              <w:jc w:val="center"/>
              <w:rPr>
                <w:rFonts w:ascii="宋体" w:hAnsi="宋体"/>
                <w:color w:val="auto"/>
                <w:szCs w:val="44"/>
                <w:highlight w:val="none"/>
              </w:rPr>
            </w:pPr>
          </w:p>
        </w:tc>
        <w:tc>
          <w:tcPr>
            <w:tcW w:w="283" w:type="pct"/>
            <w:tcBorders>
              <w:top w:val="single" w:color="auto" w:sz="4" w:space="0"/>
              <w:left w:val="single" w:color="auto" w:sz="4" w:space="0"/>
              <w:bottom w:val="single" w:color="auto" w:sz="4" w:space="0"/>
              <w:right w:val="single" w:color="auto" w:sz="4" w:space="0"/>
            </w:tcBorders>
            <w:noWrap w:val="0"/>
            <w:vAlign w:val="center"/>
          </w:tcPr>
          <w:p w14:paraId="207048C0">
            <w:pPr>
              <w:jc w:val="center"/>
              <w:rPr>
                <w:rFonts w:ascii="宋体" w:hAnsi="宋体"/>
                <w:color w:val="auto"/>
                <w:szCs w:val="44"/>
                <w:highlight w:val="none"/>
              </w:rPr>
            </w:pPr>
          </w:p>
        </w:tc>
      </w:tr>
      <w:tr w14:paraId="3E40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tcBorders>
              <w:top w:val="single" w:color="auto" w:sz="4" w:space="0"/>
              <w:left w:val="single" w:color="auto" w:sz="4" w:space="0"/>
              <w:bottom w:val="single" w:color="auto" w:sz="4" w:space="0"/>
              <w:right w:val="single" w:color="auto" w:sz="4" w:space="0"/>
            </w:tcBorders>
            <w:noWrap w:val="0"/>
            <w:vAlign w:val="center"/>
          </w:tcPr>
          <w:p w14:paraId="4FC1FCFA">
            <w:pPr>
              <w:spacing w:line="440" w:lineRule="exact"/>
              <w:jc w:val="center"/>
              <w:rPr>
                <w:rFonts w:ascii="黑体" w:hAnsi="宋体" w:eastAsia="黑体"/>
                <w:color w:val="auto"/>
                <w:szCs w:val="24"/>
                <w:highlight w:val="none"/>
              </w:rPr>
            </w:pPr>
            <w:r>
              <w:rPr>
                <w:rFonts w:hint="eastAsia" w:ascii="黑体" w:hAnsi="宋体" w:eastAsia="黑体"/>
                <w:color w:val="auto"/>
                <w:highlight w:val="none"/>
              </w:rPr>
              <w:t>10</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1485EB90">
            <w:pPr>
              <w:spacing w:line="420" w:lineRule="exact"/>
              <w:rPr>
                <w:color w:val="auto"/>
                <w:szCs w:val="24"/>
                <w:highlight w:val="none"/>
              </w:rPr>
            </w:pPr>
            <w:r>
              <w:rPr>
                <w:rFonts w:hint="eastAsia"/>
                <w:color w:val="auto"/>
                <w:highlight w:val="none"/>
              </w:rPr>
              <w:t>不存在禁止投标的情形</w:t>
            </w:r>
          </w:p>
        </w:tc>
        <w:tc>
          <w:tcPr>
            <w:tcW w:w="715" w:type="pct"/>
            <w:tcBorders>
              <w:top w:val="single" w:color="auto" w:sz="4" w:space="0"/>
              <w:left w:val="single" w:color="auto" w:sz="4" w:space="0"/>
              <w:bottom w:val="single" w:color="auto" w:sz="4" w:space="0"/>
              <w:right w:val="single" w:color="auto" w:sz="4" w:space="0"/>
            </w:tcBorders>
            <w:noWrap w:val="0"/>
            <w:vAlign w:val="center"/>
          </w:tcPr>
          <w:p w14:paraId="4573A0F9">
            <w:pPr>
              <w:spacing w:line="360" w:lineRule="exact"/>
              <w:rPr>
                <w:color w:val="auto"/>
                <w:szCs w:val="21"/>
                <w:highlight w:val="none"/>
              </w:rPr>
            </w:pPr>
            <w:r>
              <w:rPr>
                <w:rFonts w:hint="eastAsia"/>
                <w:color w:val="auto"/>
                <w:szCs w:val="21"/>
                <w:highlight w:val="none"/>
              </w:rPr>
              <w:t>不存在第二章</w:t>
            </w:r>
            <w:r>
              <w:rPr>
                <w:color w:val="auto"/>
                <w:szCs w:val="21"/>
                <w:highlight w:val="none"/>
              </w:rPr>
              <w:t>“</w:t>
            </w:r>
            <w:r>
              <w:rPr>
                <w:rFonts w:hint="eastAsia"/>
                <w:color w:val="auto"/>
                <w:szCs w:val="21"/>
                <w:highlight w:val="none"/>
              </w:rPr>
              <w:t>投标人须知</w:t>
            </w:r>
            <w:r>
              <w:rPr>
                <w:color w:val="auto"/>
                <w:szCs w:val="21"/>
                <w:highlight w:val="none"/>
              </w:rPr>
              <w:t>”</w:t>
            </w:r>
            <w:r>
              <w:rPr>
                <w:rFonts w:hint="eastAsia"/>
                <w:color w:val="auto"/>
                <w:szCs w:val="21"/>
                <w:highlight w:val="none"/>
              </w:rPr>
              <w:t>第</w:t>
            </w:r>
            <w:r>
              <w:rPr>
                <w:color w:val="auto"/>
                <w:szCs w:val="21"/>
                <w:highlight w:val="none"/>
              </w:rPr>
              <w:t xml:space="preserve">1.4.3 </w:t>
            </w:r>
            <w:r>
              <w:rPr>
                <w:rFonts w:hint="eastAsia"/>
                <w:color w:val="auto"/>
                <w:szCs w:val="21"/>
                <w:highlight w:val="none"/>
              </w:rPr>
              <w:t>项规定的</w:t>
            </w:r>
            <w:r>
              <w:rPr>
                <w:rFonts w:hint="eastAsia"/>
                <w:color w:val="auto"/>
                <w:highlight w:val="none"/>
              </w:rPr>
              <w:t>任何一种</w:t>
            </w:r>
            <w:r>
              <w:rPr>
                <w:rFonts w:hint="eastAsia"/>
                <w:color w:val="auto"/>
                <w:szCs w:val="21"/>
                <w:highlight w:val="none"/>
              </w:rPr>
              <w:t>情形</w:t>
            </w:r>
          </w:p>
        </w:tc>
        <w:tc>
          <w:tcPr>
            <w:tcW w:w="841" w:type="pct"/>
            <w:tcBorders>
              <w:top w:val="single" w:color="auto" w:sz="4" w:space="0"/>
              <w:left w:val="single" w:color="auto" w:sz="4" w:space="0"/>
              <w:bottom w:val="single" w:color="auto" w:sz="4" w:space="0"/>
              <w:right w:val="single" w:color="auto" w:sz="4" w:space="0"/>
            </w:tcBorders>
            <w:noWrap w:val="0"/>
            <w:vAlign w:val="center"/>
          </w:tcPr>
          <w:p w14:paraId="4AB33D5B">
            <w:pPr>
              <w:rPr>
                <w:rFonts w:ascii="宋体" w:hAnsi="宋体"/>
                <w:color w:val="auto"/>
                <w:szCs w:val="44"/>
                <w:highlight w:val="none"/>
              </w:rPr>
            </w:pPr>
            <w:r>
              <w:rPr>
                <w:rFonts w:hint="eastAsia"/>
                <w:color w:val="auto"/>
                <w:szCs w:val="21"/>
                <w:highlight w:val="none"/>
              </w:rPr>
              <w:t>企业法人营业执照扫描件及</w:t>
            </w:r>
            <w:r>
              <w:rPr>
                <w:rFonts w:hint="eastAsia" w:ascii="宋体" w:hAnsi="宋体"/>
                <w:color w:val="auto"/>
                <w:szCs w:val="44"/>
                <w:highlight w:val="none"/>
              </w:rPr>
              <w:t>“投标函”</w:t>
            </w:r>
            <w:r>
              <w:rPr>
                <w:color w:val="auto"/>
                <w:szCs w:val="21"/>
                <w:highlight w:val="none"/>
              </w:rPr>
              <w:t xml:space="preserve"> </w:t>
            </w:r>
            <w:r>
              <w:rPr>
                <w:rFonts w:hint="eastAsia"/>
                <w:color w:val="auto"/>
                <w:szCs w:val="21"/>
                <w:highlight w:val="none"/>
              </w:rPr>
              <w:t>、关联单位情况说明、</w:t>
            </w:r>
            <w:r>
              <w:rPr>
                <w:rFonts w:hint="eastAsia"/>
                <w:color w:val="auto"/>
                <w:highlight w:val="none"/>
              </w:rPr>
              <w:t>企业信誉声明</w:t>
            </w:r>
            <w:r>
              <w:rPr>
                <w:rFonts w:hint="eastAsia" w:ascii="宋体" w:hAnsi="宋体"/>
                <w:color w:val="auto"/>
                <w:szCs w:val="44"/>
                <w:highlight w:val="none"/>
              </w:rPr>
              <w:t>及相关证明材料</w:t>
            </w:r>
          </w:p>
        </w:tc>
        <w:tc>
          <w:tcPr>
            <w:tcW w:w="284" w:type="pct"/>
            <w:tcBorders>
              <w:top w:val="single" w:color="auto" w:sz="4" w:space="0"/>
              <w:left w:val="single" w:color="auto" w:sz="4" w:space="0"/>
              <w:bottom w:val="single" w:color="auto" w:sz="4" w:space="0"/>
              <w:right w:val="single" w:color="auto" w:sz="4" w:space="0"/>
            </w:tcBorders>
            <w:noWrap w:val="0"/>
            <w:vAlign w:val="center"/>
          </w:tcPr>
          <w:p w14:paraId="78B8C536">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4666C043">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6596E3E0">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62C88937">
            <w:pPr>
              <w:jc w:val="center"/>
              <w:rPr>
                <w:rFonts w:ascii="宋体" w:hAnsi="宋体"/>
                <w:color w:val="auto"/>
                <w:szCs w:val="44"/>
                <w:highlight w:val="none"/>
              </w:rPr>
            </w:pPr>
          </w:p>
        </w:tc>
        <w:tc>
          <w:tcPr>
            <w:tcW w:w="284" w:type="pct"/>
            <w:tcBorders>
              <w:top w:val="single" w:color="auto" w:sz="4" w:space="0"/>
              <w:left w:val="single" w:color="auto" w:sz="4" w:space="0"/>
              <w:bottom w:val="single" w:color="auto" w:sz="4" w:space="0"/>
              <w:right w:val="single" w:color="auto" w:sz="4" w:space="0"/>
            </w:tcBorders>
            <w:noWrap w:val="0"/>
            <w:vAlign w:val="center"/>
          </w:tcPr>
          <w:p w14:paraId="3338C957">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3227AF25">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488AB2E2">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4A4BF769">
            <w:pPr>
              <w:jc w:val="center"/>
              <w:rPr>
                <w:rFonts w:ascii="宋体" w:hAnsi="宋体"/>
                <w:color w:val="auto"/>
                <w:szCs w:val="44"/>
                <w:highlight w:val="none"/>
              </w:rPr>
            </w:pPr>
          </w:p>
        </w:tc>
        <w:tc>
          <w:tcPr>
            <w:tcW w:w="283" w:type="pct"/>
            <w:tcBorders>
              <w:top w:val="single" w:color="auto" w:sz="4" w:space="0"/>
              <w:left w:val="single" w:color="auto" w:sz="4" w:space="0"/>
              <w:bottom w:val="single" w:color="auto" w:sz="4" w:space="0"/>
              <w:right w:val="single" w:color="auto" w:sz="4" w:space="0"/>
            </w:tcBorders>
            <w:noWrap w:val="0"/>
            <w:vAlign w:val="center"/>
          </w:tcPr>
          <w:p w14:paraId="0DB43F48">
            <w:pPr>
              <w:jc w:val="center"/>
              <w:rPr>
                <w:rFonts w:ascii="宋体" w:hAnsi="宋体"/>
                <w:color w:val="auto"/>
                <w:szCs w:val="44"/>
                <w:highlight w:val="none"/>
              </w:rPr>
            </w:pPr>
          </w:p>
        </w:tc>
      </w:tr>
      <w:tr w14:paraId="1412B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1600" w:type="pct"/>
            <w:gridSpan w:val="3"/>
            <w:tcBorders>
              <w:top w:val="single" w:color="auto" w:sz="4" w:space="0"/>
              <w:left w:val="single" w:color="auto" w:sz="4" w:space="0"/>
              <w:bottom w:val="single" w:color="auto" w:sz="4" w:space="0"/>
              <w:right w:val="single" w:color="auto" w:sz="4" w:space="0"/>
            </w:tcBorders>
            <w:noWrap w:val="0"/>
            <w:vAlign w:val="center"/>
          </w:tcPr>
          <w:p w14:paraId="7EB4E027">
            <w:pPr>
              <w:rPr>
                <w:rFonts w:ascii="宋体" w:hAnsi="宋体"/>
                <w:color w:val="auto"/>
                <w:szCs w:val="44"/>
                <w:highlight w:val="none"/>
              </w:rPr>
            </w:pPr>
            <w:r>
              <w:rPr>
                <w:rFonts w:hint="eastAsia" w:ascii="宋体" w:hAnsi="宋体"/>
                <w:color w:val="auto"/>
                <w:szCs w:val="44"/>
                <w:highlight w:val="none"/>
              </w:rPr>
              <w:t>资格评审结论：通过资格评审标注为√；未通过资格评审标注为×</w:t>
            </w:r>
          </w:p>
        </w:tc>
        <w:tc>
          <w:tcPr>
            <w:tcW w:w="841" w:type="pct"/>
            <w:tcBorders>
              <w:top w:val="single" w:color="auto" w:sz="4" w:space="0"/>
              <w:left w:val="single" w:color="auto" w:sz="4" w:space="0"/>
              <w:bottom w:val="single" w:color="auto" w:sz="4" w:space="0"/>
              <w:right w:val="single" w:color="auto" w:sz="4" w:space="0"/>
            </w:tcBorders>
            <w:noWrap w:val="0"/>
            <w:vAlign w:val="top"/>
          </w:tcPr>
          <w:p w14:paraId="09C6B0DC">
            <w:pPr>
              <w:rPr>
                <w:rFonts w:ascii="宋体" w:hAnsi="宋体"/>
                <w:color w:val="auto"/>
                <w:szCs w:val="44"/>
                <w:highlight w:val="none"/>
              </w:rPr>
            </w:pPr>
          </w:p>
        </w:tc>
        <w:tc>
          <w:tcPr>
            <w:tcW w:w="284" w:type="pct"/>
            <w:tcBorders>
              <w:top w:val="single" w:color="auto" w:sz="4" w:space="0"/>
              <w:left w:val="single" w:color="auto" w:sz="4" w:space="0"/>
              <w:bottom w:val="single" w:color="auto" w:sz="4" w:space="0"/>
              <w:right w:val="single" w:color="auto" w:sz="4" w:space="0"/>
            </w:tcBorders>
            <w:noWrap w:val="0"/>
            <w:vAlign w:val="center"/>
          </w:tcPr>
          <w:p w14:paraId="5FDA32CA">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0A9B9731">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0B0A5F69">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355996B0">
            <w:pPr>
              <w:jc w:val="center"/>
              <w:rPr>
                <w:rFonts w:ascii="宋体" w:hAnsi="宋体"/>
                <w:color w:val="auto"/>
                <w:szCs w:val="44"/>
                <w:highlight w:val="none"/>
              </w:rPr>
            </w:pPr>
          </w:p>
        </w:tc>
        <w:tc>
          <w:tcPr>
            <w:tcW w:w="284" w:type="pct"/>
            <w:tcBorders>
              <w:top w:val="single" w:color="auto" w:sz="4" w:space="0"/>
              <w:left w:val="single" w:color="auto" w:sz="4" w:space="0"/>
              <w:bottom w:val="single" w:color="auto" w:sz="4" w:space="0"/>
              <w:right w:val="single" w:color="auto" w:sz="4" w:space="0"/>
            </w:tcBorders>
            <w:noWrap w:val="0"/>
            <w:vAlign w:val="center"/>
          </w:tcPr>
          <w:p w14:paraId="12813D5F">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3C033E9D">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4DCC1112">
            <w:pPr>
              <w:jc w:val="center"/>
              <w:rPr>
                <w:rFonts w:ascii="宋体" w:hAnsi="宋体"/>
                <w:color w:val="auto"/>
                <w:szCs w:val="44"/>
                <w:highlight w:val="none"/>
              </w:rPr>
            </w:pPr>
          </w:p>
        </w:tc>
        <w:tc>
          <w:tcPr>
            <w:tcW w:w="285" w:type="pct"/>
            <w:tcBorders>
              <w:top w:val="single" w:color="auto" w:sz="4" w:space="0"/>
              <w:left w:val="single" w:color="auto" w:sz="4" w:space="0"/>
              <w:bottom w:val="single" w:color="auto" w:sz="4" w:space="0"/>
              <w:right w:val="single" w:color="auto" w:sz="4" w:space="0"/>
            </w:tcBorders>
            <w:noWrap w:val="0"/>
            <w:vAlign w:val="center"/>
          </w:tcPr>
          <w:p w14:paraId="2A60E6AC">
            <w:pPr>
              <w:jc w:val="center"/>
              <w:rPr>
                <w:rFonts w:ascii="宋体" w:hAnsi="宋体"/>
                <w:color w:val="auto"/>
                <w:szCs w:val="44"/>
                <w:highlight w:val="none"/>
              </w:rPr>
            </w:pPr>
          </w:p>
        </w:tc>
        <w:tc>
          <w:tcPr>
            <w:tcW w:w="283" w:type="pct"/>
            <w:tcBorders>
              <w:top w:val="single" w:color="auto" w:sz="4" w:space="0"/>
              <w:left w:val="single" w:color="auto" w:sz="4" w:space="0"/>
              <w:bottom w:val="single" w:color="auto" w:sz="4" w:space="0"/>
              <w:right w:val="single" w:color="auto" w:sz="4" w:space="0"/>
            </w:tcBorders>
            <w:noWrap w:val="0"/>
            <w:vAlign w:val="center"/>
          </w:tcPr>
          <w:p w14:paraId="05057651">
            <w:pPr>
              <w:jc w:val="center"/>
              <w:rPr>
                <w:rFonts w:ascii="宋体" w:hAnsi="宋体"/>
                <w:color w:val="auto"/>
                <w:szCs w:val="44"/>
                <w:highlight w:val="none"/>
              </w:rPr>
            </w:pPr>
          </w:p>
        </w:tc>
      </w:tr>
    </w:tbl>
    <w:p w14:paraId="72D37E2F">
      <w:pPr>
        <w:rPr>
          <w:rFonts w:hint="eastAsia" w:ascii="宋体" w:hAnsi="宋体"/>
          <w:color w:val="auto"/>
          <w:szCs w:val="44"/>
          <w:highlight w:val="none"/>
        </w:rPr>
      </w:pPr>
    </w:p>
    <w:p w14:paraId="7D7113F3">
      <w:pPr>
        <w:rPr>
          <w:rFonts w:hint="eastAsia" w:ascii="宋体" w:hAnsi="宋体"/>
          <w:color w:val="auto"/>
          <w:szCs w:val="44"/>
          <w:highlight w:val="none"/>
        </w:rPr>
      </w:pPr>
    </w:p>
    <w:p w14:paraId="028C9266">
      <w:pPr>
        <w:rPr>
          <w:rFonts w:hint="eastAsia" w:ascii="宋体" w:hAnsi="宋体"/>
          <w:color w:val="auto"/>
          <w:szCs w:val="44"/>
          <w:highlight w:val="none"/>
        </w:rPr>
      </w:pPr>
      <w:r>
        <w:rPr>
          <w:rFonts w:hint="eastAsia" w:ascii="宋体" w:hAnsi="宋体"/>
          <w:color w:val="auto"/>
          <w:szCs w:val="44"/>
          <w:highlight w:val="none"/>
        </w:rPr>
        <w:t>评标委员会全体成员签名：                                                                                日期：      年    月    日</w:t>
      </w:r>
    </w:p>
    <w:p w14:paraId="41DB4777">
      <w:pPr>
        <w:ind w:firstLine="420" w:firstLineChars="200"/>
        <w:rPr>
          <w:rFonts w:hint="eastAsia" w:ascii="宋体" w:hAnsi="宋体"/>
          <w:color w:val="auto"/>
          <w:szCs w:val="44"/>
          <w:highlight w:val="none"/>
        </w:rPr>
      </w:pPr>
    </w:p>
    <w:p w14:paraId="7DFF92A2">
      <w:pPr>
        <w:ind w:firstLine="420" w:firstLineChars="200"/>
        <w:rPr>
          <w:rFonts w:hint="eastAsia" w:ascii="宋体" w:hAnsi="宋体"/>
          <w:color w:val="auto"/>
          <w:szCs w:val="44"/>
          <w:highlight w:val="none"/>
        </w:rPr>
      </w:pPr>
    </w:p>
    <w:p w14:paraId="01CF88A4">
      <w:pPr>
        <w:ind w:firstLine="420" w:firstLineChars="200"/>
        <w:rPr>
          <w:rFonts w:hint="eastAsia" w:ascii="宋体" w:hAnsi="宋体"/>
          <w:color w:val="auto"/>
          <w:szCs w:val="44"/>
          <w:highlight w:val="none"/>
        </w:rPr>
      </w:pPr>
    </w:p>
    <w:p w14:paraId="696ACE30">
      <w:pPr>
        <w:ind w:firstLine="420" w:firstLineChars="200"/>
        <w:rPr>
          <w:rFonts w:hint="eastAsia" w:ascii="宋体" w:hAnsi="宋体"/>
          <w:color w:val="auto"/>
          <w:szCs w:val="44"/>
          <w:highlight w:val="none"/>
        </w:rPr>
      </w:pPr>
    </w:p>
    <w:p w14:paraId="531AB019">
      <w:pPr>
        <w:ind w:firstLine="420" w:firstLineChars="200"/>
        <w:rPr>
          <w:rFonts w:hint="eastAsia" w:ascii="宋体" w:hAnsi="宋体"/>
          <w:color w:val="auto"/>
          <w:szCs w:val="44"/>
          <w:highlight w:val="none"/>
        </w:rPr>
      </w:pPr>
    </w:p>
    <w:p w14:paraId="497FAD09">
      <w:pPr>
        <w:ind w:firstLine="420" w:firstLineChars="200"/>
        <w:rPr>
          <w:rFonts w:hint="eastAsia" w:ascii="宋体" w:hAnsi="宋体"/>
          <w:color w:val="auto"/>
          <w:szCs w:val="44"/>
          <w:highlight w:val="none"/>
        </w:rPr>
      </w:pPr>
    </w:p>
    <w:p w14:paraId="16845F97">
      <w:pPr>
        <w:ind w:firstLine="420" w:firstLineChars="200"/>
        <w:rPr>
          <w:rFonts w:hint="eastAsia" w:ascii="宋体" w:hAnsi="宋体"/>
          <w:color w:val="auto"/>
          <w:szCs w:val="44"/>
          <w:highlight w:val="none"/>
        </w:rPr>
      </w:pPr>
    </w:p>
    <w:p w14:paraId="1830F4AE">
      <w:pPr>
        <w:ind w:firstLine="420" w:firstLineChars="200"/>
        <w:rPr>
          <w:rFonts w:hint="eastAsia" w:ascii="宋体" w:hAnsi="宋体"/>
          <w:color w:val="auto"/>
          <w:szCs w:val="44"/>
          <w:highlight w:val="none"/>
        </w:rPr>
      </w:pPr>
    </w:p>
    <w:p w14:paraId="02CFF87F">
      <w:pPr>
        <w:ind w:firstLine="420" w:firstLineChars="200"/>
        <w:rPr>
          <w:rFonts w:hint="eastAsia" w:ascii="宋体" w:hAnsi="宋体"/>
          <w:color w:val="auto"/>
          <w:szCs w:val="44"/>
          <w:highlight w:val="none"/>
        </w:rPr>
      </w:pPr>
    </w:p>
    <w:p w14:paraId="60DFFF80">
      <w:pPr>
        <w:ind w:firstLine="420" w:firstLineChars="200"/>
        <w:rPr>
          <w:rFonts w:hint="eastAsia" w:ascii="宋体" w:hAnsi="宋体"/>
          <w:color w:val="auto"/>
          <w:szCs w:val="44"/>
          <w:highlight w:val="none"/>
        </w:rPr>
      </w:pPr>
    </w:p>
    <w:p w14:paraId="68B41B1F">
      <w:pPr>
        <w:ind w:firstLine="420" w:firstLineChars="200"/>
        <w:rPr>
          <w:rFonts w:hint="eastAsia" w:ascii="宋体" w:hAnsi="宋体"/>
          <w:color w:val="auto"/>
          <w:szCs w:val="44"/>
          <w:highlight w:val="none"/>
        </w:rPr>
      </w:pPr>
    </w:p>
    <w:p w14:paraId="1AF4C3A2">
      <w:pPr>
        <w:ind w:firstLine="420" w:firstLineChars="200"/>
        <w:rPr>
          <w:rFonts w:hint="eastAsia" w:ascii="宋体" w:hAnsi="宋体"/>
          <w:color w:val="auto"/>
          <w:szCs w:val="44"/>
          <w:highlight w:val="none"/>
        </w:rPr>
      </w:pPr>
    </w:p>
    <w:p w14:paraId="1960F957">
      <w:pPr>
        <w:ind w:firstLine="420" w:firstLineChars="200"/>
        <w:rPr>
          <w:rFonts w:hint="eastAsia" w:ascii="宋体" w:hAnsi="宋体"/>
          <w:color w:val="auto"/>
          <w:szCs w:val="44"/>
          <w:highlight w:val="none"/>
        </w:rPr>
      </w:pPr>
    </w:p>
    <w:p w14:paraId="070D8504">
      <w:pPr>
        <w:ind w:firstLine="420" w:firstLineChars="200"/>
        <w:rPr>
          <w:rFonts w:hint="eastAsia" w:ascii="宋体" w:hAnsi="宋体"/>
          <w:color w:val="auto"/>
          <w:szCs w:val="44"/>
          <w:highlight w:val="none"/>
        </w:rPr>
      </w:pPr>
    </w:p>
    <w:p w14:paraId="2B35CACB">
      <w:pPr>
        <w:pStyle w:val="33"/>
        <w:rPr>
          <w:rFonts w:hint="eastAsia" w:ascii="Times New Roman" w:hAnsi="Times New Roman"/>
          <w:color w:val="auto"/>
          <w:highlight w:val="none"/>
        </w:rPr>
      </w:pPr>
      <w:bookmarkStart w:id="763" w:name="_Toc16119"/>
      <w:bookmarkStart w:id="764" w:name="_Toc28531841"/>
      <w:r>
        <w:rPr>
          <w:rFonts w:hint="eastAsia"/>
          <w:color w:val="auto"/>
          <w:highlight w:val="none"/>
        </w:rPr>
        <w:t>附表</w:t>
      </w:r>
      <w:r>
        <w:rPr>
          <w:color w:val="auto"/>
          <w:highlight w:val="none"/>
        </w:rPr>
        <w:t>A-6</w:t>
      </w:r>
      <w:r>
        <w:rPr>
          <w:rFonts w:hint="eastAsia"/>
          <w:color w:val="auto"/>
          <w:highlight w:val="none"/>
        </w:rPr>
        <w:t>：响应性评审记录表</w:t>
      </w:r>
      <w:bookmarkEnd w:id="763"/>
      <w:bookmarkEnd w:id="764"/>
    </w:p>
    <w:p w14:paraId="3AE13D3D">
      <w:pPr>
        <w:spacing w:after="240" w:afterLines="100"/>
        <w:jc w:val="center"/>
        <w:rPr>
          <w:rFonts w:ascii="黑体" w:hAnsi="宋体" w:eastAsia="黑体"/>
          <w:color w:val="auto"/>
          <w:sz w:val="28"/>
          <w:szCs w:val="28"/>
          <w:highlight w:val="none"/>
        </w:rPr>
      </w:pPr>
      <w:r>
        <w:rPr>
          <w:rFonts w:hint="eastAsia" w:ascii="黑体" w:hAnsi="宋体" w:eastAsia="黑体"/>
          <w:color w:val="auto"/>
          <w:sz w:val="28"/>
          <w:szCs w:val="28"/>
          <w:highlight w:val="none"/>
        </w:rPr>
        <w:t>响应性评审记录表</w:t>
      </w:r>
    </w:p>
    <w:p w14:paraId="5B19C66E">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133"/>
        <w:gridCol w:w="897"/>
        <w:gridCol w:w="898"/>
        <w:gridCol w:w="898"/>
        <w:gridCol w:w="897"/>
        <w:gridCol w:w="898"/>
        <w:gridCol w:w="898"/>
        <w:gridCol w:w="897"/>
        <w:gridCol w:w="898"/>
        <w:gridCol w:w="898"/>
      </w:tblGrid>
      <w:tr w14:paraId="786E4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3" w:type="dxa"/>
            <w:vMerge w:val="restart"/>
            <w:tcBorders>
              <w:top w:val="single" w:color="auto" w:sz="4" w:space="0"/>
              <w:left w:val="single" w:color="auto" w:sz="4" w:space="0"/>
              <w:bottom w:val="single" w:color="auto" w:sz="4" w:space="0"/>
              <w:right w:val="single" w:color="auto" w:sz="4" w:space="0"/>
            </w:tcBorders>
            <w:noWrap w:val="0"/>
            <w:vAlign w:val="center"/>
          </w:tcPr>
          <w:p w14:paraId="29D47E24">
            <w:pPr>
              <w:jc w:val="center"/>
              <w:rPr>
                <w:rFonts w:ascii="宋体" w:hAnsi="宋体"/>
                <w:color w:val="auto"/>
                <w:szCs w:val="44"/>
                <w:highlight w:val="none"/>
              </w:rPr>
            </w:pPr>
            <w:r>
              <w:rPr>
                <w:rFonts w:hint="eastAsia" w:ascii="宋体" w:hAnsi="宋体"/>
                <w:color w:val="auto"/>
                <w:szCs w:val="44"/>
                <w:highlight w:val="none"/>
              </w:rPr>
              <w:t>序号</w:t>
            </w:r>
          </w:p>
        </w:tc>
        <w:tc>
          <w:tcPr>
            <w:tcW w:w="1802" w:type="dxa"/>
            <w:vMerge w:val="restart"/>
            <w:tcBorders>
              <w:top w:val="single" w:color="auto" w:sz="4" w:space="0"/>
              <w:left w:val="single" w:color="auto" w:sz="4" w:space="0"/>
              <w:bottom w:val="single" w:color="auto" w:sz="4" w:space="0"/>
              <w:right w:val="single" w:color="auto" w:sz="4" w:space="0"/>
            </w:tcBorders>
            <w:noWrap w:val="0"/>
            <w:vAlign w:val="center"/>
          </w:tcPr>
          <w:p w14:paraId="089FF72C">
            <w:pPr>
              <w:jc w:val="center"/>
              <w:rPr>
                <w:rFonts w:ascii="宋体" w:hAnsi="宋体"/>
                <w:color w:val="auto"/>
                <w:szCs w:val="44"/>
                <w:highlight w:val="none"/>
              </w:rPr>
            </w:pPr>
            <w:r>
              <w:rPr>
                <w:rFonts w:hint="eastAsia" w:ascii="宋体" w:hAnsi="宋体"/>
                <w:color w:val="auto"/>
                <w:szCs w:val="44"/>
                <w:highlight w:val="none"/>
              </w:rPr>
              <w:t>评审因素</w:t>
            </w:r>
          </w:p>
        </w:tc>
        <w:tc>
          <w:tcPr>
            <w:tcW w:w="3133" w:type="dxa"/>
            <w:vMerge w:val="restart"/>
            <w:tcBorders>
              <w:top w:val="single" w:color="auto" w:sz="4" w:space="0"/>
              <w:left w:val="single" w:color="auto" w:sz="4" w:space="0"/>
              <w:bottom w:val="single" w:color="auto" w:sz="4" w:space="0"/>
              <w:right w:val="single" w:color="auto" w:sz="4" w:space="0"/>
            </w:tcBorders>
            <w:noWrap w:val="0"/>
            <w:vAlign w:val="center"/>
          </w:tcPr>
          <w:p w14:paraId="1CE146FB">
            <w:pPr>
              <w:jc w:val="center"/>
              <w:rPr>
                <w:rFonts w:ascii="宋体" w:hAnsi="宋体"/>
                <w:color w:val="auto"/>
                <w:szCs w:val="44"/>
                <w:highlight w:val="none"/>
              </w:rPr>
            </w:pPr>
            <w:r>
              <w:rPr>
                <w:rFonts w:hint="eastAsia" w:ascii="宋体" w:hAnsi="宋体"/>
                <w:color w:val="auto"/>
                <w:szCs w:val="44"/>
                <w:highlight w:val="none"/>
              </w:rPr>
              <w:t>评审标准</w:t>
            </w:r>
          </w:p>
        </w:tc>
        <w:tc>
          <w:tcPr>
            <w:tcW w:w="8079" w:type="dxa"/>
            <w:gridSpan w:val="9"/>
            <w:tcBorders>
              <w:top w:val="single" w:color="auto" w:sz="4" w:space="0"/>
              <w:left w:val="single" w:color="auto" w:sz="4" w:space="0"/>
              <w:bottom w:val="single" w:color="auto" w:sz="4" w:space="0"/>
              <w:right w:val="single" w:color="auto" w:sz="4" w:space="0"/>
            </w:tcBorders>
            <w:noWrap w:val="0"/>
            <w:vAlign w:val="center"/>
          </w:tcPr>
          <w:p w14:paraId="205257B5">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70A1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3" w:type="dxa"/>
            <w:vMerge w:val="continue"/>
            <w:tcBorders>
              <w:top w:val="single" w:color="auto" w:sz="4" w:space="0"/>
              <w:left w:val="single" w:color="auto" w:sz="4" w:space="0"/>
              <w:bottom w:val="single" w:color="auto" w:sz="4" w:space="0"/>
              <w:right w:val="single" w:color="auto" w:sz="4" w:space="0"/>
            </w:tcBorders>
            <w:noWrap w:val="0"/>
            <w:vAlign w:val="center"/>
          </w:tcPr>
          <w:p w14:paraId="669E3AF8">
            <w:pPr>
              <w:widowControl/>
              <w:jc w:val="left"/>
              <w:rPr>
                <w:rFonts w:ascii="宋体" w:hAnsi="宋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142FDD56">
            <w:pPr>
              <w:widowControl/>
              <w:jc w:val="left"/>
              <w:rPr>
                <w:rFonts w:ascii="宋体" w:hAnsi="宋体"/>
                <w:color w:val="auto"/>
                <w:szCs w:val="44"/>
                <w:highlight w:val="none"/>
              </w:rPr>
            </w:pPr>
          </w:p>
        </w:tc>
        <w:tc>
          <w:tcPr>
            <w:tcW w:w="3133" w:type="dxa"/>
            <w:vMerge w:val="continue"/>
            <w:tcBorders>
              <w:top w:val="single" w:color="auto" w:sz="4" w:space="0"/>
              <w:left w:val="single" w:color="auto" w:sz="4" w:space="0"/>
              <w:bottom w:val="single" w:color="auto" w:sz="4" w:space="0"/>
              <w:right w:val="single" w:color="auto" w:sz="4" w:space="0"/>
            </w:tcBorders>
            <w:noWrap w:val="0"/>
            <w:vAlign w:val="center"/>
          </w:tcPr>
          <w:p w14:paraId="6D68BACE">
            <w:pPr>
              <w:widowControl/>
              <w:jc w:val="left"/>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B8B3B9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D559AF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EED98D4">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730748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7A88EA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E44DE1A">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2515A8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FBE8E2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090DF80">
            <w:pPr>
              <w:jc w:val="center"/>
              <w:rPr>
                <w:rFonts w:ascii="宋体" w:hAnsi="宋体"/>
                <w:color w:val="auto"/>
                <w:szCs w:val="44"/>
                <w:highlight w:val="none"/>
              </w:rPr>
            </w:pPr>
          </w:p>
        </w:tc>
      </w:tr>
      <w:tr w14:paraId="1897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03532347">
            <w:pPr>
              <w:jc w:val="center"/>
              <w:rPr>
                <w:rFonts w:ascii="黑体" w:hAnsi="宋体" w:eastAsia="黑体"/>
                <w:color w:val="auto"/>
                <w:szCs w:val="44"/>
                <w:highlight w:val="none"/>
              </w:rPr>
            </w:pPr>
            <w:r>
              <w:rPr>
                <w:rFonts w:hint="eastAsia" w:ascii="黑体" w:hAnsi="宋体" w:eastAsia="黑体"/>
                <w:color w:val="auto"/>
                <w:szCs w:val="44"/>
                <w:highlight w:val="none"/>
              </w:rPr>
              <w:t>1</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3A8A1840">
            <w:pPr>
              <w:jc w:val="center"/>
              <w:rPr>
                <w:rFonts w:ascii="宋体" w:hAnsi="宋体"/>
                <w:color w:val="auto"/>
                <w:szCs w:val="44"/>
                <w:highlight w:val="none"/>
              </w:rPr>
            </w:pPr>
            <w:r>
              <w:rPr>
                <w:rFonts w:hint="eastAsia" w:ascii="宋体" w:hAnsi="宋体"/>
                <w:color w:val="auto"/>
                <w:szCs w:val="44"/>
                <w:highlight w:val="none"/>
              </w:rPr>
              <w:t>投标内容</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5182BB85">
            <w:pPr>
              <w:rPr>
                <w:rFonts w:ascii="宋体" w:hAnsi="宋体"/>
                <w:color w:val="auto"/>
                <w:szCs w:val="44"/>
                <w:highlight w:val="none"/>
              </w:rPr>
            </w:pPr>
            <w:r>
              <w:rPr>
                <w:rFonts w:hint="eastAsia" w:ascii="宋体" w:hAnsi="宋体"/>
                <w:color w:val="auto"/>
                <w:szCs w:val="21"/>
                <w:highlight w:val="none"/>
              </w:rPr>
              <w:t>符合第二章“投标人须知”第1.3.1项规定</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C3276CB">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98C29AD">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6E70D67">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CAC959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003695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C9461C5">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62707B0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EB1313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8D18652">
            <w:pPr>
              <w:jc w:val="center"/>
              <w:rPr>
                <w:rFonts w:ascii="宋体" w:hAnsi="宋体"/>
                <w:color w:val="auto"/>
                <w:szCs w:val="44"/>
                <w:highlight w:val="none"/>
              </w:rPr>
            </w:pPr>
          </w:p>
        </w:tc>
      </w:tr>
      <w:tr w14:paraId="4CB79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49A1DFD1">
            <w:pPr>
              <w:jc w:val="center"/>
              <w:rPr>
                <w:rFonts w:ascii="黑体" w:hAnsi="宋体" w:eastAsia="黑体"/>
                <w:color w:val="auto"/>
                <w:szCs w:val="44"/>
                <w:highlight w:val="none"/>
              </w:rPr>
            </w:pPr>
            <w:r>
              <w:rPr>
                <w:rFonts w:hint="eastAsia" w:ascii="黑体" w:hAnsi="宋体" w:eastAsia="黑体"/>
                <w:color w:val="auto"/>
                <w:szCs w:val="44"/>
                <w:highlight w:val="none"/>
              </w:rPr>
              <w:t>2</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0980E39">
            <w:pPr>
              <w:jc w:val="center"/>
              <w:rPr>
                <w:rFonts w:ascii="宋体" w:hAnsi="宋体"/>
                <w:color w:val="auto"/>
                <w:szCs w:val="44"/>
                <w:highlight w:val="none"/>
              </w:rPr>
            </w:pPr>
            <w:r>
              <w:rPr>
                <w:rFonts w:hint="eastAsia" w:ascii="宋体" w:hAnsi="宋体"/>
                <w:color w:val="auto"/>
                <w:szCs w:val="44"/>
                <w:highlight w:val="none"/>
              </w:rPr>
              <w:t>工期</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6B84347A">
            <w:pPr>
              <w:rPr>
                <w:rFonts w:ascii="宋体" w:hAnsi="宋体"/>
                <w:color w:val="auto"/>
                <w:szCs w:val="44"/>
                <w:highlight w:val="none"/>
              </w:rPr>
            </w:pPr>
            <w:r>
              <w:rPr>
                <w:rFonts w:hint="eastAsia" w:ascii="宋体" w:hAnsi="宋体"/>
                <w:color w:val="auto"/>
                <w:szCs w:val="21"/>
                <w:highlight w:val="none"/>
              </w:rPr>
              <w:t>符合第二章“投标人须知”第1.3.2项规定</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B62933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E831F4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FA88302">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BF52546">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F5581B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6AF8224">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4BC2814">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A051FDD">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1FC7C6F">
            <w:pPr>
              <w:jc w:val="center"/>
              <w:rPr>
                <w:rFonts w:ascii="宋体" w:hAnsi="宋体"/>
                <w:color w:val="auto"/>
                <w:szCs w:val="44"/>
                <w:highlight w:val="none"/>
              </w:rPr>
            </w:pPr>
          </w:p>
        </w:tc>
      </w:tr>
      <w:tr w14:paraId="012BF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7EC2851B">
            <w:pPr>
              <w:jc w:val="center"/>
              <w:rPr>
                <w:rFonts w:ascii="黑体" w:hAnsi="宋体" w:eastAsia="黑体"/>
                <w:color w:val="auto"/>
                <w:szCs w:val="44"/>
                <w:highlight w:val="none"/>
              </w:rPr>
            </w:pPr>
            <w:r>
              <w:rPr>
                <w:rFonts w:hint="eastAsia" w:ascii="黑体" w:hAnsi="宋体" w:eastAsia="黑体"/>
                <w:color w:val="auto"/>
                <w:szCs w:val="44"/>
                <w:highlight w:val="none"/>
              </w:rPr>
              <w:t>3</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7CCFDEBF">
            <w:pPr>
              <w:jc w:val="center"/>
              <w:rPr>
                <w:rFonts w:ascii="宋体" w:hAnsi="宋体"/>
                <w:color w:val="auto"/>
                <w:szCs w:val="44"/>
                <w:highlight w:val="none"/>
              </w:rPr>
            </w:pPr>
            <w:r>
              <w:rPr>
                <w:rFonts w:hint="eastAsia" w:ascii="宋体" w:hAnsi="宋体"/>
                <w:color w:val="auto"/>
                <w:szCs w:val="44"/>
                <w:highlight w:val="none"/>
              </w:rPr>
              <w:t>工程质量</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35A67E81">
            <w:pPr>
              <w:rPr>
                <w:rFonts w:ascii="宋体" w:hAnsi="宋体"/>
                <w:color w:val="auto"/>
                <w:szCs w:val="21"/>
                <w:highlight w:val="none"/>
              </w:rPr>
            </w:pPr>
            <w:r>
              <w:rPr>
                <w:rFonts w:hint="eastAsia" w:ascii="宋体" w:hAnsi="宋体"/>
                <w:color w:val="auto"/>
                <w:szCs w:val="21"/>
                <w:highlight w:val="none"/>
              </w:rPr>
              <w:t>符合第二章“投标人须知”第1.3.3项规定</w:t>
            </w:r>
          </w:p>
          <w:p w14:paraId="2E37F534">
            <w:pPr>
              <w:rPr>
                <w:rFonts w:ascii="宋体" w:hAnsi="宋体"/>
                <w:color w:val="auto"/>
                <w:szCs w:val="44"/>
                <w:highlight w:val="none"/>
              </w:rPr>
            </w:pPr>
            <w:r>
              <w:rPr>
                <w:rFonts w:hint="eastAsia" w:ascii="宋体" w:hAnsi="宋体"/>
                <w:color w:val="auto"/>
                <w:szCs w:val="21"/>
                <w:highlight w:val="none"/>
              </w:rPr>
              <w:t>（投标文件中载明的质量标准、质量奖项必须达到招标文件规定的质量标准、质量奖项（如有），不能以质量奖项代替质量标准）</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7AE3702">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632063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AF1ADBE">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17C8D8B">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0A38420">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5D438F2">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8EBDDF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C17131D">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BF2BA33">
            <w:pPr>
              <w:jc w:val="center"/>
              <w:rPr>
                <w:rFonts w:ascii="宋体" w:hAnsi="宋体"/>
                <w:color w:val="auto"/>
                <w:szCs w:val="44"/>
                <w:highlight w:val="none"/>
              </w:rPr>
            </w:pPr>
          </w:p>
        </w:tc>
      </w:tr>
      <w:tr w14:paraId="17A9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18CD8923">
            <w:pPr>
              <w:jc w:val="center"/>
              <w:rPr>
                <w:rFonts w:ascii="黑体" w:hAnsi="宋体" w:eastAsia="黑体"/>
                <w:color w:val="auto"/>
                <w:szCs w:val="44"/>
                <w:highlight w:val="none"/>
              </w:rPr>
            </w:pPr>
            <w:r>
              <w:rPr>
                <w:rFonts w:hint="eastAsia" w:ascii="黑体" w:hAnsi="宋体" w:eastAsia="黑体"/>
                <w:color w:val="auto"/>
                <w:szCs w:val="44"/>
                <w:highlight w:val="none"/>
              </w:rPr>
              <w:t>4</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0FC31ABD">
            <w:pPr>
              <w:jc w:val="center"/>
              <w:rPr>
                <w:rFonts w:ascii="宋体" w:hAnsi="宋体"/>
                <w:color w:val="auto"/>
                <w:szCs w:val="44"/>
                <w:highlight w:val="none"/>
              </w:rPr>
            </w:pPr>
            <w:r>
              <w:rPr>
                <w:rFonts w:hint="eastAsia" w:ascii="宋体" w:hAnsi="宋体"/>
                <w:color w:val="auto"/>
                <w:szCs w:val="44"/>
                <w:highlight w:val="none"/>
              </w:rPr>
              <w:t>投标有效期</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61E61154">
            <w:pPr>
              <w:rPr>
                <w:rFonts w:ascii="宋体" w:hAnsi="宋体"/>
                <w:color w:val="auto"/>
                <w:szCs w:val="44"/>
                <w:highlight w:val="none"/>
              </w:rPr>
            </w:pPr>
            <w:r>
              <w:rPr>
                <w:rFonts w:hint="eastAsia" w:ascii="宋体" w:hAnsi="宋体"/>
                <w:color w:val="auto"/>
                <w:szCs w:val="21"/>
                <w:highlight w:val="none"/>
              </w:rPr>
              <w:t>符合第二章“投标人须知”第3.3.1项规定</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5E9F825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91F7E8B">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D68708B">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4E9F4CF">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C54A43C">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0ED9A4A">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603DECD2">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321664E">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D5BE43D">
            <w:pPr>
              <w:jc w:val="center"/>
              <w:rPr>
                <w:rFonts w:ascii="宋体" w:hAnsi="宋体"/>
                <w:color w:val="auto"/>
                <w:szCs w:val="44"/>
                <w:highlight w:val="none"/>
              </w:rPr>
            </w:pPr>
          </w:p>
        </w:tc>
      </w:tr>
      <w:tr w14:paraId="6958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1FF0E4AC">
            <w:pPr>
              <w:jc w:val="center"/>
              <w:rPr>
                <w:rFonts w:ascii="黑体" w:hAnsi="宋体" w:eastAsia="黑体"/>
                <w:color w:val="auto"/>
                <w:szCs w:val="44"/>
                <w:highlight w:val="none"/>
              </w:rPr>
            </w:pPr>
            <w:r>
              <w:rPr>
                <w:rFonts w:hint="eastAsia" w:ascii="黑体" w:hAnsi="宋体" w:eastAsia="黑体"/>
                <w:color w:val="auto"/>
                <w:szCs w:val="44"/>
                <w:highlight w:val="none"/>
              </w:rPr>
              <w:t>5</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68D45EB6">
            <w:pPr>
              <w:jc w:val="center"/>
              <w:rPr>
                <w:rFonts w:ascii="宋体" w:hAnsi="宋体"/>
                <w:color w:val="auto"/>
                <w:szCs w:val="44"/>
                <w:highlight w:val="none"/>
              </w:rPr>
            </w:pPr>
            <w:r>
              <w:rPr>
                <w:rFonts w:hint="eastAsia" w:ascii="宋体" w:hAnsi="宋体"/>
                <w:color w:val="auto"/>
                <w:szCs w:val="44"/>
                <w:highlight w:val="none"/>
              </w:rPr>
              <w:t>投标保证金</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5564EB5B">
            <w:pPr>
              <w:rPr>
                <w:rFonts w:ascii="宋体" w:hAnsi="宋体"/>
                <w:color w:val="auto"/>
                <w:szCs w:val="21"/>
                <w:highlight w:val="none"/>
              </w:rPr>
            </w:pPr>
            <w:r>
              <w:rPr>
                <w:rFonts w:hint="eastAsia" w:ascii="宋体" w:hAnsi="宋体"/>
                <w:color w:val="auto"/>
                <w:szCs w:val="21"/>
                <w:highlight w:val="none"/>
              </w:rPr>
              <w:t>符合第二章“投标人须知”第3.4.1项规定（投标保证金符合要求是指</w:t>
            </w:r>
            <w:r>
              <w:rPr>
                <w:rFonts w:hint="eastAsia"/>
                <w:color w:val="auto"/>
                <w:highlight w:val="none"/>
              </w:rPr>
              <w:t>投标保证金的形式、金额、递交截止时间、递交方式</w:t>
            </w:r>
            <w:r>
              <w:rPr>
                <w:rFonts w:hint="eastAsia" w:ascii="宋体" w:hAnsi="宋体"/>
                <w:color w:val="auto"/>
                <w:szCs w:val="21"/>
                <w:highlight w:val="none"/>
              </w:rPr>
              <w:t>符合招标文件规定；以现金、支票方式提交的应从投标人基本账户转出，即投标人汇款凭证的账户号与其基本账户开户许可证的账户号一致）</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8F80E6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66CD27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FFC8149">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91C199B">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2110D0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9FA5BB5">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6FEA34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58BFCC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0CF8DFF">
            <w:pPr>
              <w:jc w:val="center"/>
              <w:rPr>
                <w:rFonts w:ascii="宋体" w:hAnsi="宋体"/>
                <w:color w:val="auto"/>
                <w:szCs w:val="44"/>
                <w:highlight w:val="none"/>
              </w:rPr>
            </w:pPr>
          </w:p>
        </w:tc>
      </w:tr>
    </w:tbl>
    <w:p w14:paraId="10732C65">
      <w:pPr>
        <w:rPr>
          <w:rFonts w:hint="eastAsia" w:ascii="宋体" w:hAnsi="宋体"/>
          <w:color w:val="auto"/>
          <w:szCs w:val="4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133"/>
        <w:gridCol w:w="897"/>
        <w:gridCol w:w="898"/>
        <w:gridCol w:w="898"/>
        <w:gridCol w:w="897"/>
        <w:gridCol w:w="898"/>
        <w:gridCol w:w="898"/>
        <w:gridCol w:w="897"/>
        <w:gridCol w:w="898"/>
        <w:gridCol w:w="898"/>
      </w:tblGrid>
      <w:tr w14:paraId="19DD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tcBorders>
              <w:top w:val="single" w:color="auto" w:sz="4" w:space="0"/>
              <w:left w:val="single" w:color="auto" w:sz="4" w:space="0"/>
              <w:bottom w:val="single" w:color="auto" w:sz="4" w:space="0"/>
              <w:right w:val="single" w:color="auto" w:sz="4" w:space="0"/>
            </w:tcBorders>
            <w:noWrap w:val="0"/>
            <w:vAlign w:val="center"/>
          </w:tcPr>
          <w:p w14:paraId="27AA3F93">
            <w:pPr>
              <w:jc w:val="center"/>
              <w:rPr>
                <w:rFonts w:ascii="宋体" w:hAnsi="宋体"/>
                <w:color w:val="auto"/>
                <w:szCs w:val="44"/>
                <w:highlight w:val="none"/>
              </w:rPr>
            </w:pPr>
            <w:r>
              <w:rPr>
                <w:rFonts w:hint="eastAsia" w:ascii="宋体" w:hAnsi="宋体"/>
                <w:color w:val="auto"/>
                <w:szCs w:val="44"/>
                <w:highlight w:val="none"/>
              </w:rPr>
              <w:t>序号</w:t>
            </w:r>
          </w:p>
        </w:tc>
        <w:tc>
          <w:tcPr>
            <w:tcW w:w="1802" w:type="dxa"/>
            <w:vMerge w:val="restart"/>
            <w:tcBorders>
              <w:top w:val="single" w:color="auto" w:sz="4" w:space="0"/>
              <w:left w:val="single" w:color="auto" w:sz="4" w:space="0"/>
              <w:bottom w:val="single" w:color="auto" w:sz="4" w:space="0"/>
              <w:right w:val="single" w:color="auto" w:sz="4" w:space="0"/>
            </w:tcBorders>
            <w:noWrap w:val="0"/>
            <w:vAlign w:val="center"/>
          </w:tcPr>
          <w:p w14:paraId="04F663F7">
            <w:pPr>
              <w:jc w:val="center"/>
              <w:rPr>
                <w:rFonts w:ascii="宋体" w:hAnsi="宋体"/>
                <w:color w:val="auto"/>
                <w:szCs w:val="44"/>
                <w:highlight w:val="none"/>
              </w:rPr>
            </w:pPr>
            <w:r>
              <w:rPr>
                <w:rFonts w:hint="eastAsia" w:ascii="宋体" w:hAnsi="宋体"/>
                <w:color w:val="auto"/>
                <w:szCs w:val="44"/>
                <w:highlight w:val="none"/>
              </w:rPr>
              <w:t>评审因素</w:t>
            </w:r>
          </w:p>
        </w:tc>
        <w:tc>
          <w:tcPr>
            <w:tcW w:w="3133" w:type="dxa"/>
            <w:vMerge w:val="restart"/>
            <w:tcBorders>
              <w:top w:val="single" w:color="auto" w:sz="4" w:space="0"/>
              <w:left w:val="single" w:color="auto" w:sz="4" w:space="0"/>
              <w:bottom w:val="single" w:color="auto" w:sz="4" w:space="0"/>
              <w:right w:val="single" w:color="auto" w:sz="4" w:space="0"/>
            </w:tcBorders>
            <w:noWrap w:val="0"/>
            <w:vAlign w:val="center"/>
          </w:tcPr>
          <w:p w14:paraId="52E0F125">
            <w:pPr>
              <w:jc w:val="center"/>
              <w:rPr>
                <w:rFonts w:ascii="宋体" w:hAnsi="宋体"/>
                <w:color w:val="auto"/>
                <w:szCs w:val="44"/>
                <w:highlight w:val="none"/>
              </w:rPr>
            </w:pPr>
            <w:r>
              <w:rPr>
                <w:rFonts w:hint="eastAsia" w:ascii="宋体" w:hAnsi="宋体"/>
                <w:color w:val="auto"/>
                <w:szCs w:val="44"/>
                <w:highlight w:val="none"/>
              </w:rPr>
              <w:t>评审标准</w:t>
            </w:r>
          </w:p>
        </w:tc>
        <w:tc>
          <w:tcPr>
            <w:tcW w:w="8079" w:type="dxa"/>
            <w:gridSpan w:val="9"/>
            <w:tcBorders>
              <w:top w:val="single" w:color="auto" w:sz="4" w:space="0"/>
              <w:left w:val="single" w:color="auto" w:sz="4" w:space="0"/>
              <w:bottom w:val="single" w:color="auto" w:sz="4" w:space="0"/>
              <w:right w:val="single" w:color="auto" w:sz="4" w:space="0"/>
            </w:tcBorders>
            <w:noWrap w:val="0"/>
            <w:vAlign w:val="center"/>
          </w:tcPr>
          <w:p w14:paraId="07659F88">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32DE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tcBorders>
              <w:top w:val="single" w:color="auto" w:sz="4" w:space="0"/>
              <w:left w:val="single" w:color="auto" w:sz="4" w:space="0"/>
              <w:bottom w:val="single" w:color="auto" w:sz="4" w:space="0"/>
              <w:right w:val="single" w:color="auto" w:sz="4" w:space="0"/>
            </w:tcBorders>
            <w:noWrap w:val="0"/>
            <w:vAlign w:val="center"/>
          </w:tcPr>
          <w:p w14:paraId="17581FCA">
            <w:pPr>
              <w:widowControl/>
              <w:jc w:val="left"/>
              <w:rPr>
                <w:rFonts w:ascii="宋体" w:hAnsi="宋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6E408C4C">
            <w:pPr>
              <w:widowControl/>
              <w:jc w:val="left"/>
              <w:rPr>
                <w:rFonts w:ascii="宋体" w:hAnsi="宋体"/>
                <w:color w:val="auto"/>
                <w:szCs w:val="44"/>
                <w:highlight w:val="none"/>
              </w:rPr>
            </w:pPr>
          </w:p>
        </w:tc>
        <w:tc>
          <w:tcPr>
            <w:tcW w:w="3133" w:type="dxa"/>
            <w:vMerge w:val="continue"/>
            <w:tcBorders>
              <w:top w:val="single" w:color="auto" w:sz="4" w:space="0"/>
              <w:left w:val="single" w:color="auto" w:sz="4" w:space="0"/>
              <w:bottom w:val="single" w:color="auto" w:sz="4" w:space="0"/>
              <w:right w:val="single" w:color="auto" w:sz="4" w:space="0"/>
            </w:tcBorders>
            <w:noWrap w:val="0"/>
            <w:vAlign w:val="center"/>
          </w:tcPr>
          <w:p w14:paraId="34193F80">
            <w:pPr>
              <w:widowControl/>
              <w:jc w:val="left"/>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550AC1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EE27EF6">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48EC8D2">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BC952E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B83084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636BF97">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8D8AE3E">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077B4C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AEF7336">
            <w:pPr>
              <w:jc w:val="center"/>
              <w:rPr>
                <w:rFonts w:ascii="宋体" w:hAnsi="宋体"/>
                <w:color w:val="auto"/>
                <w:szCs w:val="44"/>
                <w:highlight w:val="none"/>
              </w:rPr>
            </w:pPr>
          </w:p>
        </w:tc>
      </w:tr>
      <w:tr w14:paraId="0247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05008F81">
            <w:pPr>
              <w:jc w:val="center"/>
              <w:rPr>
                <w:rFonts w:ascii="黑体" w:hAnsi="宋体" w:eastAsia="黑体"/>
                <w:color w:val="auto"/>
                <w:szCs w:val="44"/>
                <w:highlight w:val="none"/>
              </w:rPr>
            </w:pPr>
            <w:r>
              <w:rPr>
                <w:rFonts w:hint="eastAsia" w:ascii="黑体" w:hAnsi="宋体" w:eastAsia="黑体"/>
                <w:color w:val="auto"/>
                <w:szCs w:val="44"/>
                <w:highlight w:val="none"/>
              </w:rPr>
              <w:t>6</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22E29E20">
            <w:pPr>
              <w:jc w:val="center"/>
              <w:rPr>
                <w:rFonts w:ascii="宋体" w:hAnsi="宋体"/>
                <w:color w:val="auto"/>
                <w:szCs w:val="44"/>
                <w:highlight w:val="none"/>
              </w:rPr>
            </w:pPr>
            <w:r>
              <w:rPr>
                <w:rFonts w:hint="eastAsia" w:ascii="宋体" w:hAnsi="宋体"/>
                <w:color w:val="auto"/>
                <w:szCs w:val="44"/>
                <w:highlight w:val="none"/>
              </w:rPr>
              <w:t>权利义务</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2D35B863">
            <w:pPr>
              <w:rPr>
                <w:rFonts w:ascii="宋体" w:hAnsi="宋体"/>
                <w:color w:val="auto"/>
                <w:szCs w:val="44"/>
                <w:highlight w:val="none"/>
              </w:rPr>
            </w:pPr>
            <w:r>
              <w:rPr>
                <w:rFonts w:hint="eastAsia" w:ascii="宋体" w:hAnsi="宋体"/>
                <w:color w:val="auto"/>
                <w:szCs w:val="21"/>
                <w:highlight w:val="none"/>
              </w:rPr>
              <w:t>投标函附录中的相关承诺符合或优于第四章“合同条款及格式”规定</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ABD74F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54B6FC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7A4B2EA">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6438A8F">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E5E14BD">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8389C49">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879888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756719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7099F7B">
            <w:pPr>
              <w:jc w:val="center"/>
              <w:rPr>
                <w:rFonts w:ascii="宋体" w:hAnsi="宋体"/>
                <w:color w:val="auto"/>
                <w:szCs w:val="44"/>
                <w:highlight w:val="none"/>
              </w:rPr>
            </w:pPr>
          </w:p>
        </w:tc>
      </w:tr>
      <w:tr w14:paraId="2E078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40DCB783">
            <w:pPr>
              <w:jc w:val="center"/>
              <w:rPr>
                <w:rFonts w:ascii="黑体" w:hAnsi="宋体" w:eastAsia="黑体"/>
                <w:color w:val="auto"/>
                <w:szCs w:val="44"/>
                <w:highlight w:val="none"/>
              </w:rPr>
            </w:pPr>
            <w:r>
              <w:rPr>
                <w:rFonts w:hint="eastAsia" w:ascii="黑体" w:hAnsi="宋体" w:eastAsia="黑体"/>
                <w:color w:val="auto"/>
                <w:szCs w:val="44"/>
                <w:highlight w:val="none"/>
              </w:rPr>
              <w:t>7</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7FAE5647">
            <w:pPr>
              <w:jc w:val="center"/>
              <w:rPr>
                <w:rFonts w:ascii="宋体" w:hAnsi="宋体"/>
                <w:color w:val="auto"/>
                <w:szCs w:val="44"/>
                <w:highlight w:val="none"/>
              </w:rPr>
            </w:pPr>
            <w:r>
              <w:rPr>
                <w:rFonts w:hint="eastAsia" w:ascii="宋体" w:hAnsi="宋体"/>
                <w:color w:val="auto"/>
                <w:szCs w:val="44"/>
                <w:highlight w:val="none"/>
              </w:rPr>
              <w:t>技术标准和要求</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11BC15DB">
            <w:pPr>
              <w:rPr>
                <w:rFonts w:ascii="宋体" w:hAnsi="宋体"/>
                <w:color w:val="auto"/>
                <w:szCs w:val="44"/>
                <w:highlight w:val="none"/>
              </w:rPr>
            </w:pPr>
            <w:r>
              <w:rPr>
                <w:rFonts w:hint="eastAsia" w:ascii="宋体" w:hAnsi="宋体"/>
                <w:color w:val="auto"/>
                <w:szCs w:val="21"/>
                <w:highlight w:val="none"/>
              </w:rPr>
              <w:t>符合第七章“技术标准和要求”规定</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F4E0ACB">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0CA8C3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C59CD9B">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2ABDD1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61BDC04">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B91F8F4">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F82D877">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BA03F6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5004BDD">
            <w:pPr>
              <w:jc w:val="center"/>
              <w:rPr>
                <w:rFonts w:ascii="宋体" w:hAnsi="宋体"/>
                <w:color w:val="auto"/>
                <w:szCs w:val="44"/>
                <w:highlight w:val="none"/>
              </w:rPr>
            </w:pPr>
          </w:p>
        </w:tc>
      </w:tr>
      <w:tr w14:paraId="2939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28963312">
            <w:pPr>
              <w:jc w:val="center"/>
              <w:rPr>
                <w:rFonts w:ascii="黑体" w:hAnsi="宋体" w:eastAsia="黑体"/>
                <w:color w:val="auto"/>
                <w:szCs w:val="44"/>
                <w:highlight w:val="none"/>
              </w:rPr>
            </w:pPr>
            <w:r>
              <w:rPr>
                <w:rFonts w:hint="eastAsia" w:ascii="黑体" w:hAnsi="宋体" w:eastAsia="黑体"/>
                <w:color w:val="auto"/>
                <w:szCs w:val="44"/>
                <w:highlight w:val="none"/>
              </w:rPr>
              <w:t>8</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5272B674">
            <w:pPr>
              <w:jc w:val="center"/>
              <w:rPr>
                <w:rFonts w:ascii="宋体" w:hAnsi="宋体"/>
                <w:color w:val="auto"/>
                <w:szCs w:val="21"/>
                <w:highlight w:val="none"/>
              </w:rPr>
            </w:pPr>
            <w:r>
              <w:rPr>
                <w:rFonts w:hint="eastAsia" w:ascii="宋体" w:hAnsi="宋体"/>
                <w:color w:val="auto"/>
                <w:szCs w:val="21"/>
                <w:highlight w:val="none"/>
              </w:rPr>
              <w:t>分包计划</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400900F3">
            <w:pPr>
              <w:rPr>
                <w:rFonts w:ascii="宋体" w:hAnsi="宋体"/>
                <w:color w:val="auto"/>
                <w:szCs w:val="21"/>
                <w:highlight w:val="none"/>
              </w:rPr>
            </w:pPr>
            <w:r>
              <w:rPr>
                <w:rFonts w:hint="eastAsia" w:ascii="宋体" w:hAnsi="宋体"/>
                <w:color w:val="auto"/>
                <w:szCs w:val="21"/>
                <w:highlight w:val="none"/>
              </w:rPr>
              <w:t>符合第二章“投标人须知”第1.11款规定</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BD9C986">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33D101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C5EBF5F">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3B0C8A0">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B0205D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DD94DA1">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923C99F">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7885FC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D3A645A">
            <w:pPr>
              <w:jc w:val="center"/>
              <w:rPr>
                <w:rFonts w:ascii="宋体" w:hAnsi="宋体"/>
                <w:color w:val="auto"/>
                <w:szCs w:val="44"/>
                <w:highlight w:val="none"/>
              </w:rPr>
            </w:pPr>
          </w:p>
        </w:tc>
      </w:tr>
      <w:tr w14:paraId="24987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tcBorders>
              <w:top w:val="single" w:color="auto" w:sz="4" w:space="0"/>
              <w:left w:val="single" w:color="auto" w:sz="4" w:space="0"/>
              <w:bottom w:val="single" w:color="auto" w:sz="4" w:space="0"/>
              <w:right w:val="single" w:color="auto" w:sz="4" w:space="0"/>
            </w:tcBorders>
            <w:noWrap w:val="0"/>
            <w:vAlign w:val="center"/>
          </w:tcPr>
          <w:p w14:paraId="109ADED3">
            <w:pPr>
              <w:jc w:val="center"/>
              <w:rPr>
                <w:rFonts w:ascii="黑体" w:hAnsi="宋体" w:eastAsia="黑体"/>
                <w:color w:val="auto"/>
                <w:szCs w:val="44"/>
                <w:highlight w:val="none"/>
              </w:rPr>
            </w:pPr>
            <w:r>
              <w:rPr>
                <w:rFonts w:hint="eastAsia" w:ascii="黑体" w:hAnsi="宋体" w:eastAsia="黑体"/>
                <w:color w:val="auto"/>
                <w:szCs w:val="44"/>
                <w:highlight w:val="none"/>
              </w:rPr>
              <w:t>9</w:t>
            </w:r>
          </w:p>
        </w:tc>
        <w:tc>
          <w:tcPr>
            <w:tcW w:w="1802" w:type="dxa"/>
            <w:vMerge w:val="restart"/>
            <w:tcBorders>
              <w:top w:val="single" w:color="auto" w:sz="4" w:space="0"/>
              <w:left w:val="single" w:color="auto" w:sz="4" w:space="0"/>
              <w:bottom w:val="single" w:color="auto" w:sz="4" w:space="0"/>
              <w:right w:val="single" w:color="auto" w:sz="4" w:space="0"/>
            </w:tcBorders>
            <w:noWrap w:val="0"/>
            <w:vAlign w:val="center"/>
          </w:tcPr>
          <w:p w14:paraId="4F50E735">
            <w:pPr>
              <w:jc w:val="center"/>
              <w:rPr>
                <w:rFonts w:ascii="宋体" w:hAnsi="宋体"/>
                <w:color w:val="auto"/>
                <w:szCs w:val="21"/>
                <w:highlight w:val="none"/>
              </w:rPr>
            </w:pPr>
            <w:r>
              <w:rPr>
                <w:rFonts w:hint="eastAsia" w:ascii="宋体" w:hAnsi="宋体"/>
                <w:color w:val="auto"/>
                <w:szCs w:val="21"/>
                <w:highlight w:val="none"/>
              </w:rPr>
              <w:t>投标报价</w:t>
            </w:r>
          </w:p>
          <w:p w14:paraId="63614399">
            <w:pPr>
              <w:jc w:val="center"/>
              <w:rPr>
                <w:rFonts w:ascii="宋体" w:hAnsi="宋体"/>
                <w:color w:val="auto"/>
                <w:szCs w:val="44"/>
                <w:highlight w:val="none"/>
              </w:rPr>
            </w:pPr>
            <w:r>
              <w:rPr>
                <w:rFonts w:hint="eastAsia" w:ascii="宋体" w:hAnsi="宋体"/>
                <w:color w:val="auto"/>
                <w:szCs w:val="21"/>
                <w:highlight w:val="none"/>
              </w:rPr>
              <w:t>算术错误修正</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51F5D30D">
            <w:pPr>
              <w:rPr>
                <w:rFonts w:ascii="宋体" w:hAnsi="宋体"/>
                <w:color w:val="auto"/>
                <w:szCs w:val="21"/>
                <w:highlight w:val="none"/>
              </w:rPr>
            </w:pPr>
            <w:r>
              <w:rPr>
                <w:rFonts w:hint="eastAsia" w:ascii="宋体" w:hAnsi="宋体"/>
                <w:color w:val="auto"/>
                <w:szCs w:val="21"/>
                <w:highlight w:val="none"/>
              </w:rPr>
              <w:t>投标人接受算术修正后的报价</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BFDCBD4">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07F99B2">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B5069B0">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0EFD57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D64947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2D38B0F">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674039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38CACE6">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54B7C02">
            <w:pPr>
              <w:jc w:val="center"/>
              <w:rPr>
                <w:rFonts w:ascii="宋体" w:hAnsi="宋体"/>
                <w:color w:val="auto"/>
                <w:szCs w:val="44"/>
                <w:highlight w:val="none"/>
              </w:rPr>
            </w:pPr>
          </w:p>
        </w:tc>
      </w:tr>
      <w:tr w14:paraId="162F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tcBorders>
              <w:top w:val="single" w:color="auto" w:sz="4" w:space="0"/>
              <w:left w:val="single" w:color="auto" w:sz="4" w:space="0"/>
              <w:bottom w:val="single" w:color="auto" w:sz="4" w:space="0"/>
              <w:right w:val="single" w:color="auto" w:sz="4" w:space="0"/>
            </w:tcBorders>
            <w:noWrap w:val="0"/>
            <w:vAlign w:val="center"/>
          </w:tcPr>
          <w:p w14:paraId="0BFFAF59">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66E50406">
            <w:pPr>
              <w:widowControl/>
              <w:jc w:val="left"/>
              <w:rPr>
                <w:rFonts w:ascii="宋体" w:hAnsi="宋体"/>
                <w:color w:val="auto"/>
                <w:szCs w:val="44"/>
                <w:highlight w:val="none"/>
              </w:rPr>
            </w:pPr>
          </w:p>
        </w:tc>
        <w:tc>
          <w:tcPr>
            <w:tcW w:w="3133" w:type="dxa"/>
            <w:tcBorders>
              <w:top w:val="single" w:color="auto" w:sz="4" w:space="0"/>
              <w:left w:val="single" w:color="auto" w:sz="4" w:space="0"/>
              <w:bottom w:val="single" w:color="auto" w:sz="4" w:space="0"/>
              <w:right w:val="single" w:color="auto" w:sz="4" w:space="0"/>
            </w:tcBorders>
            <w:noWrap w:val="0"/>
            <w:vAlign w:val="center"/>
          </w:tcPr>
          <w:p w14:paraId="3E84FFE3">
            <w:pPr>
              <w:rPr>
                <w:rFonts w:ascii="宋体" w:hAnsi="宋体"/>
                <w:color w:val="auto"/>
                <w:szCs w:val="21"/>
                <w:highlight w:val="none"/>
              </w:rPr>
            </w:pPr>
            <w:r>
              <w:rPr>
                <w:rFonts w:hint="eastAsia" w:ascii="宋体" w:hAnsi="宋体"/>
                <w:color w:val="auto"/>
                <w:szCs w:val="21"/>
                <w:highlight w:val="none"/>
              </w:rPr>
              <w:t>修正后的报价与投标报价相比偏差率不超过±1%。</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CC4F556">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B7A81F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627A8A4">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1D42E0C">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C6626BB">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57DC41F">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E82E69F">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75E4B7D">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0E5AD69">
            <w:pPr>
              <w:jc w:val="center"/>
              <w:rPr>
                <w:rFonts w:ascii="宋体" w:hAnsi="宋体"/>
                <w:color w:val="auto"/>
                <w:szCs w:val="44"/>
                <w:highlight w:val="none"/>
              </w:rPr>
            </w:pPr>
          </w:p>
        </w:tc>
      </w:tr>
      <w:tr w14:paraId="7699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tcBorders>
              <w:top w:val="single" w:color="auto" w:sz="4" w:space="0"/>
              <w:left w:val="single" w:color="auto" w:sz="4" w:space="0"/>
              <w:bottom w:val="single" w:color="auto" w:sz="4" w:space="0"/>
              <w:right w:val="single" w:color="auto" w:sz="4" w:space="0"/>
            </w:tcBorders>
            <w:noWrap w:val="0"/>
            <w:vAlign w:val="center"/>
          </w:tcPr>
          <w:p w14:paraId="3B5D9C9D">
            <w:pPr>
              <w:jc w:val="center"/>
              <w:rPr>
                <w:rFonts w:ascii="黑体" w:hAnsi="宋体" w:eastAsia="黑体"/>
                <w:color w:val="auto"/>
                <w:szCs w:val="44"/>
                <w:highlight w:val="none"/>
              </w:rPr>
            </w:pPr>
            <w:r>
              <w:rPr>
                <w:rFonts w:hint="eastAsia" w:ascii="黑体" w:hAnsi="宋体" w:eastAsia="黑体"/>
                <w:color w:val="auto"/>
                <w:szCs w:val="44"/>
                <w:highlight w:val="none"/>
              </w:rPr>
              <w:t>10</w:t>
            </w:r>
          </w:p>
        </w:tc>
        <w:tc>
          <w:tcPr>
            <w:tcW w:w="1802" w:type="dxa"/>
            <w:vMerge w:val="restart"/>
            <w:tcBorders>
              <w:top w:val="single" w:color="auto" w:sz="4" w:space="0"/>
              <w:left w:val="single" w:color="auto" w:sz="4" w:space="0"/>
              <w:bottom w:val="single" w:color="auto" w:sz="4" w:space="0"/>
              <w:right w:val="single" w:color="auto" w:sz="4" w:space="0"/>
            </w:tcBorders>
            <w:noWrap w:val="0"/>
            <w:vAlign w:val="center"/>
          </w:tcPr>
          <w:p w14:paraId="2F203EDD">
            <w:pPr>
              <w:jc w:val="center"/>
              <w:rPr>
                <w:rFonts w:ascii="宋体" w:hAnsi="宋体"/>
                <w:color w:val="auto"/>
                <w:szCs w:val="44"/>
                <w:highlight w:val="none"/>
              </w:rPr>
            </w:pPr>
            <w:r>
              <w:rPr>
                <w:rFonts w:hint="eastAsia" w:ascii="宋体" w:hAnsi="宋体"/>
                <w:color w:val="auto"/>
                <w:szCs w:val="21"/>
                <w:highlight w:val="none"/>
              </w:rPr>
              <w:t>投标价格</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76A9F4DC">
            <w:pPr>
              <w:rPr>
                <w:rFonts w:ascii="宋体" w:hAnsi="宋体"/>
                <w:color w:val="auto"/>
                <w:szCs w:val="21"/>
                <w:highlight w:val="none"/>
              </w:rPr>
            </w:pPr>
            <w:r>
              <w:rPr>
                <w:rFonts w:hint="eastAsia" w:ascii="宋体" w:hAnsi="宋体"/>
                <w:color w:val="auto"/>
                <w:szCs w:val="21"/>
                <w:highlight w:val="none"/>
              </w:rPr>
              <w:t>投标函中的大写报价与已标价工程量清单中的投标总价一致</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8BD13C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35037B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2C83194">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EAF136E">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02EDB5E">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9009657">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915744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AA380C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DCD01E4">
            <w:pPr>
              <w:jc w:val="center"/>
              <w:rPr>
                <w:rFonts w:ascii="宋体" w:hAnsi="宋体"/>
                <w:color w:val="auto"/>
                <w:szCs w:val="44"/>
                <w:highlight w:val="none"/>
              </w:rPr>
            </w:pPr>
          </w:p>
        </w:tc>
      </w:tr>
      <w:tr w14:paraId="0203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tcBorders>
              <w:top w:val="single" w:color="auto" w:sz="4" w:space="0"/>
              <w:left w:val="single" w:color="auto" w:sz="4" w:space="0"/>
              <w:bottom w:val="single" w:color="auto" w:sz="4" w:space="0"/>
              <w:right w:val="single" w:color="auto" w:sz="4" w:space="0"/>
            </w:tcBorders>
            <w:noWrap w:val="0"/>
            <w:vAlign w:val="center"/>
          </w:tcPr>
          <w:p w14:paraId="3E6F44E9">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0C0DD652">
            <w:pPr>
              <w:widowControl/>
              <w:jc w:val="left"/>
              <w:rPr>
                <w:rFonts w:ascii="宋体" w:hAnsi="宋体"/>
                <w:color w:val="auto"/>
                <w:szCs w:val="44"/>
                <w:highlight w:val="none"/>
              </w:rPr>
            </w:pPr>
          </w:p>
        </w:tc>
        <w:tc>
          <w:tcPr>
            <w:tcW w:w="3133" w:type="dxa"/>
            <w:tcBorders>
              <w:top w:val="single" w:color="auto" w:sz="4" w:space="0"/>
              <w:left w:val="single" w:color="auto" w:sz="4" w:space="0"/>
              <w:bottom w:val="single" w:color="auto" w:sz="4" w:space="0"/>
              <w:right w:val="single" w:color="auto" w:sz="4" w:space="0"/>
            </w:tcBorders>
            <w:noWrap w:val="0"/>
            <w:vAlign w:val="center"/>
          </w:tcPr>
          <w:p w14:paraId="2C57A26D">
            <w:pPr>
              <w:rPr>
                <w:rFonts w:ascii="宋体" w:hAnsi="宋体"/>
                <w:color w:val="auto"/>
                <w:szCs w:val="21"/>
                <w:highlight w:val="none"/>
              </w:rPr>
            </w:pPr>
            <w:r>
              <w:rPr>
                <w:rFonts w:hint="eastAsia" w:ascii="宋体" w:hAnsi="宋体"/>
                <w:color w:val="auto"/>
                <w:szCs w:val="21"/>
                <w:highlight w:val="none"/>
              </w:rPr>
              <w:t>投标函中的大写报价不大于本项目招标控制价总价</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40EC342">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BDE17C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4C64F49">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7A1F9C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4D762FF">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C55C054">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02EC50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D39297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8BD2421">
            <w:pPr>
              <w:jc w:val="center"/>
              <w:rPr>
                <w:rFonts w:ascii="宋体" w:hAnsi="宋体"/>
                <w:color w:val="auto"/>
                <w:szCs w:val="44"/>
                <w:highlight w:val="none"/>
              </w:rPr>
            </w:pPr>
          </w:p>
        </w:tc>
      </w:tr>
      <w:tr w14:paraId="7A6A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tcBorders>
              <w:top w:val="single" w:color="auto" w:sz="4" w:space="0"/>
              <w:left w:val="single" w:color="auto" w:sz="4" w:space="0"/>
              <w:bottom w:val="single" w:color="auto" w:sz="4" w:space="0"/>
              <w:right w:val="single" w:color="auto" w:sz="4" w:space="0"/>
            </w:tcBorders>
            <w:noWrap w:val="0"/>
            <w:vAlign w:val="center"/>
          </w:tcPr>
          <w:p w14:paraId="3312F0D1">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1E6E984C">
            <w:pPr>
              <w:widowControl/>
              <w:jc w:val="left"/>
              <w:rPr>
                <w:rFonts w:ascii="宋体" w:hAnsi="宋体"/>
                <w:color w:val="auto"/>
                <w:szCs w:val="44"/>
                <w:highlight w:val="none"/>
              </w:rPr>
            </w:pPr>
          </w:p>
        </w:tc>
        <w:tc>
          <w:tcPr>
            <w:tcW w:w="3133" w:type="dxa"/>
            <w:tcBorders>
              <w:top w:val="single" w:color="auto" w:sz="4" w:space="0"/>
              <w:left w:val="single" w:color="auto" w:sz="4" w:space="0"/>
              <w:bottom w:val="single" w:color="auto" w:sz="4" w:space="0"/>
              <w:right w:val="single" w:color="auto" w:sz="4" w:space="0"/>
            </w:tcBorders>
            <w:noWrap w:val="0"/>
            <w:vAlign w:val="center"/>
          </w:tcPr>
          <w:p w14:paraId="16FF2484">
            <w:pPr>
              <w:rPr>
                <w:rFonts w:ascii="宋体" w:hAnsi="宋体"/>
                <w:color w:val="auto"/>
                <w:szCs w:val="21"/>
                <w:highlight w:val="none"/>
              </w:rPr>
            </w:pPr>
            <w:r>
              <w:rPr>
                <w:rFonts w:hint="eastAsia"/>
                <w:color w:val="auto"/>
                <w:highlight w:val="none"/>
              </w:rPr>
              <w:t>算术错误修正后的投标总报价</w:t>
            </w:r>
            <w:r>
              <w:rPr>
                <w:rFonts w:hint="eastAsia" w:ascii="宋体" w:hAnsi="宋体"/>
                <w:color w:val="auto"/>
                <w:szCs w:val="21"/>
                <w:highlight w:val="none"/>
              </w:rPr>
              <w:t>不大于本标段招标控制价总价</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F68A35F">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1D757E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1E8F01C">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C0DC3A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A5CC33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931B86E">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FC57B9D">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20B1AB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DE23CF9">
            <w:pPr>
              <w:jc w:val="center"/>
              <w:rPr>
                <w:rFonts w:ascii="宋体" w:hAnsi="宋体"/>
                <w:color w:val="auto"/>
                <w:szCs w:val="44"/>
                <w:highlight w:val="none"/>
              </w:rPr>
            </w:pPr>
          </w:p>
        </w:tc>
      </w:tr>
      <w:tr w14:paraId="7D127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tcBorders>
              <w:top w:val="single" w:color="auto" w:sz="4" w:space="0"/>
              <w:left w:val="single" w:color="auto" w:sz="4" w:space="0"/>
              <w:bottom w:val="single" w:color="auto" w:sz="4" w:space="0"/>
              <w:right w:val="single" w:color="auto" w:sz="4" w:space="0"/>
            </w:tcBorders>
            <w:noWrap w:val="0"/>
            <w:vAlign w:val="center"/>
          </w:tcPr>
          <w:p w14:paraId="32728BF4">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6AF03E1D">
            <w:pPr>
              <w:widowControl/>
              <w:jc w:val="left"/>
              <w:rPr>
                <w:rFonts w:ascii="宋体" w:hAnsi="宋体"/>
                <w:color w:val="auto"/>
                <w:szCs w:val="44"/>
                <w:highlight w:val="none"/>
              </w:rPr>
            </w:pPr>
          </w:p>
        </w:tc>
        <w:tc>
          <w:tcPr>
            <w:tcW w:w="3133" w:type="dxa"/>
            <w:tcBorders>
              <w:top w:val="single" w:color="auto" w:sz="4" w:space="0"/>
              <w:left w:val="single" w:color="auto" w:sz="4" w:space="0"/>
              <w:bottom w:val="single" w:color="auto" w:sz="4" w:space="0"/>
              <w:right w:val="single" w:color="auto" w:sz="4" w:space="0"/>
            </w:tcBorders>
            <w:noWrap w:val="0"/>
            <w:vAlign w:val="center"/>
          </w:tcPr>
          <w:p w14:paraId="7987466C">
            <w:pPr>
              <w:rPr>
                <w:rFonts w:ascii="宋体" w:hAnsi="宋体"/>
                <w:color w:val="auto"/>
                <w:szCs w:val="21"/>
                <w:highlight w:val="none"/>
              </w:rPr>
            </w:pPr>
            <w:r>
              <w:rPr>
                <w:rFonts w:hint="eastAsia" w:ascii="宋体" w:hAnsi="宋体"/>
                <w:color w:val="auto"/>
                <w:szCs w:val="21"/>
                <w:highlight w:val="none"/>
              </w:rPr>
              <w:t>投标报价不低于其成本</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36536A8">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A9BEF2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8CF5F7B">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01E9B0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033497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01D6BE9">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A5C8F14">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E6D055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8A31C8D">
            <w:pPr>
              <w:jc w:val="center"/>
              <w:rPr>
                <w:rFonts w:ascii="宋体" w:hAnsi="宋体"/>
                <w:color w:val="auto"/>
                <w:szCs w:val="44"/>
                <w:highlight w:val="none"/>
              </w:rPr>
            </w:pPr>
          </w:p>
        </w:tc>
      </w:tr>
      <w:tr w14:paraId="77C38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tcBorders>
              <w:top w:val="single" w:color="auto" w:sz="4" w:space="0"/>
              <w:left w:val="single" w:color="auto" w:sz="4" w:space="0"/>
              <w:bottom w:val="single" w:color="auto" w:sz="4" w:space="0"/>
              <w:right w:val="single" w:color="auto" w:sz="4" w:space="0"/>
            </w:tcBorders>
            <w:noWrap w:val="0"/>
            <w:vAlign w:val="center"/>
          </w:tcPr>
          <w:p w14:paraId="06B8533F">
            <w:pPr>
              <w:jc w:val="center"/>
              <w:rPr>
                <w:rFonts w:ascii="黑体" w:hAnsi="宋体" w:eastAsia="黑体"/>
                <w:color w:val="auto"/>
                <w:szCs w:val="44"/>
                <w:highlight w:val="none"/>
              </w:rPr>
            </w:pPr>
            <w:r>
              <w:rPr>
                <w:rFonts w:hint="eastAsia" w:ascii="黑体" w:hAnsi="宋体" w:eastAsia="黑体"/>
                <w:color w:val="auto"/>
                <w:szCs w:val="44"/>
                <w:highlight w:val="none"/>
              </w:rPr>
              <w:t>11</w:t>
            </w:r>
          </w:p>
        </w:tc>
        <w:tc>
          <w:tcPr>
            <w:tcW w:w="1802" w:type="dxa"/>
            <w:vMerge w:val="restart"/>
            <w:tcBorders>
              <w:top w:val="single" w:color="auto" w:sz="4" w:space="0"/>
              <w:left w:val="single" w:color="auto" w:sz="4" w:space="0"/>
              <w:bottom w:val="single" w:color="auto" w:sz="4" w:space="0"/>
              <w:right w:val="single" w:color="auto" w:sz="4" w:space="0"/>
            </w:tcBorders>
            <w:noWrap w:val="0"/>
            <w:vAlign w:val="center"/>
          </w:tcPr>
          <w:p w14:paraId="2B21A032">
            <w:pPr>
              <w:jc w:val="center"/>
              <w:rPr>
                <w:rFonts w:ascii="宋体" w:hAnsi="宋体"/>
                <w:color w:val="auto"/>
                <w:szCs w:val="44"/>
                <w:highlight w:val="none"/>
              </w:rPr>
            </w:pPr>
            <w:r>
              <w:rPr>
                <w:rFonts w:hint="eastAsia" w:ascii="宋体" w:hAnsi="宋体"/>
                <w:color w:val="auto"/>
                <w:szCs w:val="44"/>
                <w:highlight w:val="none"/>
              </w:rPr>
              <w:t>已标价</w:t>
            </w:r>
          </w:p>
          <w:p w14:paraId="291C3A42">
            <w:pPr>
              <w:jc w:val="center"/>
              <w:rPr>
                <w:rFonts w:ascii="宋体" w:hAnsi="宋体"/>
                <w:color w:val="auto"/>
                <w:szCs w:val="21"/>
                <w:highlight w:val="none"/>
              </w:rPr>
            </w:pPr>
            <w:r>
              <w:rPr>
                <w:rFonts w:hint="eastAsia" w:ascii="宋体" w:hAnsi="宋体"/>
                <w:color w:val="auto"/>
                <w:szCs w:val="44"/>
                <w:highlight w:val="none"/>
              </w:rPr>
              <w:t>工程量清单</w:t>
            </w:r>
          </w:p>
        </w:tc>
        <w:tc>
          <w:tcPr>
            <w:tcW w:w="3133" w:type="dxa"/>
            <w:tcBorders>
              <w:top w:val="single" w:color="auto" w:sz="4" w:space="0"/>
              <w:left w:val="single" w:color="auto" w:sz="4" w:space="0"/>
              <w:bottom w:val="single" w:color="auto" w:sz="4" w:space="0"/>
              <w:right w:val="single" w:color="auto" w:sz="4" w:space="0"/>
            </w:tcBorders>
            <w:noWrap w:val="0"/>
            <w:vAlign w:val="center"/>
          </w:tcPr>
          <w:p w14:paraId="5BC21BE9">
            <w:pPr>
              <w:rPr>
                <w:rFonts w:ascii="宋体" w:hAnsi="宋体"/>
                <w:color w:val="auto"/>
                <w:szCs w:val="21"/>
                <w:highlight w:val="none"/>
              </w:rPr>
            </w:pPr>
            <w:r>
              <w:rPr>
                <w:rFonts w:hint="eastAsia" w:ascii="宋体" w:hAnsi="宋体"/>
                <w:color w:val="auto"/>
                <w:szCs w:val="21"/>
                <w:highlight w:val="none"/>
              </w:rPr>
              <w:t>已标价工程量清单项目编码顺序与第五章“工程量清单”给出的项目编码顺序一致</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3D776EA4">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CE29E29">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14F48BE">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79B56E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0BB6B8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5C775B1">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A3823C4">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CFFAC0B">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ACF4AF3">
            <w:pPr>
              <w:jc w:val="center"/>
              <w:rPr>
                <w:rFonts w:ascii="宋体" w:hAnsi="宋体"/>
                <w:color w:val="auto"/>
                <w:szCs w:val="44"/>
                <w:highlight w:val="none"/>
              </w:rPr>
            </w:pPr>
          </w:p>
        </w:tc>
      </w:tr>
      <w:tr w14:paraId="37EE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tcBorders>
              <w:top w:val="single" w:color="auto" w:sz="4" w:space="0"/>
              <w:left w:val="single" w:color="auto" w:sz="4" w:space="0"/>
              <w:bottom w:val="single" w:color="auto" w:sz="4" w:space="0"/>
              <w:right w:val="single" w:color="auto" w:sz="4" w:space="0"/>
            </w:tcBorders>
            <w:noWrap w:val="0"/>
            <w:vAlign w:val="center"/>
          </w:tcPr>
          <w:p w14:paraId="28DA6917">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62EF3346">
            <w:pPr>
              <w:widowControl/>
              <w:jc w:val="left"/>
              <w:rPr>
                <w:rFonts w:ascii="宋体" w:hAnsi="宋体"/>
                <w:color w:val="auto"/>
                <w:szCs w:val="21"/>
                <w:highlight w:val="none"/>
              </w:rPr>
            </w:pPr>
          </w:p>
        </w:tc>
        <w:tc>
          <w:tcPr>
            <w:tcW w:w="3133" w:type="dxa"/>
            <w:tcBorders>
              <w:top w:val="single" w:color="auto" w:sz="4" w:space="0"/>
              <w:left w:val="single" w:color="auto" w:sz="4" w:space="0"/>
              <w:bottom w:val="single" w:color="auto" w:sz="4" w:space="0"/>
              <w:right w:val="single" w:color="auto" w:sz="4" w:space="0"/>
            </w:tcBorders>
            <w:noWrap w:val="0"/>
            <w:vAlign w:val="center"/>
          </w:tcPr>
          <w:p w14:paraId="0F97CE85">
            <w:pPr>
              <w:rPr>
                <w:rFonts w:ascii="宋体" w:hAnsi="宋体"/>
                <w:color w:val="auto"/>
                <w:szCs w:val="21"/>
                <w:highlight w:val="none"/>
              </w:rPr>
            </w:pPr>
            <w:r>
              <w:rPr>
                <w:rFonts w:hint="eastAsia" w:ascii="宋体" w:hAnsi="宋体"/>
                <w:color w:val="auto"/>
                <w:szCs w:val="21"/>
                <w:highlight w:val="none"/>
              </w:rPr>
              <w:t>已标价工程量清单符合第五章“工程量清单”给出的项目编码、项目名称、项目特征、计量单位和工程量</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BC3EEDC">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6CF43E5">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F68AF2B">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B2F1514">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47B30F3">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AE9CA27">
            <w:pPr>
              <w:jc w:val="center"/>
              <w:rPr>
                <w:rFonts w:ascii="宋体" w:hAnsi="宋体"/>
                <w:color w:val="auto"/>
                <w:szCs w:val="44"/>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D5B5F91">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552F8BA">
            <w:pPr>
              <w:jc w:val="center"/>
              <w:rPr>
                <w:rFonts w:ascii="宋体" w:hAnsi="宋体"/>
                <w:color w:val="auto"/>
                <w:szCs w:val="44"/>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19F84DD">
            <w:pPr>
              <w:jc w:val="center"/>
              <w:rPr>
                <w:rFonts w:ascii="宋体" w:hAnsi="宋体"/>
                <w:color w:val="auto"/>
                <w:szCs w:val="44"/>
                <w:highlight w:val="none"/>
              </w:rPr>
            </w:pPr>
          </w:p>
        </w:tc>
      </w:tr>
    </w:tbl>
    <w:p w14:paraId="00AAF155">
      <w:pPr>
        <w:rPr>
          <w:rFonts w:hint="eastAsia" w:ascii="宋体" w:hAnsi="宋体"/>
          <w:color w:val="auto"/>
          <w:szCs w:val="44"/>
          <w:highlight w:val="none"/>
        </w:rPr>
      </w:pPr>
    </w:p>
    <w:p w14:paraId="7D8EE41C">
      <w:pPr>
        <w:rPr>
          <w:rFonts w:hint="eastAsia" w:ascii="宋体" w:hAnsi="宋体"/>
          <w:color w:val="auto"/>
          <w:szCs w:val="4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794"/>
        <w:gridCol w:w="824"/>
        <w:gridCol w:w="824"/>
        <w:gridCol w:w="824"/>
        <w:gridCol w:w="824"/>
        <w:gridCol w:w="825"/>
        <w:gridCol w:w="824"/>
        <w:gridCol w:w="824"/>
        <w:gridCol w:w="824"/>
        <w:gridCol w:w="825"/>
      </w:tblGrid>
      <w:tr w14:paraId="66B0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tcBorders>
              <w:top w:val="single" w:color="auto" w:sz="4" w:space="0"/>
              <w:left w:val="single" w:color="auto" w:sz="4" w:space="0"/>
              <w:bottom w:val="single" w:color="auto" w:sz="4" w:space="0"/>
              <w:right w:val="single" w:color="auto" w:sz="4" w:space="0"/>
            </w:tcBorders>
            <w:noWrap w:val="0"/>
            <w:vAlign w:val="center"/>
          </w:tcPr>
          <w:p w14:paraId="77A445E9">
            <w:pPr>
              <w:jc w:val="center"/>
              <w:rPr>
                <w:rFonts w:ascii="宋体" w:hAnsi="宋体"/>
                <w:color w:val="auto"/>
                <w:szCs w:val="44"/>
                <w:highlight w:val="none"/>
              </w:rPr>
            </w:pPr>
            <w:r>
              <w:rPr>
                <w:rFonts w:hint="eastAsia" w:ascii="宋体" w:hAnsi="宋体"/>
                <w:color w:val="auto"/>
                <w:szCs w:val="44"/>
                <w:highlight w:val="none"/>
              </w:rPr>
              <w:t>序号</w:t>
            </w:r>
          </w:p>
        </w:tc>
        <w:tc>
          <w:tcPr>
            <w:tcW w:w="1802" w:type="dxa"/>
            <w:vMerge w:val="restart"/>
            <w:tcBorders>
              <w:top w:val="single" w:color="auto" w:sz="4" w:space="0"/>
              <w:left w:val="single" w:color="auto" w:sz="4" w:space="0"/>
              <w:bottom w:val="single" w:color="auto" w:sz="4" w:space="0"/>
              <w:right w:val="single" w:color="auto" w:sz="4" w:space="0"/>
            </w:tcBorders>
            <w:noWrap w:val="0"/>
            <w:vAlign w:val="center"/>
          </w:tcPr>
          <w:p w14:paraId="6266DD87">
            <w:pPr>
              <w:jc w:val="center"/>
              <w:rPr>
                <w:rFonts w:ascii="宋体" w:hAnsi="宋体"/>
                <w:color w:val="auto"/>
                <w:szCs w:val="44"/>
                <w:highlight w:val="none"/>
              </w:rPr>
            </w:pPr>
            <w:r>
              <w:rPr>
                <w:rFonts w:hint="eastAsia" w:ascii="宋体" w:hAnsi="宋体"/>
                <w:color w:val="auto"/>
                <w:szCs w:val="44"/>
                <w:highlight w:val="none"/>
              </w:rPr>
              <w:t>评审因素</w:t>
            </w:r>
          </w:p>
        </w:tc>
        <w:tc>
          <w:tcPr>
            <w:tcW w:w="3794" w:type="dxa"/>
            <w:vMerge w:val="restart"/>
            <w:tcBorders>
              <w:top w:val="single" w:color="auto" w:sz="4" w:space="0"/>
              <w:left w:val="single" w:color="auto" w:sz="4" w:space="0"/>
              <w:bottom w:val="single" w:color="auto" w:sz="4" w:space="0"/>
              <w:right w:val="single" w:color="auto" w:sz="4" w:space="0"/>
            </w:tcBorders>
            <w:noWrap w:val="0"/>
            <w:vAlign w:val="center"/>
          </w:tcPr>
          <w:p w14:paraId="5102CF92">
            <w:pPr>
              <w:jc w:val="center"/>
              <w:rPr>
                <w:rFonts w:ascii="宋体" w:hAnsi="宋体"/>
                <w:color w:val="auto"/>
                <w:szCs w:val="44"/>
                <w:highlight w:val="none"/>
              </w:rPr>
            </w:pPr>
            <w:r>
              <w:rPr>
                <w:rFonts w:hint="eastAsia" w:ascii="宋体" w:hAnsi="宋体"/>
                <w:color w:val="auto"/>
                <w:szCs w:val="44"/>
                <w:highlight w:val="none"/>
              </w:rPr>
              <w:t>评审标准</w:t>
            </w:r>
          </w:p>
        </w:tc>
        <w:tc>
          <w:tcPr>
            <w:tcW w:w="7418" w:type="dxa"/>
            <w:gridSpan w:val="9"/>
            <w:tcBorders>
              <w:top w:val="single" w:color="auto" w:sz="4" w:space="0"/>
              <w:left w:val="single" w:color="auto" w:sz="4" w:space="0"/>
              <w:bottom w:val="single" w:color="auto" w:sz="4" w:space="0"/>
              <w:right w:val="single" w:color="auto" w:sz="4" w:space="0"/>
            </w:tcBorders>
            <w:noWrap w:val="0"/>
            <w:vAlign w:val="center"/>
          </w:tcPr>
          <w:p w14:paraId="40FFA630">
            <w:pPr>
              <w:jc w:val="center"/>
              <w:rPr>
                <w:rFonts w:ascii="宋体" w:hAnsi="宋体"/>
                <w:color w:val="auto"/>
                <w:szCs w:val="44"/>
                <w:highlight w:val="none"/>
              </w:rPr>
            </w:pPr>
            <w:r>
              <w:rPr>
                <w:rFonts w:hint="eastAsia" w:ascii="宋体" w:hAnsi="宋体"/>
                <w:color w:val="auto"/>
                <w:szCs w:val="44"/>
                <w:highlight w:val="none"/>
              </w:rPr>
              <w:t>投标人名称及评审意见</w:t>
            </w:r>
          </w:p>
        </w:tc>
      </w:tr>
      <w:tr w14:paraId="574A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49" w:type="dxa"/>
            <w:vMerge w:val="continue"/>
            <w:tcBorders>
              <w:top w:val="single" w:color="auto" w:sz="4" w:space="0"/>
              <w:left w:val="single" w:color="auto" w:sz="4" w:space="0"/>
              <w:bottom w:val="single" w:color="auto" w:sz="4" w:space="0"/>
              <w:right w:val="single" w:color="auto" w:sz="4" w:space="0"/>
            </w:tcBorders>
            <w:noWrap w:val="0"/>
            <w:vAlign w:val="center"/>
          </w:tcPr>
          <w:p w14:paraId="5C40382F">
            <w:pPr>
              <w:widowControl/>
              <w:jc w:val="left"/>
              <w:rPr>
                <w:rFonts w:ascii="宋体" w:hAnsi="宋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247D1440">
            <w:pPr>
              <w:widowControl/>
              <w:jc w:val="left"/>
              <w:rPr>
                <w:rFonts w:ascii="宋体" w:hAnsi="宋体"/>
                <w:color w:val="auto"/>
                <w:szCs w:val="44"/>
                <w:highlight w:val="none"/>
              </w:rPr>
            </w:pPr>
          </w:p>
        </w:tc>
        <w:tc>
          <w:tcPr>
            <w:tcW w:w="3794" w:type="dxa"/>
            <w:vMerge w:val="continue"/>
            <w:tcBorders>
              <w:top w:val="single" w:color="auto" w:sz="4" w:space="0"/>
              <w:left w:val="single" w:color="auto" w:sz="4" w:space="0"/>
              <w:bottom w:val="single" w:color="auto" w:sz="4" w:space="0"/>
              <w:right w:val="single" w:color="auto" w:sz="4" w:space="0"/>
            </w:tcBorders>
            <w:noWrap w:val="0"/>
            <w:vAlign w:val="center"/>
          </w:tcPr>
          <w:p w14:paraId="1AE36E4C">
            <w:pPr>
              <w:widowControl/>
              <w:jc w:val="left"/>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73F089A">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4FA57B6">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A50CD52">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A10253C">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1FEF4FDC">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45D78D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A01C015">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D2C8C82">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24A8F522">
            <w:pPr>
              <w:jc w:val="center"/>
              <w:rPr>
                <w:rFonts w:ascii="宋体" w:hAnsi="宋体"/>
                <w:color w:val="auto"/>
                <w:szCs w:val="44"/>
                <w:highlight w:val="none"/>
              </w:rPr>
            </w:pPr>
          </w:p>
        </w:tc>
      </w:tr>
      <w:tr w14:paraId="44D9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753" w:type="dxa"/>
            <w:vMerge w:val="restart"/>
            <w:tcBorders>
              <w:top w:val="single" w:color="auto" w:sz="4" w:space="0"/>
              <w:left w:val="single" w:color="auto" w:sz="4" w:space="0"/>
              <w:bottom w:val="single" w:color="auto" w:sz="4" w:space="0"/>
              <w:right w:val="single" w:color="auto" w:sz="4" w:space="0"/>
            </w:tcBorders>
            <w:noWrap w:val="0"/>
            <w:vAlign w:val="center"/>
          </w:tcPr>
          <w:p w14:paraId="4C359C15">
            <w:pPr>
              <w:jc w:val="center"/>
              <w:rPr>
                <w:rFonts w:ascii="黑体" w:hAnsi="宋体" w:eastAsia="黑体"/>
                <w:color w:val="auto"/>
                <w:szCs w:val="44"/>
                <w:highlight w:val="none"/>
              </w:rPr>
            </w:pPr>
            <w:r>
              <w:rPr>
                <w:rFonts w:hint="eastAsia" w:ascii="黑体" w:hAnsi="宋体" w:eastAsia="黑体"/>
                <w:color w:val="auto"/>
                <w:szCs w:val="44"/>
                <w:highlight w:val="none"/>
              </w:rPr>
              <w:t>11</w:t>
            </w:r>
          </w:p>
        </w:tc>
        <w:tc>
          <w:tcPr>
            <w:tcW w:w="1802" w:type="dxa"/>
            <w:vMerge w:val="restart"/>
            <w:tcBorders>
              <w:top w:val="single" w:color="auto" w:sz="4" w:space="0"/>
              <w:left w:val="single" w:color="auto" w:sz="4" w:space="0"/>
              <w:bottom w:val="single" w:color="auto" w:sz="4" w:space="0"/>
              <w:right w:val="single" w:color="auto" w:sz="4" w:space="0"/>
            </w:tcBorders>
            <w:noWrap w:val="0"/>
            <w:vAlign w:val="center"/>
          </w:tcPr>
          <w:p w14:paraId="3360C277">
            <w:pPr>
              <w:jc w:val="center"/>
              <w:rPr>
                <w:rFonts w:ascii="宋体" w:hAnsi="宋体"/>
                <w:color w:val="auto"/>
                <w:szCs w:val="44"/>
                <w:highlight w:val="none"/>
              </w:rPr>
            </w:pPr>
            <w:r>
              <w:rPr>
                <w:rFonts w:hint="eastAsia" w:ascii="宋体" w:hAnsi="宋体"/>
                <w:color w:val="auto"/>
                <w:szCs w:val="44"/>
                <w:highlight w:val="none"/>
              </w:rPr>
              <w:t>已标价</w:t>
            </w:r>
          </w:p>
          <w:p w14:paraId="21235814">
            <w:pPr>
              <w:jc w:val="center"/>
              <w:rPr>
                <w:rFonts w:ascii="宋体" w:hAnsi="宋体"/>
                <w:color w:val="auto"/>
                <w:szCs w:val="44"/>
                <w:highlight w:val="none"/>
              </w:rPr>
            </w:pPr>
            <w:r>
              <w:rPr>
                <w:rFonts w:hint="eastAsia" w:ascii="宋体" w:hAnsi="宋体"/>
                <w:color w:val="auto"/>
                <w:szCs w:val="44"/>
                <w:highlight w:val="none"/>
              </w:rPr>
              <w:t>工程量清单</w:t>
            </w:r>
          </w:p>
        </w:tc>
        <w:tc>
          <w:tcPr>
            <w:tcW w:w="3794" w:type="dxa"/>
            <w:tcBorders>
              <w:top w:val="single" w:color="auto" w:sz="4" w:space="0"/>
              <w:left w:val="single" w:color="auto" w:sz="4" w:space="0"/>
              <w:bottom w:val="single" w:color="auto" w:sz="4" w:space="0"/>
              <w:right w:val="single" w:color="auto" w:sz="4" w:space="0"/>
            </w:tcBorders>
            <w:noWrap w:val="0"/>
            <w:vAlign w:val="center"/>
          </w:tcPr>
          <w:p w14:paraId="2182B8DB">
            <w:pPr>
              <w:rPr>
                <w:rFonts w:ascii="宋体" w:hAnsi="宋体"/>
                <w:color w:val="auto"/>
                <w:szCs w:val="21"/>
                <w:highlight w:val="none"/>
              </w:rPr>
            </w:pPr>
            <w:r>
              <w:rPr>
                <w:rFonts w:hint="eastAsia" w:ascii="宋体" w:hAnsi="宋体"/>
                <w:color w:val="auto"/>
                <w:szCs w:val="21"/>
                <w:highlight w:val="none"/>
              </w:rPr>
              <w:t>暂列金额符合第五章“工程量清单”列出的金额</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FEAACF1">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84D0F1F">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8AFEB28">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D712BD3">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4B3D4F7C">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15D42BA">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BD34D8C">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83C92E6">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5A617504">
            <w:pPr>
              <w:jc w:val="center"/>
              <w:rPr>
                <w:rFonts w:ascii="宋体" w:hAnsi="宋体"/>
                <w:color w:val="auto"/>
                <w:szCs w:val="44"/>
                <w:highlight w:val="none"/>
              </w:rPr>
            </w:pPr>
          </w:p>
        </w:tc>
      </w:tr>
      <w:tr w14:paraId="2029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6349" w:type="dxa"/>
            <w:vMerge w:val="continue"/>
            <w:tcBorders>
              <w:top w:val="single" w:color="auto" w:sz="4" w:space="0"/>
              <w:left w:val="single" w:color="auto" w:sz="4" w:space="0"/>
              <w:bottom w:val="single" w:color="auto" w:sz="4" w:space="0"/>
              <w:right w:val="single" w:color="auto" w:sz="4" w:space="0"/>
            </w:tcBorders>
            <w:noWrap w:val="0"/>
            <w:vAlign w:val="center"/>
          </w:tcPr>
          <w:p w14:paraId="77DA774F">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20C88345">
            <w:pPr>
              <w:widowControl/>
              <w:jc w:val="left"/>
              <w:rPr>
                <w:rFonts w:ascii="宋体" w:hAnsi="宋体"/>
                <w:color w:val="auto"/>
                <w:szCs w:val="44"/>
                <w:highlight w:val="none"/>
              </w:rPr>
            </w:pPr>
          </w:p>
        </w:tc>
        <w:tc>
          <w:tcPr>
            <w:tcW w:w="3794" w:type="dxa"/>
            <w:tcBorders>
              <w:top w:val="single" w:color="auto" w:sz="4" w:space="0"/>
              <w:left w:val="single" w:color="auto" w:sz="4" w:space="0"/>
              <w:bottom w:val="single" w:color="auto" w:sz="4" w:space="0"/>
              <w:right w:val="single" w:color="auto" w:sz="4" w:space="0"/>
            </w:tcBorders>
            <w:noWrap w:val="0"/>
            <w:vAlign w:val="center"/>
          </w:tcPr>
          <w:p w14:paraId="5A680E4B">
            <w:pPr>
              <w:rPr>
                <w:rFonts w:ascii="宋体" w:hAnsi="宋体"/>
                <w:color w:val="auto"/>
                <w:szCs w:val="21"/>
                <w:highlight w:val="none"/>
              </w:rPr>
            </w:pPr>
            <w:r>
              <w:rPr>
                <w:rFonts w:hint="eastAsia" w:ascii="宋体" w:hAnsi="宋体"/>
                <w:color w:val="auto"/>
                <w:szCs w:val="21"/>
                <w:highlight w:val="none"/>
              </w:rPr>
              <w:t>专业工程暂估价符合第五章“工程量清单”列出的金额</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8400D2D">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A75DC5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F0BD01B">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0593343">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2770ECB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9705647">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13A5C59">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12FE892">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51B56C5C">
            <w:pPr>
              <w:jc w:val="center"/>
              <w:rPr>
                <w:rFonts w:ascii="宋体" w:hAnsi="宋体"/>
                <w:color w:val="auto"/>
                <w:szCs w:val="44"/>
                <w:highlight w:val="none"/>
              </w:rPr>
            </w:pPr>
          </w:p>
        </w:tc>
      </w:tr>
      <w:tr w14:paraId="53AF4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6349" w:type="dxa"/>
            <w:vMerge w:val="continue"/>
            <w:tcBorders>
              <w:top w:val="single" w:color="auto" w:sz="4" w:space="0"/>
              <w:left w:val="single" w:color="auto" w:sz="4" w:space="0"/>
              <w:bottom w:val="single" w:color="auto" w:sz="4" w:space="0"/>
              <w:right w:val="single" w:color="auto" w:sz="4" w:space="0"/>
            </w:tcBorders>
            <w:noWrap w:val="0"/>
            <w:vAlign w:val="center"/>
          </w:tcPr>
          <w:p w14:paraId="6A212BFD">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347E1D0A">
            <w:pPr>
              <w:widowControl/>
              <w:jc w:val="left"/>
              <w:rPr>
                <w:rFonts w:ascii="宋体" w:hAnsi="宋体"/>
                <w:color w:val="auto"/>
                <w:szCs w:val="44"/>
                <w:highlight w:val="none"/>
              </w:rPr>
            </w:pPr>
          </w:p>
        </w:tc>
        <w:tc>
          <w:tcPr>
            <w:tcW w:w="3794" w:type="dxa"/>
            <w:tcBorders>
              <w:top w:val="single" w:color="auto" w:sz="4" w:space="0"/>
              <w:left w:val="single" w:color="auto" w:sz="4" w:space="0"/>
              <w:bottom w:val="single" w:color="auto" w:sz="4" w:space="0"/>
              <w:right w:val="single" w:color="auto" w:sz="4" w:space="0"/>
            </w:tcBorders>
            <w:noWrap w:val="0"/>
            <w:vAlign w:val="center"/>
          </w:tcPr>
          <w:p w14:paraId="3095D3D6">
            <w:pPr>
              <w:rPr>
                <w:rFonts w:ascii="宋体" w:hAnsi="宋体"/>
                <w:color w:val="auto"/>
                <w:szCs w:val="21"/>
                <w:highlight w:val="none"/>
              </w:rPr>
            </w:pPr>
            <w:r>
              <w:rPr>
                <w:rFonts w:hint="eastAsia" w:ascii="宋体" w:hAnsi="宋体"/>
                <w:color w:val="auto"/>
                <w:szCs w:val="21"/>
                <w:highlight w:val="none"/>
              </w:rPr>
              <w:t>材料（工程设备）暂估价符合第五章“工程量清单”列出的单价并计入综合单价</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4A07F697">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A175CA7">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7A346E1">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B3C815F">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2AF665AB">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8FFF52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65507BF">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876B394">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7CFC6061">
            <w:pPr>
              <w:jc w:val="center"/>
              <w:rPr>
                <w:rFonts w:ascii="宋体" w:hAnsi="宋体"/>
                <w:color w:val="auto"/>
                <w:szCs w:val="44"/>
                <w:highlight w:val="none"/>
              </w:rPr>
            </w:pPr>
          </w:p>
        </w:tc>
      </w:tr>
      <w:tr w14:paraId="6A06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6349" w:type="dxa"/>
            <w:vMerge w:val="continue"/>
            <w:tcBorders>
              <w:top w:val="single" w:color="auto" w:sz="4" w:space="0"/>
              <w:left w:val="single" w:color="auto" w:sz="4" w:space="0"/>
              <w:bottom w:val="single" w:color="auto" w:sz="4" w:space="0"/>
              <w:right w:val="single" w:color="auto" w:sz="4" w:space="0"/>
            </w:tcBorders>
            <w:noWrap w:val="0"/>
            <w:vAlign w:val="center"/>
          </w:tcPr>
          <w:p w14:paraId="7D3C8093">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215874F5">
            <w:pPr>
              <w:widowControl/>
              <w:jc w:val="left"/>
              <w:rPr>
                <w:rFonts w:ascii="宋体" w:hAnsi="宋体"/>
                <w:color w:val="auto"/>
                <w:szCs w:val="44"/>
                <w:highlight w:val="none"/>
              </w:rPr>
            </w:pPr>
          </w:p>
        </w:tc>
        <w:tc>
          <w:tcPr>
            <w:tcW w:w="3794" w:type="dxa"/>
            <w:tcBorders>
              <w:top w:val="single" w:color="auto" w:sz="4" w:space="0"/>
              <w:left w:val="single" w:color="auto" w:sz="4" w:space="0"/>
              <w:bottom w:val="single" w:color="auto" w:sz="4" w:space="0"/>
              <w:right w:val="single" w:color="auto" w:sz="4" w:space="0"/>
            </w:tcBorders>
            <w:noWrap w:val="0"/>
            <w:vAlign w:val="center"/>
          </w:tcPr>
          <w:p w14:paraId="101D6332">
            <w:pPr>
              <w:rPr>
                <w:rFonts w:ascii="宋体" w:hAnsi="宋体"/>
                <w:color w:val="auto"/>
                <w:szCs w:val="21"/>
                <w:highlight w:val="none"/>
              </w:rPr>
            </w:pPr>
            <w:r>
              <w:rPr>
                <w:rFonts w:hint="eastAsia" w:ascii="宋体" w:hAnsi="宋体"/>
                <w:color w:val="auto"/>
                <w:szCs w:val="21"/>
                <w:highlight w:val="none"/>
              </w:rPr>
              <w:t>安全文明施工费、规费和税金等不可竞争费用，按照规定的标准计取</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0F0761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780460D">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5699A87">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1FF49CE">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7622F984">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C1FA4E6">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DE45D62">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6A48883">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5900FFCC">
            <w:pPr>
              <w:jc w:val="center"/>
              <w:rPr>
                <w:rFonts w:ascii="宋体" w:hAnsi="宋体"/>
                <w:color w:val="auto"/>
                <w:szCs w:val="44"/>
                <w:highlight w:val="none"/>
              </w:rPr>
            </w:pPr>
          </w:p>
        </w:tc>
      </w:tr>
      <w:tr w14:paraId="289B0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349" w:type="dxa"/>
            <w:vMerge w:val="continue"/>
            <w:tcBorders>
              <w:top w:val="single" w:color="auto" w:sz="4" w:space="0"/>
              <w:left w:val="single" w:color="auto" w:sz="4" w:space="0"/>
              <w:bottom w:val="single" w:color="auto" w:sz="4" w:space="0"/>
              <w:right w:val="single" w:color="auto" w:sz="4" w:space="0"/>
            </w:tcBorders>
            <w:noWrap w:val="0"/>
            <w:vAlign w:val="center"/>
          </w:tcPr>
          <w:p w14:paraId="30192CB2">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1D7C7574">
            <w:pPr>
              <w:widowControl/>
              <w:jc w:val="left"/>
              <w:rPr>
                <w:rFonts w:ascii="宋体" w:hAnsi="宋体"/>
                <w:color w:val="auto"/>
                <w:szCs w:val="44"/>
                <w:highlight w:val="none"/>
              </w:rPr>
            </w:pPr>
          </w:p>
        </w:tc>
        <w:tc>
          <w:tcPr>
            <w:tcW w:w="3794" w:type="dxa"/>
            <w:tcBorders>
              <w:top w:val="single" w:color="auto" w:sz="4" w:space="0"/>
              <w:left w:val="single" w:color="auto" w:sz="4" w:space="0"/>
              <w:bottom w:val="single" w:color="auto" w:sz="4" w:space="0"/>
              <w:right w:val="single" w:color="auto" w:sz="4" w:space="0"/>
            </w:tcBorders>
            <w:noWrap w:val="0"/>
            <w:vAlign w:val="center"/>
          </w:tcPr>
          <w:p w14:paraId="60EEB7CC">
            <w:pPr>
              <w:rPr>
                <w:rFonts w:ascii="宋体" w:hAnsi="宋体"/>
                <w:color w:val="auto"/>
                <w:szCs w:val="21"/>
                <w:highlight w:val="none"/>
              </w:rPr>
            </w:pPr>
            <w:r>
              <w:rPr>
                <w:rFonts w:hint="eastAsia" w:ascii="宋体" w:hAnsi="宋体"/>
                <w:color w:val="auto"/>
                <w:szCs w:val="21"/>
                <w:highlight w:val="none"/>
              </w:rPr>
              <w:t>计税方法符合招标文件的约定</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00BF6452">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E46307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EDEC7FF">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E3FD8AD">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261ECB6D">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4FD6B9E">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E5400D4">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260F05D">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5DD42A29">
            <w:pPr>
              <w:jc w:val="center"/>
              <w:rPr>
                <w:rFonts w:ascii="宋体" w:hAnsi="宋体"/>
                <w:color w:val="auto"/>
                <w:szCs w:val="44"/>
                <w:highlight w:val="none"/>
              </w:rPr>
            </w:pPr>
          </w:p>
        </w:tc>
      </w:tr>
      <w:tr w14:paraId="039F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6349" w:type="dxa"/>
            <w:vMerge w:val="continue"/>
            <w:tcBorders>
              <w:top w:val="single" w:color="auto" w:sz="4" w:space="0"/>
              <w:left w:val="single" w:color="auto" w:sz="4" w:space="0"/>
              <w:bottom w:val="single" w:color="auto" w:sz="4" w:space="0"/>
              <w:right w:val="single" w:color="auto" w:sz="4" w:space="0"/>
            </w:tcBorders>
            <w:noWrap w:val="0"/>
            <w:vAlign w:val="center"/>
          </w:tcPr>
          <w:p w14:paraId="190381AD">
            <w:pPr>
              <w:widowControl/>
              <w:jc w:val="left"/>
              <w:rPr>
                <w:rFonts w:ascii="黑体" w:hAnsi="宋体" w:eastAsia="黑体"/>
                <w:color w:val="auto"/>
                <w:szCs w:val="44"/>
                <w:highlight w:val="none"/>
              </w:rPr>
            </w:pPr>
          </w:p>
        </w:tc>
        <w:tc>
          <w:tcPr>
            <w:tcW w:w="1802" w:type="dxa"/>
            <w:vMerge w:val="continue"/>
            <w:tcBorders>
              <w:top w:val="single" w:color="auto" w:sz="4" w:space="0"/>
              <w:left w:val="single" w:color="auto" w:sz="4" w:space="0"/>
              <w:bottom w:val="single" w:color="auto" w:sz="4" w:space="0"/>
              <w:right w:val="single" w:color="auto" w:sz="4" w:space="0"/>
            </w:tcBorders>
            <w:noWrap w:val="0"/>
            <w:vAlign w:val="center"/>
          </w:tcPr>
          <w:p w14:paraId="6CFE0273">
            <w:pPr>
              <w:widowControl/>
              <w:jc w:val="left"/>
              <w:rPr>
                <w:rFonts w:ascii="宋体" w:hAnsi="宋体"/>
                <w:color w:val="auto"/>
                <w:szCs w:val="44"/>
                <w:highlight w:val="none"/>
              </w:rPr>
            </w:pPr>
          </w:p>
        </w:tc>
        <w:tc>
          <w:tcPr>
            <w:tcW w:w="3794" w:type="dxa"/>
            <w:tcBorders>
              <w:top w:val="single" w:color="auto" w:sz="4" w:space="0"/>
              <w:left w:val="single" w:color="auto" w:sz="4" w:space="0"/>
              <w:bottom w:val="single" w:color="auto" w:sz="4" w:space="0"/>
              <w:right w:val="single" w:color="auto" w:sz="4" w:space="0"/>
            </w:tcBorders>
            <w:noWrap w:val="0"/>
            <w:vAlign w:val="center"/>
          </w:tcPr>
          <w:p w14:paraId="034B2B7B">
            <w:pPr>
              <w:rPr>
                <w:rFonts w:ascii="宋体" w:hAnsi="宋体"/>
                <w:color w:val="auto"/>
                <w:szCs w:val="21"/>
                <w:highlight w:val="none"/>
              </w:rPr>
            </w:pPr>
            <w:r>
              <w:rPr>
                <w:rFonts w:hint="eastAsia" w:ascii="宋体" w:hAnsi="宋体"/>
                <w:color w:val="auto"/>
                <w:szCs w:val="21"/>
                <w:highlight w:val="none"/>
              </w:rPr>
              <w:t>已标价工程量清单项目未填报的项目不超过三项，或不超过三项未填报的项目的费用合计（按招标控制价相应项目的费用合计计算）不超过其投标总报价（修正后的投标总报价，如有）的±1%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76CB9DA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7676849">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68BDE7F">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EB6FE93">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0A512876">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B9488A6">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8AF1A25">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316F20A">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2493FCE6">
            <w:pPr>
              <w:jc w:val="center"/>
              <w:rPr>
                <w:rFonts w:ascii="宋体" w:hAnsi="宋体"/>
                <w:color w:val="auto"/>
                <w:szCs w:val="44"/>
                <w:highlight w:val="none"/>
              </w:rPr>
            </w:pPr>
          </w:p>
        </w:tc>
      </w:tr>
      <w:tr w14:paraId="6415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7DB646E1">
            <w:pPr>
              <w:jc w:val="center"/>
              <w:rPr>
                <w:rFonts w:ascii="黑体" w:hAnsi="宋体" w:eastAsia="黑体"/>
                <w:color w:val="auto"/>
                <w:szCs w:val="44"/>
                <w:highlight w:val="none"/>
              </w:rPr>
            </w:pPr>
            <w:r>
              <w:rPr>
                <w:rFonts w:hint="eastAsia" w:ascii="黑体" w:hAnsi="宋体" w:eastAsia="黑体"/>
                <w:color w:val="auto"/>
                <w:szCs w:val="44"/>
                <w:highlight w:val="none"/>
              </w:rPr>
              <w:t>12</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B326CFB">
            <w:pPr>
              <w:jc w:val="center"/>
              <w:rPr>
                <w:rFonts w:ascii="宋体" w:hAnsi="宋体"/>
                <w:color w:val="auto"/>
                <w:szCs w:val="44"/>
                <w:highlight w:val="none"/>
              </w:rPr>
            </w:pPr>
            <w:r>
              <w:rPr>
                <w:rFonts w:hint="eastAsia"/>
                <w:color w:val="auto"/>
                <w:szCs w:val="21"/>
                <w:highlight w:val="none"/>
              </w:rPr>
              <w:t>澄清和说明情况</w:t>
            </w:r>
          </w:p>
        </w:tc>
        <w:tc>
          <w:tcPr>
            <w:tcW w:w="3794" w:type="dxa"/>
            <w:tcBorders>
              <w:top w:val="single" w:color="auto" w:sz="4" w:space="0"/>
              <w:left w:val="single" w:color="auto" w:sz="4" w:space="0"/>
              <w:bottom w:val="single" w:color="auto" w:sz="4" w:space="0"/>
              <w:right w:val="single" w:color="auto" w:sz="4" w:space="0"/>
            </w:tcBorders>
            <w:noWrap w:val="0"/>
            <w:vAlign w:val="center"/>
          </w:tcPr>
          <w:p w14:paraId="79BA688B">
            <w:pPr>
              <w:rPr>
                <w:rFonts w:ascii="宋体" w:hAnsi="宋体"/>
                <w:color w:val="auto"/>
                <w:szCs w:val="21"/>
                <w:highlight w:val="none"/>
              </w:rPr>
            </w:pPr>
            <w:r>
              <w:rPr>
                <w:rFonts w:hint="eastAsia"/>
                <w:color w:val="auto"/>
                <w:szCs w:val="21"/>
                <w:highlight w:val="none"/>
              </w:rPr>
              <w:t>按照评标委员会要求澄清、说明或者补正</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4A6406CC">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5B67AFF">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4DC0D6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0619ABB">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769C41A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3220488">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2AA99BF">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D5CF723">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73A9A6DD">
            <w:pPr>
              <w:jc w:val="center"/>
              <w:rPr>
                <w:rFonts w:ascii="宋体" w:hAnsi="宋体"/>
                <w:color w:val="auto"/>
                <w:szCs w:val="44"/>
                <w:highlight w:val="none"/>
              </w:rPr>
            </w:pPr>
          </w:p>
        </w:tc>
      </w:tr>
      <w:tr w14:paraId="036C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3" w:type="dxa"/>
            <w:tcBorders>
              <w:top w:val="single" w:color="auto" w:sz="4" w:space="0"/>
              <w:left w:val="single" w:color="auto" w:sz="4" w:space="0"/>
              <w:bottom w:val="single" w:color="auto" w:sz="4" w:space="0"/>
              <w:right w:val="single" w:color="auto" w:sz="4" w:space="0"/>
            </w:tcBorders>
            <w:noWrap w:val="0"/>
            <w:vAlign w:val="center"/>
          </w:tcPr>
          <w:p w14:paraId="4987FFFB">
            <w:pPr>
              <w:jc w:val="center"/>
              <w:rPr>
                <w:rFonts w:ascii="黑体" w:hAnsi="宋体" w:eastAsia="黑体"/>
                <w:color w:val="auto"/>
                <w:szCs w:val="44"/>
                <w:highlight w:val="none"/>
              </w:rPr>
            </w:pPr>
            <w:r>
              <w:rPr>
                <w:rFonts w:hint="eastAsia" w:ascii="黑体" w:hAnsi="宋体" w:eastAsia="黑体"/>
                <w:color w:val="auto"/>
                <w:szCs w:val="44"/>
                <w:highlight w:val="none"/>
              </w:rPr>
              <w:t>13</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75B51720">
            <w:pPr>
              <w:jc w:val="center"/>
              <w:rPr>
                <w:rFonts w:ascii="宋体" w:hAnsi="宋体"/>
                <w:color w:val="auto"/>
                <w:szCs w:val="44"/>
                <w:highlight w:val="none"/>
              </w:rPr>
            </w:pPr>
            <w:r>
              <w:rPr>
                <w:rFonts w:hint="eastAsia"/>
                <w:color w:val="auto"/>
                <w:szCs w:val="21"/>
                <w:highlight w:val="none"/>
              </w:rPr>
              <w:t>投标人遵规守法</w:t>
            </w:r>
          </w:p>
        </w:tc>
        <w:tc>
          <w:tcPr>
            <w:tcW w:w="3794" w:type="dxa"/>
            <w:tcBorders>
              <w:top w:val="single" w:color="auto" w:sz="4" w:space="0"/>
              <w:left w:val="single" w:color="auto" w:sz="4" w:space="0"/>
              <w:bottom w:val="single" w:color="auto" w:sz="4" w:space="0"/>
              <w:right w:val="single" w:color="auto" w:sz="4" w:space="0"/>
            </w:tcBorders>
            <w:noWrap w:val="0"/>
            <w:vAlign w:val="center"/>
          </w:tcPr>
          <w:p w14:paraId="511D6D18">
            <w:pPr>
              <w:rPr>
                <w:rFonts w:ascii="宋体" w:hAnsi="宋体"/>
                <w:color w:val="auto"/>
                <w:szCs w:val="21"/>
                <w:highlight w:val="none"/>
              </w:rPr>
            </w:pPr>
            <w:r>
              <w:rPr>
                <w:rFonts w:hint="eastAsia"/>
                <w:color w:val="auto"/>
                <w:szCs w:val="21"/>
                <w:highlight w:val="none"/>
              </w:rPr>
              <w:t>没有</w:t>
            </w:r>
            <w:r>
              <w:rPr>
                <w:rFonts w:hint="eastAsia"/>
                <w:color w:val="auto"/>
                <w:highlight w:val="none"/>
              </w:rPr>
              <w:t>串通投标、</w:t>
            </w:r>
            <w:r>
              <w:rPr>
                <w:rFonts w:hint="eastAsia"/>
                <w:color w:val="auto"/>
                <w:szCs w:val="21"/>
                <w:highlight w:val="none"/>
              </w:rPr>
              <w:t>弄虚作假、行贿或其他违法违规行为</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55B4981">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DC25EAD">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B89F6F6">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B591C2C">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2799AF47">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7529E3E">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7840A75">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6C11AEB">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4226D77B">
            <w:pPr>
              <w:jc w:val="center"/>
              <w:rPr>
                <w:rFonts w:ascii="宋体" w:hAnsi="宋体"/>
                <w:color w:val="auto"/>
                <w:szCs w:val="44"/>
                <w:highlight w:val="none"/>
              </w:rPr>
            </w:pPr>
          </w:p>
        </w:tc>
      </w:tr>
      <w:tr w14:paraId="1F73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349" w:type="dxa"/>
            <w:gridSpan w:val="3"/>
            <w:tcBorders>
              <w:top w:val="single" w:color="auto" w:sz="4" w:space="0"/>
              <w:left w:val="single" w:color="auto" w:sz="4" w:space="0"/>
              <w:bottom w:val="single" w:color="auto" w:sz="4" w:space="0"/>
              <w:right w:val="single" w:color="auto" w:sz="4" w:space="0"/>
            </w:tcBorders>
            <w:noWrap w:val="0"/>
            <w:vAlign w:val="center"/>
          </w:tcPr>
          <w:p w14:paraId="75522690">
            <w:pPr>
              <w:rPr>
                <w:rFonts w:ascii="宋体" w:hAnsi="宋体"/>
                <w:color w:val="auto"/>
                <w:szCs w:val="21"/>
                <w:highlight w:val="none"/>
              </w:rPr>
            </w:pPr>
            <w:r>
              <w:rPr>
                <w:rFonts w:hint="eastAsia" w:ascii="宋体" w:hAnsi="宋体"/>
                <w:color w:val="auto"/>
                <w:szCs w:val="44"/>
                <w:highlight w:val="none"/>
              </w:rPr>
              <w:t>响应性评审结论：通过响应性评审标注为√；未通过响应性评审标注为×</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6BAB3A6">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A626585">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D4A7237">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FB8754C">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22125204">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DE8C37F">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81AE243">
            <w:pPr>
              <w:jc w:val="center"/>
              <w:rPr>
                <w:rFonts w:ascii="宋体" w:hAnsi="宋体"/>
                <w:color w:val="auto"/>
                <w:szCs w:val="44"/>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FED154C">
            <w:pPr>
              <w:jc w:val="center"/>
              <w:rPr>
                <w:rFonts w:ascii="宋体" w:hAnsi="宋体"/>
                <w:color w:val="auto"/>
                <w:szCs w:val="44"/>
                <w:highlight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05B882BA">
            <w:pPr>
              <w:jc w:val="center"/>
              <w:rPr>
                <w:rFonts w:ascii="宋体" w:hAnsi="宋体"/>
                <w:color w:val="auto"/>
                <w:szCs w:val="44"/>
                <w:highlight w:val="none"/>
              </w:rPr>
            </w:pPr>
          </w:p>
        </w:tc>
      </w:tr>
    </w:tbl>
    <w:p w14:paraId="285D4F52">
      <w:pPr>
        <w:rPr>
          <w:rFonts w:hint="eastAsia" w:ascii="宋体" w:hAnsi="宋体"/>
          <w:color w:val="auto"/>
          <w:szCs w:val="44"/>
          <w:highlight w:val="none"/>
        </w:rPr>
      </w:pPr>
      <w:r>
        <w:rPr>
          <w:rFonts w:hint="eastAsia" w:ascii="宋体" w:hAnsi="宋体"/>
          <w:color w:val="auto"/>
          <w:szCs w:val="44"/>
          <w:highlight w:val="none"/>
        </w:rPr>
        <w:t>评标委员会全体成员签名：                                                                             日期：      年    月    日</w:t>
      </w:r>
    </w:p>
    <w:p w14:paraId="36FA5A3F">
      <w:pPr>
        <w:rPr>
          <w:rFonts w:hint="eastAsia" w:ascii="宋体" w:hAnsi="宋体"/>
          <w:color w:val="auto"/>
          <w:szCs w:val="44"/>
          <w:highlight w:val="none"/>
        </w:rPr>
      </w:pPr>
    </w:p>
    <w:p w14:paraId="2390883D">
      <w:pPr>
        <w:rPr>
          <w:rFonts w:hint="eastAsia" w:ascii="宋体" w:hAnsi="宋体"/>
          <w:color w:val="auto"/>
          <w:szCs w:val="44"/>
          <w:highlight w:val="none"/>
        </w:rPr>
      </w:pPr>
    </w:p>
    <w:p w14:paraId="18DF5028">
      <w:pPr>
        <w:rPr>
          <w:rFonts w:hint="eastAsia" w:ascii="宋体" w:hAnsi="宋体"/>
          <w:color w:val="auto"/>
          <w:szCs w:val="44"/>
          <w:highlight w:val="none"/>
        </w:rPr>
      </w:pPr>
    </w:p>
    <w:p w14:paraId="18446FCF">
      <w:pPr>
        <w:pStyle w:val="33"/>
        <w:rPr>
          <w:rFonts w:hint="eastAsia" w:ascii="Times New Roman" w:hAnsi="Times New Roman"/>
          <w:color w:val="auto"/>
          <w:highlight w:val="none"/>
        </w:rPr>
      </w:pPr>
      <w:bookmarkStart w:id="765" w:name="_Toc22523"/>
      <w:bookmarkStart w:id="766" w:name="_Toc28531842"/>
      <w:r>
        <w:rPr>
          <w:rFonts w:hint="eastAsia"/>
          <w:color w:val="auto"/>
          <w:highlight w:val="none"/>
        </w:rPr>
        <w:t>附表</w:t>
      </w:r>
      <w:r>
        <w:rPr>
          <w:color w:val="auto"/>
          <w:highlight w:val="none"/>
        </w:rPr>
        <w:t>A-7</w:t>
      </w:r>
      <w:r>
        <w:rPr>
          <w:rFonts w:hint="eastAsia"/>
          <w:color w:val="auto"/>
          <w:highlight w:val="none"/>
        </w:rPr>
        <w:t>：施工组织设计评审记录表（合格性）</w:t>
      </w:r>
      <w:bookmarkEnd w:id="765"/>
      <w:bookmarkEnd w:id="766"/>
    </w:p>
    <w:p w14:paraId="759907B5">
      <w:pPr>
        <w:spacing w:after="240" w:afterLines="100"/>
        <w:jc w:val="center"/>
        <w:rPr>
          <w:rFonts w:ascii="黑体" w:hAnsi="宋体" w:eastAsia="黑体"/>
          <w:color w:val="auto"/>
          <w:sz w:val="36"/>
          <w:szCs w:val="36"/>
          <w:highlight w:val="none"/>
        </w:rPr>
      </w:pPr>
      <w:r>
        <w:rPr>
          <w:rFonts w:hint="eastAsia" w:ascii="黑体" w:hAnsi="宋体" w:eastAsia="黑体"/>
          <w:color w:val="auto"/>
          <w:sz w:val="36"/>
          <w:szCs w:val="36"/>
          <w:highlight w:val="none"/>
        </w:rPr>
        <w:t>施工组织设计评审记录表</w:t>
      </w:r>
    </w:p>
    <w:p w14:paraId="74782EC9">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6C4B9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11D95D20">
            <w:pPr>
              <w:jc w:val="center"/>
              <w:rPr>
                <w:rFonts w:ascii="宋体" w:hAnsi="宋体"/>
                <w:color w:val="auto"/>
                <w:szCs w:val="44"/>
                <w:highlight w:val="none"/>
              </w:rPr>
            </w:pPr>
            <w:r>
              <w:rPr>
                <w:rFonts w:hint="eastAsia" w:ascii="宋体" w:hAnsi="宋体"/>
                <w:color w:val="auto"/>
                <w:szCs w:val="44"/>
                <w:highlight w:val="none"/>
              </w:rPr>
              <w:t>序号</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62D8A343">
            <w:pPr>
              <w:jc w:val="center"/>
              <w:rPr>
                <w:rFonts w:ascii="宋体" w:hAnsi="宋体"/>
                <w:color w:val="auto"/>
                <w:szCs w:val="44"/>
                <w:highlight w:val="none"/>
              </w:rPr>
            </w:pPr>
            <w:r>
              <w:rPr>
                <w:rFonts w:hint="eastAsia" w:ascii="宋体" w:hAnsi="宋体"/>
                <w:color w:val="auto"/>
                <w:szCs w:val="44"/>
                <w:highlight w:val="none"/>
              </w:rPr>
              <w:t>评审项目</w:t>
            </w:r>
          </w:p>
        </w:tc>
        <w:tc>
          <w:tcPr>
            <w:tcW w:w="3600" w:type="dxa"/>
            <w:vMerge w:val="restart"/>
            <w:tcBorders>
              <w:top w:val="single" w:color="auto" w:sz="4" w:space="0"/>
              <w:left w:val="single" w:color="auto" w:sz="4" w:space="0"/>
              <w:bottom w:val="single" w:color="auto" w:sz="4" w:space="0"/>
              <w:right w:val="single" w:color="auto" w:sz="4" w:space="0"/>
            </w:tcBorders>
            <w:noWrap w:val="0"/>
            <w:vAlign w:val="center"/>
          </w:tcPr>
          <w:p w14:paraId="4DDE695E">
            <w:pPr>
              <w:jc w:val="center"/>
              <w:rPr>
                <w:rFonts w:ascii="宋体" w:hAnsi="宋体"/>
                <w:color w:val="auto"/>
                <w:szCs w:val="44"/>
                <w:highlight w:val="none"/>
              </w:rPr>
            </w:pPr>
            <w:r>
              <w:rPr>
                <w:rFonts w:hint="eastAsia" w:ascii="宋体" w:hAnsi="宋体"/>
                <w:color w:val="auto"/>
                <w:szCs w:val="44"/>
                <w:highlight w:val="none"/>
              </w:rPr>
              <w:t>评审标准</w:t>
            </w: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752BE94B">
            <w:pPr>
              <w:jc w:val="center"/>
              <w:rPr>
                <w:rFonts w:ascii="宋体" w:hAnsi="宋体"/>
                <w:color w:val="auto"/>
                <w:szCs w:val="44"/>
                <w:highlight w:val="none"/>
              </w:rPr>
            </w:pPr>
            <w:r>
              <w:rPr>
                <w:rFonts w:hint="eastAsia" w:ascii="宋体" w:hAnsi="宋体"/>
                <w:color w:val="auto"/>
                <w:szCs w:val="44"/>
                <w:highlight w:val="none"/>
              </w:rPr>
              <w:t>结果</w:t>
            </w:r>
          </w:p>
        </w:tc>
        <w:tc>
          <w:tcPr>
            <w:tcW w:w="7179" w:type="dxa"/>
            <w:gridSpan w:val="9"/>
            <w:tcBorders>
              <w:top w:val="single" w:color="auto" w:sz="4" w:space="0"/>
              <w:left w:val="single" w:color="auto" w:sz="4" w:space="0"/>
              <w:bottom w:val="single" w:color="auto" w:sz="4" w:space="0"/>
              <w:right w:val="single" w:color="auto" w:sz="4" w:space="0"/>
            </w:tcBorders>
            <w:noWrap w:val="0"/>
            <w:vAlign w:val="center"/>
          </w:tcPr>
          <w:p w14:paraId="4D7DB973">
            <w:pPr>
              <w:jc w:val="center"/>
              <w:rPr>
                <w:rFonts w:ascii="宋体" w:hAnsi="宋体"/>
                <w:color w:val="auto"/>
                <w:szCs w:val="44"/>
                <w:highlight w:val="none"/>
              </w:rPr>
            </w:pPr>
            <w:r>
              <w:rPr>
                <w:rFonts w:hint="eastAsia" w:ascii="宋体" w:hAnsi="宋体"/>
                <w:color w:val="auto"/>
                <w:szCs w:val="44"/>
                <w:highlight w:val="none"/>
              </w:rPr>
              <w:t>投标人名称或暗标编号及评审得分</w:t>
            </w:r>
          </w:p>
        </w:tc>
      </w:tr>
      <w:tr w14:paraId="56C5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F87CE2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2AE099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EFD403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A778285">
            <w:pPr>
              <w:widowControl/>
              <w:jc w:val="left"/>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C9AD013">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8CCC5EF">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2C513D2">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3F30BA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329A2A54">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559018DA">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BD10FD8">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12BDCEC1">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1BE7DDB8">
            <w:pPr>
              <w:jc w:val="center"/>
              <w:rPr>
                <w:rFonts w:ascii="宋体" w:hAnsi="宋体"/>
                <w:color w:val="auto"/>
                <w:szCs w:val="44"/>
                <w:highlight w:val="none"/>
              </w:rPr>
            </w:pPr>
          </w:p>
        </w:tc>
      </w:tr>
      <w:tr w14:paraId="190D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14:paraId="4500B671">
            <w:pPr>
              <w:jc w:val="center"/>
              <w:rPr>
                <w:rFonts w:ascii="黑体" w:hAnsi="宋体" w:eastAsia="黑体"/>
                <w:color w:val="auto"/>
                <w:szCs w:val="44"/>
                <w:highlight w:val="none"/>
              </w:rPr>
            </w:pPr>
            <w:r>
              <w:rPr>
                <w:rFonts w:hint="eastAsia" w:ascii="黑体" w:hAnsi="宋体" w:eastAsia="黑体"/>
                <w:color w:val="auto"/>
                <w:szCs w:val="44"/>
                <w:highlight w:val="none"/>
              </w:rPr>
              <w:t>1</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72D12C5F">
            <w:pPr>
              <w:jc w:val="center"/>
              <w:rPr>
                <w:rFonts w:ascii="宋体" w:hAnsi="宋体"/>
                <w:color w:val="auto"/>
                <w:szCs w:val="44"/>
                <w:highlight w:val="none"/>
              </w:rPr>
            </w:pPr>
            <w:r>
              <w:rPr>
                <w:rFonts w:hint="eastAsia" w:ascii="宋体" w:hAnsi="宋体"/>
                <w:color w:val="auto"/>
                <w:szCs w:val="21"/>
                <w:highlight w:val="none"/>
              </w:rPr>
              <w:t>工程概况</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5DA2CB9">
            <w:pPr>
              <w:rPr>
                <w:rFonts w:ascii="宋体" w:hAnsi="宋体"/>
                <w:bCs/>
                <w:color w:val="auto"/>
                <w:szCs w:val="21"/>
                <w:highlight w:val="none"/>
              </w:rPr>
            </w:pPr>
            <w:r>
              <w:rPr>
                <w:rFonts w:hint="eastAsia" w:ascii="宋体" w:hAnsi="宋体"/>
                <w:color w:val="auto"/>
                <w:szCs w:val="21"/>
                <w:highlight w:val="none"/>
              </w:rPr>
              <w:t>工程主要情况、各专业设计简介、工程施工条件</w:t>
            </w:r>
            <w:r>
              <w:rPr>
                <w:rFonts w:hint="eastAsia" w:ascii="宋体" w:hAnsi="宋体"/>
                <w:bCs/>
                <w:color w:val="auto"/>
                <w:szCs w:val="21"/>
                <w:highlight w:val="none"/>
              </w:rPr>
              <w:t>描述基本准确</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032F488F">
            <w:pPr>
              <w:jc w:val="center"/>
              <w:rPr>
                <w:rFonts w:ascii="宋体" w:hAnsi="宋体"/>
                <w:color w:val="auto"/>
                <w:szCs w:val="44"/>
                <w:highlight w:val="none"/>
              </w:rPr>
            </w:pPr>
            <w:r>
              <w:rPr>
                <w:rFonts w:hint="eastAsia" w:ascii="宋体" w:hAnsi="宋体"/>
                <w:color w:val="auto"/>
                <w:szCs w:val="44"/>
                <w:highlight w:val="none"/>
              </w:rPr>
              <w:t>合格</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1D6E6130">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3741AB6C">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6F1FE83">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22420090">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EA46A0E">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0546171">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48437380">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7683F37D">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7FDD6C6">
            <w:pPr>
              <w:jc w:val="center"/>
              <w:rPr>
                <w:rFonts w:ascii="宋体" w:hAnsi="宋体"/>
                <w:color w:val="auto"/>
                <w:szCs w:val="44"/>
                <w:highlight w:val="none"/>
              </w:rPr>
            </w:pPr>
          </w:p>
        </w:tc>
      </w:tr>
      <w:tr w14:paraId="601E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14:paraId="1821F98B">
            <w:pPr>
              <w:jc w:val="center"/>
              <w:rPr>
                <w:rFonts w:ascii="黑体" w:hAnsi="宋体" w:eastAsia="黑体"/>
                <w:color w:val="auto"/>
                <w:szCs w:val="44"/>
                <w:highlight w:val="none"/>
              </w:rPr>
            </w:pPr>
            <w:r>
              <w:rPr>
                <w:rFonts w:hint="eastAsia" w:ascii="黑体" w:hAnsi="宋体" w:eastAsia="黑体"/>
                <w:color w:val="auto"/>
                <w:szCs w:val="44"/>
                <w:highlight w:val="none"/>
              </w:rPr>
              <w:t>2</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6BE7CF0D">
            <w:pPr>
              <w:jc w:val="center"/>
              <w:rPr>
                <w:rFonts w:ascii="宋体" w:hAnsi="宋体"/>
                <w:color w:val="auto"/>
                <w:szCs w:val="44"/>
                <w:highlight w:val="none"/>
              </w:rPr>
            </w:pPr>
            <w:r>
              <w:rPr>
                <w:rFonts w:hint="eastAsia" w:ascii="宋体" w:hAnsi="宋体"/>
                <w:color w:val="auto"/>
                <w:szCs w:val="21"/>
                <w:highlight w:val="none"/>
              </w:rPr>
              <w:t>施工部署</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002F82C1">
            <w:pPr>
              <w:rPr>
                <w:rFonts w:ascii="宋体" w:hAnsi="宋体"/>
                <w:bCs/>
                <w:color w:val="auto"/>
                <w:szCs w:val="21"/>
                <w:highlight w:val="none"/>
              </w:rPr>
            </w:pPr>
            <w:r>
              <w:rPr>
                <w:rFonts w:hint="eastAsia" w:ascii="宋体" w:hAnsi="宋体"/>
                <w:color w:val="auto"/>
                <w:szCs w:val="21"/>
                <w:highlight w:val="none"/>
              </w:rPr>
              <w:t>工程施工目标、主要施工内容、施工流水段划分、施工的重点和难点分析、工程管理的组织机构形式、项目经理部的工作岗位设置及其职责划分、新技术、新工艺部署及其技术和管理要求（如有）、主要分包工程施工单位的选择要求及管理方式（如有）等各项安排</w:t>
            </w:r>
            <w:r>
              <w:rPr>
                <w:rFonts w:hint="eastAsia" w:ascii="宋体" w:hAnsi="宋体"/>
                <w:bCs/>
                <w:color w:val="auto"/>
                <w:szCs w:val="21"/>
                <w:highlight w:val="none"/>
              </w:rPr>
              <w:t>合理、可行</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7B3B15EA">
            <w:pPr>
              <w:jc w:val="center"/>
              <w:rPr>
                <w:rFonts w:ascii="宋体" w:hAnsi="宋体"/>
                <w:color w:val="auto"/>
                <w:szCs w:val="44"/>
                <w:highlight w:val="none"/>
              </w:rPr>
            </w:pPr>
            <w:r>
              <w:rPr>
                <w:rFonts w:hint="eastAsia" w:ascii="宋体" w:hAnsi="宋体"/>
                <w:color w:val="auto"/>
                <w:szCs w:val="44"/>
                <w:highlight w:val="none"/>
              </w:rPr>
              <w:t>合格</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005EE5E8">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638569FA">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6A52D183">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B2ECB31">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514EC67C">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62F8880">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54C1D04">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70F5E2AD">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5965A53B">
            <w:pPr>
              <w:jc w:val="center"/>
              <w:rPr>
                <w:rFonts w:ascii="宋体" w:hAnsi="宋体"/>
                <w:color w:val="auto"/>
                <w:szCs w:val="44"/>
                <w:highlight w:val="none"/>
              </w:rPr>
            </w:pPr>
          </w:p>
        </w:tc>
      </w:tr>
      <w:tr w14:paraId="2A7B2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14:paraId="310D542F">
            <w:pPr>
              <w:jc w:val="center"/>
              <w:rPr>
                <w:rFonts w:ascii="黑体" w:hAnsi="宋体" w:eastAsia="黑体"/>
                <w:color w:val="auto"/>
                <w:szCs w:val="44"/>
                <w:highlight w:val="none"/>
              </w:rPr>
            </w:pPr>
            <w:r>
              <w:rPr>
                <w:rFonts w:hint="eastAsia" w:ascii="黑体" w:hAnsi="宋体" w:eastAsia="黑体"/>
                <w:color w:val="auto"/>
                <w:szCs w:val="44"/>
                <w:highlight w:val="none"/>
              </w:rPr>
              <w:t>3</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022A353A">
            <w:pPr>
              <w:jc w:val="center"/>
              <w:rPr>
                <w:rFonts w:ascii="宋体" w:hAnsi="宋体"/>
                <w:color w:val="auto"/>
                <w:szCs w:val="44"/>
                <w:highlight w:val="none"/>
              </w:rPr>
            </w:pPr>
            <w:r>
              <w:rPr>
                <w:rFonts w:hint="eastAsia" w:ascii="宋体" w:hAnsi="宋体"/>
                <w:color w:val="auto"/>
                <w:szCs w:val="21"/>
                <w:highlight w:val="none"/>
              </w:rPr>
              <w:t>施工进度计划</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C2862B1">
            <w:pPr>
              <w:rPr>
                <w:rFonts w:ascii="宋体" w:hAnsi="宋体"/>
                <w:color w:val="auto"/>
                <w:szCs w:val="21"/>
                <w:highlight w:val="none"/>
              </w:rPr>
            </w:pPr>
            <w:r>
              <w:rPr>
                <w:rFonts w:hint="eastAsia" w:ascii="宋体" w:hAnsi="宋体"/>
                <w:color w:val="auto"/>
                <w:szCs w:val="21"/>
                <w:highlight w:val="none"/>
              </w:rPr>
              <w:t>网络图或横道图安排的进度计划</w:t>
            </w:r>
            <w:r>
              <w:rPr>
                <w:rFonts w:hint="eastAsia" w:ascii="宋体" w:hAnsi="宋体"/>
                <w:bCs/>
                <w:color w:val="auto"/>
                <w:szCs w:val="21"/>
                <w:highlight w:val="none"/>
              </w:rPr>
              <w:t>合理、可行</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6640A785">
            <w:pPr>
              <w:jc w:val="center"/>
              <w:rPr>
                <w:rFonts w:ascii="宋体" w:hAnsi="宋体"/>
                <w:color w:val="auto"/>
                <w:szCs w:val="44"/>
                <w:highlight w:val="none"/>
              </w:rPr>
            </w:pPr>
            <w:r>
              <w:rPr>
                <w:rFonts w:hint="eastAsia" w:ascii="宋体" w:hAnsi="宋体"/>
                <w:color w:val="auto"/>
                <w:szCs w:val="44"/>
                <w:highlight w:val="none"/>
              </w:rPr>
              <w:t>合格</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1AA13525">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81EA11B">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71FE5D1D">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4BFA79E7">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EA67CAC">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906547E">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2360B7B">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02A55C3">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18EC47A">
            <w:pPr>
              <w:jc w:val="center"/>
              <w:rPr>
                <w:rFonts w:ascii="宋体" w:hAnsi="宋体"/>
                <w:color w:val="auto"/>
                <w:szCs w:val="44"/>
                <w:highlight w:val="none"/>
              </w:rPr>
            </w:pPr>
          </w:p>
        </w:tc>
      </w:tr>
      <w:tr w14:paraId="5ED3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14:paraId="5EC42A93">
            <w:pPr>
              <w:jc w:val="center"/>
              <w:rPr>
                <w:rFonts w:ascii="黑体" w:hAnsi="宋体" w:eastAsia="黑体"/>
                <w:color w:val="auto"/>
                <w:szCs w:val="44"/>
                <w:highlight w:val="none"/>
              </w:rPr>
            </w:pPr>
            <w:r>
              <w:rPr>
                <w:rFonts w:hint="eastAsia" w:ascii="黑体" w:hAnsi="宋体" w:eastAsia="黑体"/>
                <w:color w:val="auto"/>
                <w:szCs w:val="44"/>
                <w:highlight w:val="none"/>
              </w:rPr>
              <w:t>4</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50364F89">
            <w:pPr>
              <w:jc w:val="center"/>
              <w:rPr>
                <w:rFonts w:ascii="宋体" w:hAnsi="宋体"/>
                <w:color w:val="auto"/>
                <w:szCs w:val="44"/>
                <w:highlight w:val="none"/>
              </w:rPr>
            </w:pPr>
            <w:r>
              <w:rPr>
                <w:rFonts w:hint="eastAsia" w:ascii="宋体" w:hAnsi="宋体"/>
                <w:color w:val="auto"/>
                <w:szCs w:val="21"/>
                <w:highlight w:val="none"/>
              </w:rPr>
              <w:t>施工准备与资源配置计划</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0F7C6E45">
            <w:pPr>
              <w:rPr>
                <w:rFonts w:ascii="宋体" w:hAnsi="宋体"/>
                <w:bCs/>
                <w:color w:val="auto"/>
                <w:szCs w:val="21"/>
                <w:highlight w:val="none"/>
              </w:rPr>
            </w:pPr>
            <w:r>
              <w:rPr>
                <w:rFonts w:hint="eastAsia" w:ascii="宋体" w:hAnsi="宋体"/>
                <w:color w:val="auto"/>
                <w:szCs w:val="21"/>
                <w:highlight w:val="none"/>
              </w:rPr>
              <w:t>技术准备、现场准备和资金准备；资源配置计划包括劳动力配置计划、主要工程材料和设备配置计划、主要周转材料和施工机具配置计划等</w:t>
            </w:r>
            <w:r>
              <w:rPr>
                <w:rFonts w:hint="eastAsia" w:ascii="宋体" w:hAnsi="宋体"/>
                <w:color w:val="auto"/>
                <w:szCs w:val="44"/>
                <w:highlight w:val="none"/>
              </w:rPr>
              <w:t>内容完备，</w:t>
            </w:r>
            <w:r>
              <w:rPr>
                <w:rFonts w:hint="eastAsia" w:ascii="宋体" w:hAnsi="宋体"/>
                <w:bCs/>
                <w:color w:val="auto"/>
                <w:szCs w:val="21"/>
                <w:highlight w:val="none"/>
              </w:rPr>
              <w:t>可行</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41527642">
            <w:pPr>
              <w:jc w:val="center"/>
              <w:rPr>
                <w:rFonts w:ascii="宋体" w:hAnsi="宋体"/>
                <w:color w:val="auto"/>
                <w:szCs w:val="44"/>
                <w:highlight w:val="none"/>
              </w:rPr>
            </w:pPr>
            <w:r>
              <w:rPr>
                <w:rFonts w:hint="eastAsia" w:ascii="宋体" w:hAnsi="宋体"/>
                <w:color w:val="auto"/>
                <w:szCs w:val="44"/>
                <w:highlight w:val="none"/>
              </w:rPr>
              <w:t>合格</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68F1A551">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6C7399F">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3DB7CA45">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442EFA4B">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7B583030">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3459BB43">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097816E">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C97F7E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FA9DA45">
            <w:pPr>
              <w:jc w:val="center"/>
              <w:rPr>
                <w:rFonts w:ascii="宋体" w:hAnsi="宋体"/>
                <w:color w:val="auto"/>
                <w:szCs w:val="44"/>
                <w:highlight w:val="none"/>
              </w:rPr>
            </w:pPr>
          </w:p>
        </w:tc>
      </w:tr>
    </w:tbl>
    <w:p w14:paraId="10B8692F">
      <w:pPr>
        <w:rPr>
          <w:rFonts w:hint="eastAsia" w:ascii="Times New Roman" w:hAnsi="Times New Roman"/>
          <w:color w:val="auto"/>
          <w:szCs w:val="24"/>
          <w:highlight w:val="none"/>
        </w:rPr>
      </w:pPr>
    </w:p>
    <w:p w14:paraId="5FBACCC4">
      <w:pPr>
        <w:rPr>
          <w:color w:val="auto"/>
          <w:highlight w:val="none"/>
        </w:rPr>
      </w:pPr>
    </w:p>
    <w:p w14:paraId="36B39C15">
      <w:pPr>
        <w:rPr>
          <w:color w:val="auto"/>
          <w:highlight w:val="none"/>
        </w:rPr>
      </w:pPr>
    </w:p>
    <w:p w14:paraId="6CEDFC1D">
      <w:pPr>
        <w:rPr>
          <w:color w:val="auto"/>
          <w:highlight w:val="none"/>
        </w:rPr>
      </w:pPr>
    </w:p>
    <w:p w14:paraId="5B54C8A9">
      <w:pPr>
        <w:rPr>
          <w:color w:val="auto"/>
          <w:highlight w:val="none"/>
        </w:rPr>
      </w:pPr>
    </w:p>
    <w:p w14:paraId="5B61DCD4">
      <w:pPr>
        <w:rPr>
          <w:color w:val="auto"/>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5070"/>
        <w:gridCol w:w="850"/>
        <w:gridCol w:w="851"/>
        <w:gridCol w:w="708"/>
        <w:gridCol w:w="851"/>
        <w:gridCol w:w="850"/>
        <w:gridCol w:w="709"/>
        <w:gridCol w:w="851"/>
        <w:gridCol w:w="708"/>
      </w:tblGrid>
      <w:tr w14:paraId="6431F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5533801E">
            <w:pPr>
              <w:jc w:val="center"/>
              <w:rPr>
                <w:rFonts w:ascii="宋体" w:hAnsi="宋体"/>
                <w:color w:val="auto"/>
                <w:szCs w:val="44"/>
                <w:highlight w:val="none"/>
              </w:rPr>
            </w:pPr>
            <w:r>
              <w:rPr>
                <w:rFonts w:hint="eastAsia" w:ascii="宋体" w:hAnsi="宋体"/>
                <w:color w:val="auto"/>
                <w:szCs w:val="44"/>
                <w:highlight w:val="none"/>
              </w:rPr>
              <w:t>序号</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18564521">
            <w:pPr>
              <w:jc w:val="center"/>
              <w:rPr>
                <w:rFonts w:ascii="宋体" w:hAnsi="宋体"/>
                <w:color w:val="auto"/>
                <w:szCs w:val="44"/>
                <w:highlight w:val="none"/>
              </w:rPr>
            </w:pPr>
            <w:r>
              <w:rPr>
                <w:rFonts w:hint="eastAsia" w:ascii="宋体" w:hAnsi="宋体"/>
                <w:color w:val="auto"/>
                <w:szCs w:val="44"/>
                <w:highlight w:val="none"/>
              </w:rPr>
              <w:t>评审项目</w:t>
            </w:r>
          </w:p>
        </w:tc>
        <w:tc>
          <w:tcPr>
            <w:tcW w:w="5070" w:type="dxa"/>
            <w:vMerge w:val="restart"/>
            <w:tcBorders>
              <w:top w:val="single" w:color="auto" w:sz="4" w:space="0"/>
              <w:left w:val="single" w:color="auto" w:sz="4" w:space="0"/>
              <w:bottom w:val="single" w:color="auto" w:sz="4" w:space="0"/>
              <w:right w:val="single" w:color="auto" w:sz="4" w:space="0"/>
            </w:tcBorders>
            <w:noWrap w:val="0"/>
            <w:vAlign w:val="center"/>
          </w:tcPr>
          <w:p w14:paraId="3D4D8F5D">
            <w:pPr>
              <w:jc w:val="center"/>
              <w:rPr>
                <w:rFonts w:ascii="宋体" w:hAnsi="宋体"/>
                <w:color w:val="auto"/>
                <w:szCs w:val="44"/>
                <w:highlight w:val="none"/>
              </w:rPr>
            </w:pPr>
            <w:r>
              <w:rPr>
                <w:rFonts w:hint="eastAsia" w:ascii="宋体" w:hAnsi="宋体"/>
                <w:color w:val="auto"/>
                <w:szCs w:val="44"/>
                <w:highlight w:val="none"/>
              </w:rPr>
              <w:t>评审标准</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016DBA4E">
            <w:pPr>
              <w:jc w:val="center"/>
              <w:rPr>
                <w:rFonts w:ascii="宋体" w:hAnsi="宋体"/>
                <w:color w:val="auto"/>
                <w:szCs w:val="44"/>
                <w:highlight w:val="none"/>
              </w:rPr>
            </w:pPr>
            <w:r>
              <w:rPr>
                <w:rFonts w:hint="eastAsia" w:ascii="宋体" w:hAnsi="宋体"/>
                <w:color w:val="auto"/>
                <w:szCs w:val="44"/>
                <w:highlight w:val="none"/>
              </w:rPr>
              <w:t>结果</w:t>
            </w:r>
          </w:p>
        </w:tc>
        <w:tc>
          <w:tcPr>
            <w:tcW w:w="5528" w:type="dxa"/>
            <w:gridSpan w:val="7"/>
            <w:tcBorders>
              <w:top w:val="single" w:color="auto" w:sz="4" w:space="0"/>
              <w:left w:val="single" w:color="auto" w:sz="4" w:space="0"/>
              <w:bottom w:val="single" w:color="auto" w:sz="4" w:space="0"/>
              <w:right w:val="single" w:color="auto" w:sz="4" w:space="0"/>
            </w:tcBorders>
            <w:noWrap w:val="0"/>
            <w:vAlign w:val="center"/>
          </w:tcPr>
          <w:p w14:paraId="03923A85">
            <w:pPr>
              <w:jc w:val="center"/>
              <w:rPr>
                <w:rFonts w:ascii="宋体" w:hAnsi="宋体"/>
                <w:color w:val="auto"/>
                <w:szCs w:val="44"/>
                <w:highlight w:val="none"/>
              </w:rPr>
            </w:pPr>
            <w:r>
              <w:rPr>
                <w:rFonts w:hint="eastAsia" w:ascii="宋体" w:hAnsi="宋体"/>
                <w:color w:val="auto"/>
                <w:szCs w:val="44"/>
                <w:highlight w:val="none"/>
              </w:rPr>
              <w:t>投标人名称或暗标编号及评审得分</w:t>
            </w:r>
          </w:p>
        </w:tc>
      </w:tr>
      <w:tr w14:paraId="40B5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A1E15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B46576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F8FE49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63A5F78">
            <w:pPr>
              <w:widowControl/>
              <w:jc w:val="left"/>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4FEEF23F">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5B66FAF7">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0DD8032">
            <w:pPr>
              <w:jc w:val="center"/>
              <w:rPr>
                <w:rFonts w:ascii="宋体" w:hAnsi="宋体"/>
                <w:color w:val="auto"/>
                <w:szCs w:val="4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7C06C30">
            <w:pPr>
              <w:jc w:val="center"/>
              <w:rPr>
                <w:rFonts w:ascii="宋体" w:hAnsi="宋体"/>
                <w:color w:val="auto"/>
                <w:szCs w:val="4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D5B7C4">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3976A94F">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D04301E">
            <w:pPr>
              <w:jc w:val="center"/>
              <w:rPr>
                <w:rFonts w:ascii="宋体" w:hAnsi="宋体"/>
                <w:color w:val="auto"/>
                <w:szCs w:val="44"/>
                <w:highlight w:val="none"/>
              </w:rPr>
            </w:pPr>
          </w:p>
        </w:tc>
      </w:tr>
      <w:tr w14:paraId="38BAC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14:paraId="06DEFEE5">
            <w:pPr>
              <w:jc w:val="center"/>
              <w:rPr>
                <w:rFonts w:ascii="黑体" w:hAnsi="宋体" w:eastAsia="黑体"/>
                <w:color w:val="auto"/>
                <w:szCs w:val="44"/>
                <w:highlight w:val="none"/>
              </w:rPr>
            </w:pPr>
            <w:r>
              <w:rPr>
                <w:rFonts w:hint="eastAsia" w:ascii="黑体" w:hAnsi="宋体" w:eastAsia="黑体"/>
                <w:color w:val="auto"/>
                <w:szCs w:val="44"/>
                <w:highlight w:val="none"/>
              </w:rPr>
              <w:t>5</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61306707">
            <w:pPr>
              <w:jc w:val="center"/>
              <w:rPr>
                <w:rFonts w:ascii="宋体" w:hAnsi="宋体"/>
                <w:color w:val="auto"/>
                <w:szCs w:val="44"/>
                <w:highlight w:val="none"/>
              </w:rPr>
            </w:pPr>
            <w:r>
              <w:rPr>
                <w:rFonts w:hint="eastAsia" w:ascii="宋体" w:hAnsi="宋体"/>
                <w:color w:val="auto"/>
                <w:szCs w:val="21"/>
                <w:highlight w:val="none"/>
              </w:rPr>
              <w:t>主要施工方案</w:t>
            </w:r>
          </w:p>
        </w:tc>
        <w:tc>
          <w:tcPr>
            <w:tcW w:w="5070" w:type="dxa"/>
            <w:tcBorders>
              <w:top w:val="single" w:color="auto" w:sz="4" w:space="0"/>
              <w:left w:val="single" w:color="auto" w:sz="4" w:space="0"/>
              <w:bottom w:val="single" w:color="auto" w:sz="4" w:space="0"/>
              <w:right w:val="single" w:color="auto" w:sz="4" w:space="0"/>
            </w:tcBorders>
            <w:noWrap w:val="0"/>
            <w:vAlign w:val="center"/>
          </w:tcPr>
          <w:p w14:paraId="703F4A10">
            <w:pPr>
              <w:rPr>
                <w:rFonts w:ascii="宋体" w:hAnsi="宋体"/>
                <w:bCs/>
                <w:color w:val="auto"/>
                <w:szCs w:val="21"/>
                <w:highlight w:val="none"/>
              </w:rPr>
            </w:pPr>
            <w:r>
              <w:rPr>
                <w:rFonts w:hint="eastAsia" w:ascii="宋体" w:hAnsi="宋体"/>
                <w:color w:val="auto"/>
                <w:szCs w:val="21"/>
                <w:highlight w:val="none"/>
              </w:rPr>
              <w:t>主要分部、分项工程施工方案</w:t>
            </w:r>
            <w:r>
              <w:rPr>
                <w:rFonts w:hint="eastAsia" w:ascii="宋体" w:hAnsi="宋体"/>
                <w:bCs/>
                <w:color w:val="auto"/>
                <w:szCs w:val="21"/>
                <w:highlight w:val="none"/>
              </w:rPr>
              <w:t>合理、可行；</w:t>
            </w:r>
            <w:r>
              <w:rPr>
                <w:rFonts w:hint="eastAsia" w:ascii="宋体" w:hAnsi="宋体"/>
                <w:color w:val="auto"/>
                <w:szCs w:val="21"/>
                <w:highlight w:val="none"/>
              </w:rPr>
              <w:t>脚手架工程、起重吊装工程、临时用水用电工程、季节性施工等专项工程的施工方案（如有）有必要的验算和说明；对易发生质量通病、易出现安全问题、施工难度大、技术含量高的分项工程（工序）等有重点说明</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7B3AA40">
            <w:pPr>
              <w:jc w:val="center"/>
              <w:rPr>
                <w:rFonts w:ascii="宋体" w:hAnsi="宋体"/>
                <w:color w:val="auto"/>
                <w:szCs w:val="44"/>
                <w:highlight w:val="none"/>
              </w:rPr>
            </w:pPr>
            <w:r>
              <w:rPr>
                <w:rFonts w:hint="eastAsia" w:ascii="宋体" w:hAnsi="宋体"/>
                <w:color w:val="auto"/>
                <w:szCs w:val="44"/>
                <w:highlight w:val="none"/>
              </w:rPr>
              <w:t>合格</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1519EAE0">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0BE3267">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1C6D54BD">
            <w:pPr>
              <w:jc w:val="center"/>
              <w:rPr>
                <w:rFonts w:ascii="宋体" w:hAnsi="宋体"/>
                <w:color w:val="auto"/>
                <w:szCs w:val="4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0233495">
            <w:pPr>
              <w:jc w:val="center"/>
              <w:rPr>
                <w:rFonts w:ascii="宋体" w:hAnsi="宋体"/>
                <w:color w:val="auto"/>
                <w:szCs w:val="4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3DBDB4A">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1E5283B7">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5C76A75">
            <w:pPr>
              <w:jc w:val="center"/>
              <w:rPr>
                <w:rFonts w:ascii="宋体" w:hAnsi="宋体"/>
                <w:color w:val="auto"/>
                <w:szCs w:val="44"/>
                <w:highlight w:val="none"/>
              </w:rPr>
            </w:pPr>
          </w:p>
        </w:tc>
      </w:tr>
      <w:tr w14:paraId="0737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14:paraId="157B9059">
            <w:pPr>
              <w:jc w:val="center"/>
              <w:rPr>
                <w:rFonts w:ascii="黑体" w:hAnsi="宋体" w:eastAsia="黑体"/>
                <w:color w:val="auto"/>
                <w:szCs w:val="44"/>
                <w:highlight w:val="none"/>
              </w:rPr>
            </w:pPr>
            <w:r>
              <w:rPr>
                <w:rFonts w:hint="eastAsia" w:ascii="黑体" w:hAnsi="宋体" w:eastAsia="黑体"/>
                <w:color w:val="auto"/>
                <w:szCs w:val="44"/>
                <w:highlight w:val="none"/>
              </w:rPr>
              <w:t>6</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4F88E5A8">
            <w:pPr>
              <w:jc w:val="center"/>
              <w:rPr>
                <w:rFonts w:ascii="宋体" w:hAnsi="宋体"/>
                <w:color w:val="auto"/>
                <w:szCs w:val="44"/>
                <w:highlight w:val="none"/>
              </w:rPr>
            </w:pPr>
            <w:r>
              <w:rPr>
                <w:rFonts w:hint="eastAsia" w:ascii="宋体" w:hAnsi="宋体"/>
                <w:color w:val="auto"/>
                <w:szCs w:val="21"/>
                <w:highlight w:val="none"/>
              </w:rPr>
              <w:t>施工现场平面布置</w:t>
            </w:r>
          </w:p>
        </w:tc>
        <w:tc>
          <w:tcPr>
            <w:tcW w:w="5070" w:type="dxa"/>
            <w:tcBorders>
              <w:top w:val="single" w:color="auto" w:sz="4" w:space="0"/>
              <w:left w:val="single" w:color="auto" w:sz="4" w:space="0"/>
              <w:bottom w:val="single" w:color="auto" w:sz="4" w:space="0"/>
              <w:right w:val="single" w:color="auto" w:sz="4" w:space="0"/>
            </w:tcBorders>
            <w:noWrap w:val="0"/>
            <w:vAlign w:val="center"/>
          </w:tcPr>
          <w:p w14:paraId="311DAD44">
            <w:pPr>
              <w:rPr>
                <w:rFonts w:ascii="宋体" w:hAnsi="宋体"/>
                <w:color w:val="auto"/>
                <w:szCs w:val="44"/>
                <w:highlight w:val="none"/>
              </w:rPr>
            </w:pPr>
            <w:r>
              <w:rPr>
                <w:rFonts w:hint="eastAsia" w:ascii="宋体" w:hAnsi="宋体"/>
                <w:color w:val="auto"/>
                <w:szCs w:val="21"/>
                <w:highlight w:val="none"/>
              </w:rPr>
              <w:t>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要素齐全，现场平面布置合理可行</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267CC2B">
            <w:pPr>
              <w:jc w:val="center"/>
              <w:rPr>
                <w:rFonts w:ascii="宋体" w:hAnsi="宋体"/>
                <w:color w:val="auto"/>
                <w:szCs w:val="44"/>
                <w:highlight w:val="none"/>
              </w:rPr>
            </w:pPr>
            <w:r>
              <w:rPr>
                <w:rFonts w:hint="eastAsia" w:ascii="宋体" w:hAnsi="宋体"/>
                <w:color w:val="auto"/>
                <w:szCs w:val="44"/>
                <w:highlight w:val="none"/>
              </w:rPr>
              <w:t>合格</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2749EACE">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5972F3F0">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8BB5A93">
            <w:pPr>
              <w:jc w:val="center"/>
              <w:rPr>
                <w:rFonts w:ascii="宋体" w:hAnsi="宋体"/>
                <w:color w:val="auto"/>
                <w:szCs w:val="4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1B221C9">
            <w:pPr>
              <w:jc w:val="center"/>
              <w:rPr>
                <w:rFonts w:ascii="宋体" w:hAnsi="宋体"/>
                <w:color w:val="auto"/>
                <w:szCs w:val="4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A3A51BE">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5583C65">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73057E4">
            <w:pPr>
              <w:jc w:val="center"/>
              <w:rPr>
                <w:rFonts w:ascii="宋体" w:hAnsi="宋体"/>
                <w:color w:val="auto"/>
                <w:szCs w:val="44"/>
                <w:highlight w:val="none"/>
              </w:rPr>
            </w:pPr>
          </w:p>
        </w:tc>
      </w:tr>
      <w:tr w14:paraId="5841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14:paraId="56720729">
            <w:pPr>
              <w:jc w:val="center"/>
              <w:rPr>
                <w:rFonts w:ascii="黑体" w:hAnsi="宋体" w:eastAsia="黑体"/>
                <w:color w:val="auto"/>
                <w:szCs w:val="44"/>
                <w:highlight w:val="none"/>
              </w:rPr>
            </w:pPr>
            <w:r>
              <w:rPr>
                <w:rFonts w:hint="eastAsia" w:ascii="黑体" w:hAnsi="宋体" w:eastAsia="黑体"/>
                <w:color w:val="auto"/>
                <w:szCs w:val="44"/>
                <w:highlight w:val="none"/>
              </w:rPr>
              <w:t>7</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2D2197F8">
            <w:pPr>
              <w:jc w:val="center"/>
              <w:rPr>
                <w:rFonts w:ascii="宋体" w:hAnsi="宋体"/>
                <w:color w:val="auto"/>
                <w:szCs w:val="44"/>
                <w:highlight w:val="none"/>
              </w:rPr>
            </w:pPr>
            <w:r>
              <w:rPr>
                <w:rFonts w:hint="eastAsia" w:ascii="宋体" w:hAnsi="宋体"/>
                <w:color w:val="auto"/>
                <w:szCs w:val="21"/>
                <w:highlight w:val="none"/>
              </w:rPr>
              <w:t>主要施工管理计划</w:t>
            </w:r>
          </w:p>
        </w:tc>
        <w:tc>
          <w:tcPr>
            <w:tcW w:w="5070" w:type="dxa"/>
            <w:tcBorders>
              <w:top w:val="single" w:color="auto" w:sz="4" w:space="0"/>
              <w:left w:val="single" w:color="auto" w:sz="4" w:space="0"/>
              <w:bottom w:val="single" w:color="auto" w:sz="4" w:space="0"/>
              <w:right w:val="single" w:color="auto" w:sz="4" w:space="0"/>
            </w:tcBorders>
            <w:noWrap w:val="0"/>
            <w:vAlign w:val="center"/>
          </w:tcPr>
          <w:p w14:paraId="24942CBC">
            <w:pPr>
              <w:rPr>
                <w:rFonts w:ascii="宋体" w:hAnsi="宋体"/>
                <w:color w:val="auto"/>
                <w:szCs w:val="44"/>
                <w:highlight w:val="none"/>
              </w:rPr>
            </w:pPr>
            <w:r>
              <w:rPr>
                <w:rFonts w:hint="eastAsia" w:ascii="宋体" w:hAnsi="宋体"/>
                <w:color w:val="auto"/>
                <w:szCs w:val="21"/>
                <w:highlight w:val="none"/>
              </w:rPr>
              <w:t>进度管理计划、质量管理计划、安全管理计划、环境管理计划、成本管理计划、治安保卫管理计划、合同管理计划，组织协调管理计划、成品保护管理计划、质量保修管理计划、人力资源、施工机具、材料设备等管理计划</w:t>
            </w:r>
            <w:r>
              <w:rPr>
                <w:rFonts w:hint="eastAsia" w:ascii="宋体" w:hAnsi="宋体"/>
                <w:color w:val="auto"/>
                <w:szCs w:val="44"/>
                <w:highlight w:val="none"/>
              </w:rPr>
              <w:t>内容基本完备，可行</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CC86256">
            <w:pPr>
              <w:jc w:val="center"/>
              <w:rPr>
                <w:rFonts w:ascii="宋体" w:hAnsi="宋体"/>
                <w:color w:val="auto"/>
                <w:szCs w:val="44"/>
                <w:highlight w:val="none"/>
              </w:rPr>
            </w:pPr>
            <w:r>
              <w:rPr>
                <w:rFonts w:hint="eastAsia" w:ascii="宋体" w:hAnsi="宋体"/>
                <w:color w:val="auto"/>
                <w:szCs w:val="44"/>
                <w:highlight w:val="none"/>
              </w:rPr>
              <w:t>合格</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0FE0F4EB">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C96BBCA">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35BC1028">
            <w:pPr>
              <w:jc w:val="center"/>
              <w:rPr>
                <w:rFonts w:ascii="宋体" w:hAnsi="宋体"/>
                <w:color w:val="auto"/>
                <w:szCs w:val="4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D5BC37A">
            <w:pPr>
              <w:jc w:val="center"/>
              <w:rPr>
                <w:rFonts w:ascii="宋体" w:hAnsi="宋体"/>
                <w:color w:val="auto"/>
                <w:szCs w:val="4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4F59FD">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ED469D5">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C0060EA">
            <w:pPr>
              <w:jc w:val="center"/>
              <w:rPr>
                <w:rFonts w:ascii="宋体" w:hAnsi="宋体"/>
                <w:color w:val="auto"/>
                <w:szCs w:val="44"/>
                <w:highlight w:val="none"/>
              </w:rPr>
            </w:pPr>
          </w:p>
        </w:tc>
      </w:tr>
      <w:tr w14:paraId="2CEEA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8188" w:type="dxa"/>
            <w:gridSpan w:val="4"/>
            <w:tcBorders>
              <w:top w:val="single" w:color="auto" w:sz="4" w:space="0"/>
              <w:left w:val="single" w:color="auto" w:sz="4" w:space="0"/>
              <w:bottom w:val="single" w:color="auto" w:sz="4" w:space="0"/>
              <w:right w:val="single" w:color="auto" w:sz="4" w:space="0"/>
            </w:tcBorders>
            <w:noWrap w:val="0"/>
            <w:vAlign w:val="center"/>
          </w:tcPr>
          <w:p w14:paraId="64A032FD">
            <w:pPr>
              <w:jc w:val="center"/>
              <w:rPr>
                <w:rFonts w:ascii="宋体" w:hAnsi="宋体"/>
                <w:color w:val="auto"/>
                <w:szCs w:val="44"/>
                <w:highlight w:val="none"/>
              </w:rPr>
            </w:pPr>
            <w:r>
              <w:rPr>
                <w:rFonts w:hint="eastAsia" w:ascii="宋体" w:hAnsi="宋体"/>
                <w:color w:val="auto"/>
                <w:szCs w:val="44"/>
                <w:highlight w:val="none"/>
              </w:rPr>
              <w:t>施工组织设计合格性汇总</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24EFBDCE">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8AC6297">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24EEB27">
            <w:pPr>
              <w:jc w:val="center"/>
              <w:rPr>
                <w:rFonts w:ascii="宋体" w:hAnsi="宋体"/>
                <w:color w:val="auto"/>
                <w:szCs w:val="4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66594F8">
            <w:pPr>
              <w:jc w:val="center"/>
              <w:rPr>
                <w:rFonts w:ascii="宋体" w:hAnsi="宋体"/>
                <w:color w:val="auto"/>
                <w:szCs w:val="4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1F22ED8">
            <w:pPr>
              <w:jc w:val="center"/>
              <w:rPr>
                <w:rFonts w:ascii="宋体" w:hAnsi="宋体"/>
                <w:color w:val="auto"/>
                <w:szCs w:val="4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2502053">
            <w:pPr>
              <w:jc w:val="center"/>
              <w:rPr>
                <w:rFonts w:ascii="宋体" w:hAnsi="宋体"/>
                <w:color w:val="auto"/>
                <w:szCs w:val="4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86B1822">
            <w:pPr>
              <w:jc w:val="center"/>
              <w:rPr>
                <w:rFonts w:ascii="宋体" w:hAnsi="宋体"/>
                <w:color w:val="auto"/>
                <w:szCs w:val="44"/>
                <w:highlight w:val="none"/>
              </w:rPr>
            </w:pPr>
          </w:p>
        </w:tc>
      </w:tr>
    </w:tbl>
    <w:p w14:paraId="5442CDD3">
      <w:pPr>
        <w:rPr>
          <w:rFonts w:ascii="Times New Roman" w:hAnsi="Times New Roman"/>
          <w:color w:val="auto"/>
          <w:highlight w:val="none"/>
        </w:rPr>
      </w:pPr>
    </w:p>
    <w:p w14:paraId="32D28A6E">
      <w:pPr>
        <w:rPr>
          <w:color w:val="auto"/>
          <w:highlight w:val="none"/>
        </w:rPr>
      </w:pPr>
    </w:p>
    <w:p w14:paraId="0283AEF1">
      <w:pPr>
        <w:rPr>
          <w:color w:val="auto"/>
          <w:highlight w:val="none"/>
        </w:rPr>
      </w:pPr>
    </w:p>
    <w:p w14:paraId="3C35B597">
      <w:pPr>
        <w:rPr>
          <w:color w:val="auto"/>
          <w:highlight w:val="none"/>
        </w:rPr>
      </w:pPr>
      <w:r>
        <w:rPr>
          <w:rFonts w:hint="eastAsia"/>
          <w:color w:val="auto"/>
          <w:highlight w:val="none"/>
        </w:rPr>
        <w:t>评标委员会成员签名：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　　</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　</w:t>
      </w:r>
      <w:r>
        <w:rPr>
          <w:color w:val="auto"/>
          <w:highlight w:val="none"/>
        </w:rPr>
        <w:t xml:space="preserve">  </w:t>
      </w:r>
      <w:r>
        <w:rPr>
          <w:rFonts w:hint="eastAsia"/>
          <w:color w:val="auto"/>
          <w:highlight w:val="none"/>
        </w:rPr>
        <w:t>日</w:t>
      </w:r>
    </w:p>
    <w:p w14:paraId="7143BC32">
      <w:pPr>
        <w:rPr>
          <w:color w:val="auto"/>
          <w:highlight w:val="none"/>
        </w:rPr>
      </w:pPr>
    </w:p>
    <w:p w14:paraId="385ABE07">
      <w:pPr>
        <w:rPr>
          <w:color w:val="auto"/>
          <w:highlight w:val="none"/>
        </w:rPr>
      </w:pPr>
    </w:p>
    <w:p w14:paraId="444CDCF5">
      <w:pPr>
        <w:rPr>
          <w:color w:val="auto"/>
          <w:highlight w:val="none"/>
        </w:rPr>
      </w:pPr>
    </w:p>
    <w:p w14:paraId="221A1C2E">
      <w:pPr>
        <w:rPr>
          <w:color w:val="auto"/>
          <w:highlight w:val="none"/>
        </w:rPr>
      </w:pPr>
    </w:p>
    <w:p w14:paraId="09D22DCD">
      <w:pPr>
        <w:pStyle w:val="33"/>
        <w:rPr>
          <w:color w:val="auto"/>
          <w:highlight w:val="none"/>
        </w:rPr>
      </w:pPr>
      <w:bookmarkStart w:id="767" w:name="_Toc28531843"/>
      <w:bookmarkStart w:id="768" w:name="_Toc22524"/>
      <w:r>
        <w:rPr>
          <w:rFonts w:hint="eastAsia"/>
          <w:color w:val="auto"/>
          <w:highlight w:val="none"/>
        </w:rPr>
        <w:t>附表</w:t>
      </w:r>
      <w:r>
        <w:rPr>
          <w:color w:val="auto"/>
          <w:highlight w:val="none"/>
        </w:rPr>
        <w:t>A-8</w:t>
      </w:r>
      <w:r>
        <w:rPr>
          <w:rFonts w:hint="eastAsia"/>
          <w:color w:val="auto"/>
          <w:highlight w:val="none"/>
        </w:rPr>
        <w:t>：投标报价评分记录表</w:t>
      </w:r>
      <w:bookmarkEnd w:id="767"/>
      <w:bookmarkEnd w:id="768"/>
    </w:p>
    <w:p w14:paraId="3C1F7794">
      <w:pPr>
        <w:spacing w:after="240" w:afterLines="100"/>
        <w:jc w:val="center"/>
        <w:rPr>
          <w:rFonts w:ascii="黑体" w:eastAsia="黑体"/>
          <w:color w:val="auto"/>
          <w:sz w:val="28"/>
          <w:szCs w:val="28"/>
          <w:highlight w:val="none"/>
        </w:rPr>
      </w:pPr>
      <w:r>
        <w:rPr>
          <w:rFonts w:hint="eastAsia" w:ascii="黑体" w:eastAsia="黑体"/>
          <w:color w:val="auto"/>
          <w:sz w:val="28"/>
          <w:szCs w:val="28"/>
          <w:highlight w:val="none"/>
        </w:rPr>
        <w:t>投标报价评分记录表</w:t>
      </w:r>
    </w:p>
    <w:p w14:paraId="06E787D5">
      <w:pPr>
        <w:spacing w:after="240" w:afterLines="100"/>
        <w:rPr>
          <w:rFonts w:hint="eastAsia" w:ascii="Times New Roman"/>
          <w:color w:val="auto"/>
          <w:szCs w:val="2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r>
        <w:rPr>
          <w:rFonts w:hint="eastAsia" w:ascii="宋体" w:hAnsi="宋体"/>
          <w:color w:val="auto"/>
          <w:szCs w:val="44"/>
          <w:highlight w:val="none"/>
        </w:rPr>
        <w:t xml:space="preserve">      　　　　　　　　　　　　　　　　　　　　　 </w:t>
      </w:r>
      <w:r>
        <w:rPr>
          <w:rFonts w:hint="eastAsia"/>
          <w:color w:val="auto"/>
          <w:highlight w:val="none"/>
        </w:rPr>
        <w:t>单位：人民币元</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1177"/>
        <w:gridCol w:w="1178"/>
        <w:gridCol w:w="1178"/>
        <w:gridCol w:w="1177"/>
        <w:gridCol w:w="1178"/>
        <w:gridCol w:w="1178"/>
        <w:gridCol w:w="1177"/>
        <w:gridCol w:w="1178"/>
        <w:gridCol w:w="1178"/>
      </w:tblGrid>
      <w:tr w14:paraId="3174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8" w:type="dxa"/>
            <w:vMerge w:val="restart"/>
            <w:tcBorders>
              <w:top w:val="single" w:color="auto" w:sz="4" w:space="0"/>
              <w:left w:val="single" w:color="auto" w:sz="4" w:space="0"/>
              <w:bottom w:val="single" w:color="auto" w:sz="4" w:space="0"/>
              <w:right w:val="single" w:color="auto" w:sz="4" w:space="0"/>
            </w:tcBorders>
            <w:noWrap w:val="0"/>
            <w:vAlign w:val="center"/>
          </w:tcPr>
          <w:p w14:paraId="7F2876A8">
            <w:pPr>
              <w:jc w:val="center"/>
              <w:rPr>
                <w:color w:val="auto"/>
                <w:szCs w:val="24"/>
                <w:highlight w:val="none"/>
              </w:rPr>
            </w:pPr>
            <w:r>
              <w:rPr>
                <w:rFonts w:hint="eastAsia"/>
                <w:color w:val="auto"/>
                <w:highlight w:val="none"/>
              </w:rPr>
              <w:t>项目</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69C6F44D">
            <w:pPr>
              <w:jc w:val="center"/>
              <w:rPr>
                <w:color w:val="auto"/>
                <w:szCs w:val="24"/>
                <w:highlight w:val="none"/>
              </w:rPr>
            </w:pPr>
            <w:r>
              <w:rPr>
                <w:rFonts w:hint="eastAsia"/>
                <w:color w:val="auto"/>
                <w:highlight w:val="none"/>
              </w:rPr>
              <w:t>投标人名称</w:t>
            </w:r>
          </w:p>
        </w:tc>
      </w:tr>
      <w:tr w14:paraId="5DBB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0EE66B">
            <w:pPr>
              <w:widowControl/>
              <w:jc w:val="left"/>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44E641C6">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5818FCE">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A6940BA">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42F9BE94">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E4D1C81">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1B74540">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440F49D9">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18856EC">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BF8A824">
            <w:pPr>
              <w:jc w:val="center"/>
              <w:rPr>
                <w:color w:val="auto"/>
                <w:szCs w:val="24"/>
                <w:highlight w:val="none"/>
              </w:rPr>
            </w:pPr>
          </w:p>
        </w:tc>
      </w:tr>
      <w:tr w14:paraId="095B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599F4214">
            <w:pPr>
              <w:jc w:val="center"/>
              <w:rPr>
                <w:color w:val="auto"/>
                <w:szCs w:val="24"/>
                <w:highlight w:val="none"/>
              </w:rPr>
            </w:pPr>
            <w:r>
              <w:rPr>
                <w:rFonts w:hint="eastAsia"/>
                <w:color w:val="auto"/>
                <w:highlight w:val="none"/>
              </w:rPr>
              <w:t>投标报价</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FC6F3C9">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E8E2AA5">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FF3DCB9">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0A3E355">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80D15E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3F3E615">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434638E">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64730F1">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69B4064">
            <w:pPr>
              <w:jc w:val="center"/>
              <w:rPr>
                <w:color w:val="auto"/>
                <w:szCs w:val="24"/>
                <w:highlight w:val="none"/>
              </w:rPr>
            </w:pPr>
          </w:p>
        </w:tc>
      </w:tr>
      <w:tr w14:paraId="2105F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5CB8555D">
            <w:pPr>
              <w:spacing w:after="120" w:afterLines="50"/>
              <w:jc w:val="center"/>
              <w:rPr>
                <w:rFonts w:ascii="宋体" w:hAnsi="宋体" w:cs="Arial"/>
                <w:color w:val="auto"/>
                <w:szCs w:val="21"/>
                <w:highlight w:val="none"/>
              </w:rPr>
            </w:pPr>
            <w:r>
              <w:rPr>
                <w:rFonts w:hint="eastAsia" w:ascii="宋体" w:hAnsi="宋体" w:cs="Arial"/>
                <w:color w:val="auto"/>
                <w:szCs w:val="21"/>
                <w:highlight w:val="none"/>
              </w:rPr>
              <w:t>修正后投标报价（如有）</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B263752">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DE2E356">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DFA5B9B">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2A66732">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7A3BC59">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D7AE200">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5402C2B">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6676EFF">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7839EB7">
            <w:pPr>
              <w:jc w:val="center"/>
              <w:rPr>
                <w:color w:val="auto"/>
                <w:szCs w:val="24"/>
                <w:highlight w:val="none"/>
              </w:rPr>
            </w:pPr>
          </w:p>
        </w:tc>
      </w:tr>
      <w:tr w14:paraId="2A85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6F99F0F3">
            <w:pPr>
              <w:jc w:val="center"/>
              <w:rPr>
                <w:color w:val="auto"/>
                <w:szCs w:val="24"/>
                <w:highlight w:val="none"/>
              </w:rPr>
            </w:pPr>
            <w:r>
              <w:rPr>
                <w:rFonts w:hint="eastAsia" w:ascii="宋体" w:hAnsi="宋体" w:cs="Arial"/>
                <w:color w:val="auto"/>
                <w:szCs w:val="21"/>
                <w:highlight w:val="none"/>
              </w:rPr>
              <w:t>评标价</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C1DAFD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EB829D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CEB05D2">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2FDD2EC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8B1938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27D3936">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45E9C35F">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89EFAE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614CEAC">
            <w:pPr>
              <w:jc w:val="center"/>
              <w:rPr>
                <w:color w:val="auto"/>
                <w:szCs w:val="24"/>
                <w:highlight w:val="none"/>
              </w:rPr>
            </w:pPr>
          </w:p>
        </w:tc>
      </w:tr>
      <w:tr w14:paraId="4251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7059981C">
            <w:pPr>
              <w:jc w:val="center"/>
              <w:rPr>
                <w:rFonts w:ascii="宋体" w:hAnsi="宋体" w:cs="Arial"/>
                <w:color w:val="auto"/>
                <w:szCs w:val="21"/>
                <w:highlight w:val="none"/>
              </w:rPr>
            </w:pPr>
            <w:r>
              <w:rPr>
                <w:rFonts w:hint="eastAsia"/>
                <w:color w:val="auto"/>
                <w:highlight w:val="none"/>
              </w:rPr>
              <w:t>评标基准价</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6F4F79E6">
            <w:pPr>
              <w:jc w:val="center"/>
              <w:rPr>
                <w:color w:val="auto"/>
                <w:szCs w:val="24"/>
                <w:highlight w:val="none"/>
              </w:rPr>
            </w:pPr>
          </w:p>
        </w:tc>
      </w:tr>
      <w:tr w14:paraId="3FD2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22D8B0CE">
            <w:pPr>
              <w:jc w:val="center"/>
              <w:rPr>
                <w:color w:val="auto"/>
                <w:szCs w:val="24"/>
                <w:highlight w:val="none"/>
              </w:rPr>
            </w:pPr>
            <w:r>
              <w:rPr>
                <w:rFonts w:hint="eastAsia"/>
                <w:color w:val="auto"/>
                <w:highlight w:val="none"/>
              </w:rPr>
              <w:t>偏差率</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670FAEC">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0BC7D0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E34C6C6">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25561D18">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254A6B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7847B26">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C430CFD">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18C140B">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01CA85A">
            <w:pPr>
              <w:jc w:val="center"/>
              <w:rPr>
                <w:color w:val="auto"/>
                <w:szCs w:val="24"/>
                <w:highlight w:val="none"/>
              </w:rPr>
            </w:pPr>
          </w:p>
        </w:tc>
      </w:tr>
      <w:tr w14:paraId="55B0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4A7E238F">
            <w:pPr>
              <w:jc w:val="center"/>
              <w:rPr>
                <w:color w:val="auto"/>
                <w:szCs w:val="24"/>
                <w:highlight w:val="none"/>
              </w:rPr>
            </w:pPr>
            <w:r>
              <w:rPr>
                <w:rFonts w:hint="eastAsia"/>
                <w:color w:val="auto"/>
                <w:highlight w:val="none"/>
              </w:rPr>
              <w:t>招标控制价</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214511DE">
            <w:pPr>
              <w:jc w:val="center"/>
              <w:rPr>
                <w:color w:val="auto"/>
                <w:szCs w:val="24"/>
                <w:highlight w:val="none"/>
              </w:rPr>
            </w:pPr>
          </w:p>
        </w:tc>
      </w:tr>
      <w:tr w14:paraId="18EC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781E7970">
            <w:pPr>
              <w:jc w:val="center"/>
              <w:rPr>
                <w:color w:val="auto"/>
                <w:szCs w:val="24"/>
                <w:highlight w:val="none"/>
              </w:rPr>
            </w:pPr>
            <w:r>
              <w:rPr>
                <w:rFonts w:hint="eastAsia"/>
                <w:color w:val="auto"/>
                <w:highlight w:val="none"/>
              </w:rPr>
              <w:t>计算投标报价得分</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AA50932">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C682DAA">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FF457D8">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A25EEF4">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A005CCD">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0599F5E">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B4ADEFB">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68492E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7B14A287">
            <w:pPr>
              <w:jc w:val="center"/>
              <w:rPr>
                <w:color w:val="auto"/>
                <w:szCs w:val="24"/>
                <w:highlight w:val="none"/>
              </w:rPr>
            </w:pPr>
          </w:p>
        </w:tc>
      </w:tr>
      <w:tr w14:paraId="79E1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38959275">
            <w:pPr>
              <w:jc w:val="center"/>
              <w:rPr>
                <w:color w:val="auto"/>
                <w:szCs w:val="24"/>
                <w:highlight w:val="none"/>
              </w:rPr>
            </w:pPr>
            <w:r>
              <w:rPr>
                <w:rFonts w:hint="eastAsia"/>
                <w:color w:val="auto"/>
                <w:highlight w:val="none"/>
              </w:rPr>
              <w:t>不平衡报价扣分</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10BFECD">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22FEB7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592B48B">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6522186">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DC44FEA">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C5C2ABB">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5CD0488">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3CA3F0B2">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7684617">
            <w:pPr>
              <w:jc w:val="center"/>
              <w:rPr>
                <w:color w:val="auto"/>
                <w:szCs w:val="24"/>
                <w:highlight w:val="none"/>
              </w:rPr>
            </w:pPr>
          </w:p>
        </w:tc>
      </w:tr>
      <w:tr w14:paraId="36057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2C9A4EC3">
            <w:pPr>
              <w:jc w:val="center"/>
              <w:rPr>
                <w:color w:val="auto"/>
                <w:szCs w:val="24"/>
                <w:highlight w:val="none"/>
              </w:rPr>
            </w:pPr>
            <w:r>
              <w:rPr>
                <w:rFonts w:hint="eastAsia"/>
                <w:color w:val="auto"/>
                <w:highlight w:val="none"/>
              </w:rPr>
              <w:t>投标报价最终得分</w:t>
            </w:r>
            <w:r>
              <w:rPr>
                <w:rFonts w:hint="eastAsia" w:ascii="宋体" w:hAnsi="宋体"/>
                <w:color w:val="auto"/>
                <w:szCs w:val="44"/>
                <w:highlight w:val="none"/>
              </w:rPr>
              <w:t>A（满分  分）</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2A339A6C">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52DDC46">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2C853DC">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139626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7DC23AB9">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D1C2703">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417ED3CE">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9CADEA9">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D70E61B">
            <w:pPr>
              <w:jc w:val="center"/>
              <w:rPr>
                <w:color w:val="auto"/>
                <w:szCs w:val="24"/>
                <w:highlight w:val="none"/>
              </w:rPr>
            </w:pPr>
          </w:p>
        </w:tc>
      </w:tr>
    </w:tbl>
    <w:p w14:paraId="579B89EA">
      <w:pPr>
        <w:rPr>
          <w:rFonts w:ascii="Times New Roman" w:hAnsi="Times New Roman"/>
          <w:color w:val="auto"/>
          <w:highlight w:val="none"/>
        </w:rPr>
      </w:pPr>
    </w:p>
    <w:p w14:paraId="7E8C3377">
      <w:pPr>
        <w:rPr>
          <w:color w:val="auto"/>
          <w:highlight w:val="none"/>
        </w:rPr>
      </w:pPr>
      <w:r>
        <w:rPr>
          <w:rFonts w:hint="eastAsia"/>
          <w:color w:val="auto"/>
          <w:highlight w:val="none"/>
        </w:rPr>
        <w:t>评标委员会成员签名：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322FA8DF">
      <w:pPr>
        <w:rPr>
          <w:color w:val="auto"/>
          <w:highlight w:val="none"/>
        </w:rPr>
      </w:pPr>
    </w:p>
    <w:p w14:paraId="12324751">
      <w:pPr>
        <w:rPr>
          <w:color w:val="auto"/>
          <w:highlight w:val="none"/>
        </w:rPr>
      </w:pPr>
    </w:p>
    <w:p w14:paraId="6297A42F">
      <w:pPr>
        <w:rPr>
          <w:color w:val="auto"/>
          <w:highlight w:val="none"/>
        </w:rPr>
      </w:pPr>
    </w:p>
    <w:p w14:paraId="3337F2EE">
      <w:pPr>
        <w:rPr>
          <w:color w:val="auto"/>
          <w:highlight w:val="none"/>
        </w:rPr>
      </w:pPr>
    </w:p>
    <w:p w14:paraId="44A33F27">
      <w:pPr>
        <w:pStyle w:val="33"/>
        <w:rPr>
          <w:color w:val="auto"/>
          <w:highlight w:val="none"/>
        </w:rPr>
      </w:pPr>
      <w:bookmarkStart w:id="769" w:name="_Toc25344"/>
      <w:bookmarkStart w:id="770" w:name="_Toc28531844"/>
      <w:r>
        <w:rPr>
          <w:rFonts w:hint="eastAsia"/>
          <w:color w:val="auto"/>
          <w:highlight w:val="none"/>
        </w:rPr>
        <w:t>附表</w:t>
      </w:r>
      <w:r>
        <w:rPr>
          <w:color w:val="auto"/>
          <w:highlight w:val="none"/>
        </w:rPr>
        <w:t>A-9</w:t>
      </w:r>
      <w:r>
        <w:rPr>
          <w:rFonts w:hint="eastAsia"/>
          <w:color w:val="auto"/>
          <w:highlight w:val="none"/>
        </w:rPr>
        <w:t>：施工组织设计评审记录表（评分）</w:t>
      </w:r>
      <w:bookmarkEnd w:id="769"/>
      <w:bookmarkEnd w:id="770"/>
    </w:p>
    <w:p w14:paraId="7B850D4D">
      <w:pPr>
        <w:spacing w:after="240" w:afterLines="100"/>
        <w:jc w:val="center"/>
        <w:rPr>
          <w:rFonts w:ascii="黑体" w:hAnsi="宋体" w:eastAsia="黑体"/>
          <w:color w:val="auto"/>
          <w:sz w:val="36"/>
          <w:szCs w:val="36"/>
          <w:highlight w:val="none"/>
        </w:rPr>
      </w:pPr>
      <w:r>
        <w:rPr>
          <w:rFonts w:hint="eastAsia" w:ascii="黑体" w:hAnsi="宋体" w:eastAsia="黑体"/>
          <w:color w:val="auto"/>
          <w:sz w:val="36"/>
          <w:szCs w:val="36"/>
          <w:highlight w:val="none"/>
        </w:rPr>
        <w:t>施工组织设计评审记录表</w:t>
      </w:r>
    </w:p>
    <w:p w14:paraId="7A8800CB">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006F5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5D3ED32F">
            <w:pPr>
              <w:jc w:val="center"/>
              <w:rPr>
                <w:rFonts w:ascii="宋体" w:hAnsi="宋体"/>
                <w:color w:val="auto"/>
                <w:szCs w:val="44"/>
                <w:highlight w:val="none"/>
              </w:rPr>
            </w:pPr>
            <w:r>
              <w:rPr>
                <w:rFonts w:hint="eastAsia" w:ascii="宋体" w:hAnsi="宋体"/>
                <w:color w:val="auto"/>
                <w:szCs w:val="44"/>
                <w:highlight w:val="none"/>
              </w:rPr>
              <w:t>序号</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3D67C9E7">
            <w:pPr>
              <w:jc w:val="center"/>
              <w:rPr>
                <w:rFonts w:ascii="宋体" w:hAnsi="宋体"/>
                <w:color w:val="auto"/>
                <w:szCs w:val="44"/>
                <w:highlight w:val="none"/>
              </w:rPr>
            </w:pPr>
            <w:r>
              <w:rPr>
                <w:rFonts w:hint="eastAsia" w:ascii="宋体" w:hAnsi="宋体"/>
                <w:color w:val="auto"/>
                <w:szCs w:val="44"/>
                <w:highlight w:val="none"/>
              </w:rPr>
              <w:t>评分项目</w:t>
            </w:r>
          </w:p>
        </w:tc>
        <w:tc>
          <w:tcPr>
            <w:tcW w:w="3600" w:type="dxa"/>
            <w:vMerge w:val="restart"/>
            <w:tcBorders>
              <w:top w:val="single" w:color="auto" w:sz="4" w:space="0"/>
              <w:left w:val="single" w:color="auto" w:sz="4" w:space="0"/>
              <w:bottom w:val="single" w:color="auto" w:sz="4" w:space="0"/>
              <w:right w:val="single" w:color="auto" w:sz="4" w:space="0"/>
            </w:tcBorders>
            <w:noWrap w:val="0"/>
            <w:vAlign w:val="center"/>
          </w:tcPr>
          <w:p w14:paraId="2A4E07BE">
            <w:pPr>
              <w:jc w:val="center"/>
              <w:rPr>
                <w:rFonts w:ascii="宋体" w:hAnsi="宋体"/>
                <w:color w:val="auto"/>
                <w:szCs w:val="44"/>
                <w:highlight w:val="none"/>
              </w:rPr>
            </w:pPr>
            <w:r>
              <w:rPr>
                <w:rFonts w:hint="eastAsia" w:ascii="宋体" w:hAnsi="宋体"/>
                <w:color w:val="auto"/>
                <w:szCs w:val="44"/>
                <w:highlight w:val="none"/>
              </w:rPr>
              <w:t>评分标准</w:t>
            </w: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79DAF8F6">
            <w:pPr>
              <w:jc w:val="center"/>
              <w:rPr>
                <w:rFonts w:ascii="宋体" w:hAnsi="宋体"/>
                <w:color w:val="auto"/>
                <w:szCs w:val="44"/>
                <w:highlight w:val="none"/>
              </w:rPr>
            </w:pPr>
            <w:r>
              <w:rPr>
                <w:rFonts w:hint="eastAsia" w:ascii="宋体" w:hAnsi="宋体"/>
                <w:color w:val="auto"/>
                <w:szCs w:val="44"/>
                <w:highlight w:val="none"/>
              </w:rPr>
              <w:t>标准分</w:t>
            </w:r>
          </w:p>
        </w:tc>
        <w:tc>
          <w:tcPr>
            <w:tcW w:w="7179" w:type="dxa"/>
            <w:gridSpan w:val="9"/>
            <w:tcBorders>
              <w:top w:val="single" w:color="auto" w:sz="4" w:space="0"/>
              <w:left w:val="single" w:color="auto" w:sz="4" w:space="0"/>
              <w:bottom w:val="single" w:color="auto" w:sz="4" w:space="0"/>
              <w:right w:val="single" w:color="auto" w:sz="4" w:space="0"/>
            </w:tcBorders>
            <w:noWrap w:val="0"/>
            <w:vAlign w:val="center"/>
          </w:tcPr>
          <w:p w14:paraId="36322159">
            <w:pPr>
              <w:jc w:val="center"/>
              <w:rPr>
                <w:rFonts w:ascii="宋体" w:hAnsi="宋体"/>
                <w:color w:val="auto"/>
                <w:szCs w:val="44"/>
                <w:highlight w:val="none"/>
              </w:rPr>
            </w:pPr>
            <w:r>
              <w:rPr>
                <w:rFonts w:hint="eastAsia" w:ascii="宋体" w:hAnsi="宋体"/>
                <w:color w:val="auto"/>
                <w:szCs w:val="44"/>
                <w:highlight w:val="none"/>
              </w:rPr>
              <w:t>投标人名称或暗标编号及评审得分</w:t>
            </w:r>
          </w:p>
        </w:tc>
      </w:tr>
      <w:tr w14:paraId="6190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84C6CC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09868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A03AEF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A87EFB3">
            <w:pPr>
              <w:widowControl/>
              <w:jc w:val="left"/>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0187DA2C">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79710FB">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6B8EA4F1">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5C6DFDF">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79BC68C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256ECB1">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7DC6954">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6BDF3B16">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4A5A90C4">
            <w:pPr>
              <w:jc w:val="center"/>
              <w:rPr>
                <w:rFonts w:ascii="宋体" w:hAnsi="宋体"/>
                <w:color w:val="auto"/>
                <w:szCs w:val="44"/>
                <w:highlight w:val="none"/>
              </w:rPr>
            </w:pPr>
          </w:p>
        </w:tc>
      </w:tr>
      <w:tr w14:paraId="7567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23746A29">
            <w:pPr>
              <w:jc w:val="center"/>
              <w:rPr>
                <w:rFonts w:ascii="黑体" w:hAnsi="宋体" w:eastAsia="黑体"/>
                <w:color w:val="auto"/>
                <w:szCs w:val="44"/>
                <w:highlight w:val="none"/>
              </w:rPr>
            </w:pPr>
            <w:r>
              <w:rPr>
                <w:rFonts w:hint="eastAsia" w:ascii="黑体" w:hAnsi="宋体" w:eastAsia="黑体"/>
                <w:color w:val="auto"/>
                <w:szCs w:val="44"/>
                <w:highlight w:val="none"/>
              </w:rPr>
              <w:t>1</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49235B49">
            <w:pPr>
              <w:jc w:val="center"/>
              <w:rPr>
                <w:rFonts w:ascii="宋体" w:hAnsi="宋体"/>
                <w:color w:val="auto"/>
                <w:szCs w:val="44"/>
                <w:highlight w:val="none"/>
              </w:rPr>
            </w:pPr>
            <w:r>
              <w:rPr>
                <w:rFonts w:hint="eastAsia" w:ascii="宋体" w:hAnsi="宋体"/>
                <w:color w:val="auto"/>
                <w:szCs w:val="21"/>
                <w:highlight w:val="none"/>
              </w:rPr>
              <w:t>工程概况</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5EDD0C78">
            <w:pPr>
              <w:rPr>
                <w:rFonts w:ascii="宋体" w:hAnsi="宋体"/>
                <w:bCs/>
                <w:color w:val="auto"/>
                <w:szCs w:val="21"/>
                <w:highlight w:val="none"/>
              </w:rPr>
            </w:pP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5D65B89D">
            <w:pPr>
              <w:jc w:val="center"/>
              <w:rPr>
                <w:rFonts w:ascii="宋体" w:hAnsi="宋体"/>
                <w:color w:val="auto"/>
                <w:szCs w:val="44"/>
                <w:highlight w:val="none"/>
              </w:rPr>
            </w:pPr>
            <w:r>
              <w:rPr>
                <w:rFonts w:hint="eastAsia" w:ascii="宋体" w:hAnsi="宋体"/>
                <w:bCs/>
                <w:color w:val="auto"/>
                <w:szCs w:val="21"/>
                <w:highlight w:val="none"/>
              </w:rPr>
              <w:t>分</w:t>
            </w: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4DED66BA">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798C449C">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EDDECB8">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15732C87">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B15E9A6">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6BCE630B">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1F8BB711">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2C652A5C">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28C1C8B6">
            <w:pPr>
              <w:jc w:val="center"/>
              <w:rPr>
                <w:rFonts w:ascii="宋体" w:hAnsi="宋体"/>
                <w:color w:val="auto"/>
                <w:szCs w:val="44"/>
                <w:highlight w:val="none"/>
              </w:rPr>
            </w:pPr>
          </w:p>
        </w:tc>
      </w:tr>
      <w:tr w14:paraId="32F5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3EF05FE">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52D8485">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43626315">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5E82FC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1975F8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5D5C6E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24C8DA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8DF215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854B2B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2CD507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F7EB57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85989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C31C17">
            <w:pPr>
              <w:widowControl/>
              <w:jc w:val="left"/>
              <w:rPr>
                <w:rFonts w:ascii="宋体" w:hAnsi="宋体"/>
                <w:color w:val="auto"/>
                <w:szCs w:val="44"/>
                <w:highlight w:val="none"/>
              </w:rPr>
            </w:pPr>
          </w:p>
        </w:tc>
      </w:tr>
      <w:tr w14:paraId="7E6AF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F3225D7">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7A08AC">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0904054E">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026328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5E3D6C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DF54C0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927CFE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E13A1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1CDCD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FDEC26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F04B9B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9DAD2A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D6CAF96">
            <w:pPr>
              <w:widowControl/>
              <w:jc w:val="left"/>
              <w:rPr>
                <w:rFonts w:ascii="宋体" w:hAnsi="宋体"/>
                <w:color w:val="auto"/>
                <w:szCs w:val="44"/>
                <w:highlight w:val="none"/>
              </w:rPr>
            </w:pPr>
          </w:p>
        </w:tc>
      </w:tr>
      <w:tr w14:paraId="0473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74AA28A8">
            <w:pPr>
              <w:jc w:val="center"/>
              <w:rPr>
                <w:rFonts w:ascii="黑体" w:hAnsi="宋体" w:eastAsia="黑体"/>
                <w:color w:val="auto"/>
                <w:szCs w:val="44"/>
                <w:highlight w:val="none"/>
              </w:rPr>
            </w:pPr>
            <w:r>
              <w:rPr>
                <w:rFonts w:hint="eastAsia" w:ascii="黑体" w:hAnsi="宋体" w:eastAsia="黑体"/>
                <w:color w:val="auto"/>
                <w:szCs w:val="44"/>
                <w:highlight w:val="none"/>
              </w:rPr>
              <w:t>2</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0C7FA472">
            <w:pPr>
              <w:jc w:val="center"/>
              <w:rPr>
                <w:rFonts w:ascii="宋体" w:hAnsi="宋体"/>
                <w:color w:val="auto"/>
                <w:szCs w:val="44"/>
                <w:highlight w:val="none"/>
              </w:rPr>
            </w:pPr>
            <w:r>
              <w:rPr>
                <w:rFonts w:hint="eastAsia" w:ascii="宋体" w:hAnsi="宋体"/>
                <w:color w:val="auto"/>
                <w:szCs w:val="21"/>
                <w:highlight w:val="none"/>
              </w:rPr>
              <w:t>施工部署</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896DECC">
            <w:pPr>
              <w:rPr>
                <w:rFonts w:ascii="宋体" w:hAnsi="宋体"/>
                <w:bCs/>
                <w:color w:val="auto"/>
                <w:szCs w:val="21"/>
                <w:highlight w:val="none"/>
              </w:rPr>
            </w:pP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18BD1639">
            <w:pPr>
              <w:jc w:val="center"/>
              <w:rPr>
                <w:rFonts w:ascii="宋体" w:hAnsi="宋体"/>
                <w:color w:val="auto"/>
                <w:szCs w:val="44"/>
                <w:highlight w:val="none"/>
              </w:rPr>
            </w:pPr>
            <w:r>
              <w:rPr>
                <w:rFonts w:hint="eastAsia" w:ascii="宋体" w:hAnsi="宋体"/>
                <w:bCs/>
                <w:color w:val="auto"/>
                <w:szCs w:val="21"/>
                <w:highlight w:val="none"/>
              </w:rPr>
              <w:t>分</w:t>
            </w: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05F95AE0">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3C01592">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AD552C3">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4161D627">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6CE94FF5">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35BB813D">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5FDAA67B">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2783FCE3">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0C8EB1B6">
            <w:pPr>
              <w:jc w:val="center"/>
              <w:rPr>
                <w:rFonts w:ascii="宋体" w:hAnsi="宋体"/>
                <w:color w:val="auto"/>
                <w:szCs w:val="44"/>
                <w:highlight w:val="none"/>
              </w:rPr>
            </w:pPr>
          </w:p>
        </w:tc>
      </w:tr>
      <w:tr w14:paraId="773A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47AF92">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D8871E">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438979CE">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F180DD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737C92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DD87F0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29BCD3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AD25F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0A8DC6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EF428C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80FCD9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29C282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EEE2E9C">
            <w:pPr>
              <w:widowControl/>
              <w:jc w:val="left"/>
              <w:rPr>
                <w:rFonts w:ascii="宋体" w:hAnsi="宋体"/>
                <w:color w:val="auto"/>
                <w:szCs w:val="44"/>
                <w:highlight w:val="none"/>
              </w:rPr>
            </w:pPr>
          </w:p>
        </w:tc>
      </w:tr>
      <w:tr w14:paraId="6F8F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310F908">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1F8E342">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0F626856">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6ABEF3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7BC730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6CE376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6846A7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1E011C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A37592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2D2898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3BCDAD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3D175C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81E57F7">
            <w:pPr>
              <w:widowControl/>
              <w:jc w:val="left"/>
              <w:rPr>
                <w:rFonts w:ascii="宋体" w:hAnsi="宋体"/>
                <w:color w:val="auto"/>
                <w:szCs w:val="44"/>
                <w:highlight w:val="none"/>
              </w:rPr>
            </w:pPr>
          </w:p>
        </w:tc>
      </w:tr>
      <w:tr w14:paraId="09B6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EBFD939">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6ABD97B">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CDF348A">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328193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D91B01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B8C74F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CAD36A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ECCAA0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B9AEB3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B9AC98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EC14FA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7E99D8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BD9BFF">
            <w:pPr>
              <w:widowControl/>
              <w:jc w:val="left"/>
              <w:rPr>
                <w:rFonts w:ascii="宋体" w:hAnsi="宋体"/>
                <w:color w:val="auto"/>
                <w:szCs w:val="44"/>
                <w:highlight w:val="none"/>
              </w:rPr>
            </w:pPr>
          </w:p>
        </w:tc>
      </w:tr>
      <w:tr w14:paraId="1470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13A4C3B6">
            <w:pPr>
              <w:jc w:val="center"/>
              <w:rPr>
                <w:rFonts w:ascii="黑体" w:hAnsi="宋体" w:eastAsia="黑体"/>
                <w:color w:val="auto"/>
                <w:szCs w:val="44"/>
                <w:highlight w:val="none"/>
              </w:rPr>
            </w:pPr>
            <w:r>
              <w:rPr>
                <w:rFonts w:hint="eastAsia" w:ascii="黑体" w:hAnsi="宋体" w:eastAsia="黑体"/>
                <w:color w:val="auto"/>
                <w:szCs w:val="44"/>
                <w:highlight w:val="none"/>
              </w:rPr>
              <w:t>3</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5DEA27D4">
            <w:pPr>
              <w:jc w:val="center"/>
              <w:rPr>
                <w:rFonts w:ascii="宋体" w:hAnsi="宋体"/>
                <w:color w:val="auto"/>
                <w:szCs w:val="44"/>
                <w:highlight w:val="none"/>
              </w:rPr>
            </w:pPr>
            <w:r>
              <w:rPr>
                <w:rFonts w:hint="eastAsia" w:ascii="宋体" w:hAnsi="宋体"/>
                <w:color w:val="auto"/>
                <w:szCs w:val="21"/>
                <w:highlight w:val="none"/>
              </w:rPr>
              <w:t>施工进度计划</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1082F27A">
            <w:pPr>
              <w:rPr>
                <w:rFonts w:ascii="宋体" w:hAnsi="宋体"/>
                <w:bCs/>
                <w:color w:val="auto"/>
                <w:szCs w:val="21"/>
                <w:highlight w:val="none"/>
              </w:rPr>
            </w:pP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5749A487">
            <w:pPr>
              <w:jc w:val="center"/>
              <w:rPr>
                <w:rFonts w:ascii="宋体" w:hAnsi="宋体"/>
                <w:color w:val="auto"/>
                <w:szCs w:val="44"/>
                <w:highlight w:val="none"/>
              </w:rPr>
            </w:pPr>
            <w:r>
              <w:rPr>
                <w:rFonts w:hint="eastAsia" w:ascii="宋体" w:hAnsi="宋体"/>
                <w:bCs/>
                <w:color w:val="auto"/>
                <w:szCs w:val="21"/>
                <w:highlight w:val="none"/>
              </w:rPr>
              <w:t>分</w:t>
            </w: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163B3ECB">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61D94D37">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38799F09">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3753FB4A">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32F88FAA">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752A0A92">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34D043CF">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19830EC">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1DA3A90">
            <w:pPr>
              <w:jc w:val="center"/>
              <w:rPr>
                <w:rFonts w:ascii="宋体" w:hAnsi="宋体"/>
                <w:color w:val="auto"/>
                <w:szCs w:val="44"/>
                <w:highlight w:val="none"/>
              </w:rPr>
            </w:pPr>
          </w:p>
        </w:tc>
      </w:tr>
      <w:tr w14:paraId="650DF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FB6BEF">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9904CF4">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7409368E">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690900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F47FF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081A86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9C22E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CF8F87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F2E54E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BCE6E2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27150F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318247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0232D2D">
            <w:pPr>
              <w:widowControl/>
              <w:jc w:val="left"/>
              <w:rPr>
                <w:rFonts w:ascii="宋体" w:hAnsi="宋体"/>
                <w:color w:val="auto"/>
                <w:szCs w:val="44"/>
                <w:highlight w:val="none"/>
              </w:rPr>
            </w:pPr>
          </w:p>
        </w:tc>
      </w:tr>
      <w:tr w14:paraId="35BF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7B8BC86">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B72F33E">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D3B5535">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3793A01">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D7159B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A0A3C0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8C18D9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358A01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9BDEB6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7F02E5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D4CA6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1D092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0602442">
            <w:pPr>
              <w:widowControl/>
              <w:jc w:val="left"/>
              <w:rPr>
                <w:rFonts w:ascii="宋体" w:hAnsi="宋体"/>
                <w:color w:val="auto"/>
                <w:szCs w:val="44"/>
                <w:highlight w:val="none"/>
              </w:rPr>
            </w:pPr>
          </w:p>
        </w:tc>
      </w:tr>
      <w:tr w14:paraId="76EF5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25CD623">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35B6D73">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14CE707">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8BA6E0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93A764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FFDA25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75EEE9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30839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D4A0A7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9EC988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11A0BF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AB196A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66EDFAB">
            <w:pPr>
              <w:widowControl/>
              <w:jc w:val="left"/>
              <w:rPr>
                <w:rFonts w:ascii="宋体" w:hAnsi="宋体"/>
                <w:color w:val="auto"/>
                <w:szCs w:val="44"/>
                <w:highlight w:val="none"/>
              </w:rPr>
            </w:pPr>
          </w:p>
        </w:tc>
      </w:tr>
      <w:tr w14:paraId="6E0A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6291B2A7">
            <w:pPr>
              <w:jc w:val="center"/>
              <w:rPr>
                <w:rFonts w:ascii="黑体" w:hAnsi="宋体" w:eastAsia="黑体"/>
                <w:color w:val="auto"/>
                <w:szCs w:val="44"/>
                <w:highlight w:val="none"/>
              </w:rPr>
            </w:pPr>
            <w:r>
              <w:rPr>
                <w:rFonts w:hint="eastAsia" w:ascii="黑体" w:hAnsi="宋体" w:eastAsia="黑体"/>
                <w:color w:val="auto"/>
                <w:szCs w:val="44"/>
                <w:highlight w:val="none"/>
              </w:rPr>
              <w:t>4</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259C2852">
            <w:pPr>
              <w:jc w:val="center"/>
              <w:rPr>
                <w:rFonts w:ascii="宋体" w:hAnsi="宋体"/>
                <w:color w:val="auto"/>
                <w:szCs w:val="44"/>
                <w:highlight w:val="none"/>
              </w:rPr>
            </w:pPr>
            <w:r>
              <w:rPr>
                <w:rFonts w:hint="eastAsia" w:ascii="宋体" w:hAnsi="宋体"/>
                <w:color w:val="auto"/>
                <w:szCs w:val="21"/>
                <w:highlight w:val="none"/>
              </w:rPr>
              <w:t>施工准备与资源配置计划</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03A9E371">
            <w:pPr>
              <w:rPr>
                <w:rFonts w:ascii="宋体" w:hAnsi="宋体"/>
                <w:bCs/>
                <w:color w:val="auto"/>
                <w:szCs w:val="21"/>
                <w:highlight w:val="none"/>
              </w:rPr>
            </w:pP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4562DE4F">
            <w:pPr>
              <w:jc w:val="center"/>
              <w:rPr>
                <w:rFonts w:ascii="宋体" w:hAnsi="宋体"/>
                <w:color w:val="auto"/>
                <w:szCs w:val="44"/>
                <w:highlight w:val="none"/>
              </w:rPr>
            </w:pPr>
            <w:r>
              <w:rPr>
                <w:rFonts w:hint="eastAsia" w:ascii="宋体" w:hAnsi="宋体"/>
                <w:bCs/>
                <w:color w:val="auto"/>
                <w:szCs w:val="21"/>
                <w:highlight w:val="none"/>
              </w:rPr>
              <w:t>分</w:t>
            </w: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7EC4C151">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57FBE6BB">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187521D">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4FF2F373">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F811D9F">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69730B74">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117D13E5">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9E6368A">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404F952">
            <w:pPr>
              <w:jc w:val="center"/>
              <w:rPr>
                <w:rFonts w:ascii="宋体" w:hAnsi="宋体"/>
                <w:color w:val="auto"/>
                <w:szCs w:val="44"/>
                <w:highlight w:val="none"/>
              </w:rPr>
            </w:pPr>
          </w:p>
        </w:tc>
      </w:tr>
      <w:tr w14:paraId="517A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68260F6">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370CB7E">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880D46C">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6BF154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C2FFEF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9BD880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401566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9B3F24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B047C31">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63D2CC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756BAA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633EAB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9DACE7C">
            <w:pPr>
              <w:widowControl/>
              <w:jc w:val="left"/>
              <w:rPr>
                <w:rFonts w:ascii="宋体" w:hAnsi="宋体"/>
                <w:color w:val="auto"/>
                <w:szCs w:val="44"/>
                <w:highlight w:val="none"/>
              </w:rPr>
            </w:pPr>
          </w:p>
        </w:tc>
      </w:tr>
      <w:tr w14:paraId="4852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7338479">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80A041D">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1D24B7D9">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555F47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77531A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C5B1F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93DB6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EF9BF5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4EEBDC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D47465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F90DDC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5C6FA6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E68E9A">
            <w:pPr>
              <w:widowControl/>
              <w:jc w:val="left"/>
              <w:rPr>
                <w:rFonts w:ascii="宋体" w:hAnsi="宋体"/>
                <w:color w:val="auto"/>
                <w:szCs w:val="44"/>
                <w:highlight w:val="none"/>
              </w:rPr>
            </w:pPr>
          </w:p>
        </w:tc>
      </w:tr>
      <w:tr w14:paraId="36C0C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07E5F64">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F6E9968">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AF902F3">
            <w:pPr>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A04B93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AEB171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D1EB6E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56F74D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0A6079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FFF3E1">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5A6A48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BA121B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78D8CD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940298">
            <w:pPr>
              <w:widowControl/>
              <w:jc w:val="left"/>
              <w:rPr>
                <w:rFonts w:ascii="宋体" w:hAnsi="宋体"/>
                <w:color w:val="auto"/>
                <w:szCs w:val="44"/>
                <w:highlight w:val="none"/>
              </w:rPr>
            </w:pPr>
          </w:p>
        </w:tc>
      </w:tr>
    </w:tbl>
    <w:p w14:paraId="76E845DE">
      <w:pPr>
        <w:rPr>
          <w:rFonts w:hint="eastAsia" w:ascii="Times New Roman" w:hAnsi="Times New Roman"/>
          <w:color w:val="auto"/>
          <w:szCs w:val="24"/>
          <w:highlight w:val="none"/>
        </w:rPr>
      </w:pPr>
    </w:p>
    <w:p w14:paraId="572EB687">
      <w:pPr>
        <w:rPr>
          <w:color w:val="auto"/>
          <w:highlight w:val="none"/>
        </w:rPr>
      </w:pPr>
    </w:p>
    <w:p w14:paraId="2ED1583B">
      <w:pPr>
        <w:rPr>
          <w:color w:val="auto"/>
          <w:highlight w:val="none"/>
        </w:rPr>
      </w:pPr>
    </w:p>
    <w:p w14:paraId="5D55C98F">
      <w:pPr>
        <w:rPr>
          <w:color w:val="auto"/>
          <w:highlight w:val="none"/>
        </w:rPr>
      </w:pPr>
    </w:p>
    <w:p w14:paraId="5ECB95BB">
      <w:pPr>
        <w:rPr>
          <w:color w:val="auto"/>
          <w:highlight w:val="none"/>
        </w:rPr>
      </w:pPr>
    </w:p>
    <w:p w14:paraId="2E2421E5">
      <w:pPr>
        <w:rPr>
          <w:color w:val="auto"/>
          <w:highlight w:val="none"/>
        </w:rPr>
      </w:pPr>
    </w:p>
    <w:p w14:paraId="68BB1A4A">
      <w:pPr>
        <w:rPr>
          <w:color w:val="auto"/>
          <w:highlight w:val="none"/>
        </w:rPr>
      </w:pPr>
    </w:p>
    <w:p w14:paraId="37096FDC">
      <w:pPr>
        <w:rPr>
          <w:color w:val="auto"/>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4E76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435957C8">
            <w:pPr>
              <w:jc w:val="center"/>
              <w:rPr>
                <w:rFonts w:ascii="宋体" w:hAnsi="宋体"/>
                <w:color w:val="auto"/>
                <w:szCs w:val="44"/>
                <w:highlight w:val="none"/>
              </w:rPr>
            </w:pPr>
            <w:r>
              <w:rPr>
                <w:rFonts w:hint="eastAsia" w:ascii="宋体" w:hAnsi="宋体"/>
                <w:color w:val="auto"/>
                <w:szCs w:val="44"/>
                <w:highlight w:val="none"/>
              </w:rPr>
              <w:t>序号</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60C0CE2B">
            <w:pPr>
              <w:jc w:val="center"/>
              <w:rPr>
                <w:rFonts w:ascii="宋体" w:hAnsi="宋体"/>
                <w:color w:val="auto"/>
                <w:szCs w:val="44"/>
                <w:highlight w:val="none"/>
              </w:rPr>
            </w:pPr>
            <w:r>
              <w:rPr>
                <w:rFonts w:hint="eastAsia" w:ascii="宋体" w:hAnsi="宋体"/>
                <w:color w:val="auto"/>
                <w:szCs w:val="44"/>
                <w:highlight w:val="none"/>
              </w:rPr>
              <w:t>评分项目</w:t>
            </w:r>
          </w:p>
        </w:tc>
        <w:tc>
          <w:tcPr>
            <w:tcW w:w="3600" w:type="dxa"/>
            <w:vMerge w:val="restart"/>
            <w:tcBorders>
              <w:top w:val="single" w:color="auto" w:sz="4" w:space="0"/>
              <w:left w:val="single" w:color="auto" w:sz="4" w:space="0"/>
              <w:bottom w:val="single" w:color="auto" w:sz="4" w:space="0"/>
              <w:right w:val="single" w:color="auto" w:sz="4" w:space="0"/>
            </w:tcBorders>
            <w:noWrap w:val="0"/>
            <w:vAlign w:val="center"/>
          </w:tcPr>
          <w:p w14:paraId="11EE1DE8">
            <w:pPr>
              <w:jc w:val="center"/>
              <w:rPr>
                <w:rFonts w:ascii="宋体" w:hAnsi="宋体"/>
                <w:color w:val="auto"/>
                <w:szCs w:val="44"/>
                <w:highlight w:val="none"/>
              </w:rPr>
            </w:pPr>
            <w:r>
              <w:rPr>
                <w:rFonts w:hint="eastAsia" w:ascii="宋体" w:hAnsi="宋体"/>
                <w:color w:val="auto"/>
                <w:szCs w:val="44"/>
                <w:highlight w:val="none"/>
              </w:rPr>
              <w:t>评分标准</w:t>
            </w: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405BF9E5">
            <w:pPr>
              <w:jc w:val="center"/>
              <w:rPr>
                <w:rFonts w:ascii="宋体" w:hAnsi="宋体"/>
                <w:color w:val="auto"/>
                <w:szCs w:val="44"/>
                <w:highlight w:val="none"/>
              </w:rPr>
            </w:pPr>
            <w:r>
              <w:rPr>
                <w:rFonts w:hint="eastAsia" w:ascii="宋体" w:hAnsi="宋体"/>
                <w:color w:val="auto"/>
                <w:szCs w:val="44"/>
                <w:highlight w:val="none"/>
              </w:rPr>
              <w:t>标准分</w:t>
            </w:r>
          </w:p>
        </w:tc>
        <w:tc>
          <w:tcPr>
            <w:tcW w:w="7179" w:type="dxa"/>
            <w:gridSpan w:val="9"/>
            <w:tcBorders>
              <w:top w:val="single" w:color="auto" w:sz="4" w:space="0"/>
              <w:left w:val="single" w:color="auto" w:sz="4" w:space="0"/>
              <w:bottom w:val="single" w:color="auto" w:sz="4" w:space="0"/>
              <w:right w:val="single" w:color="auto" w:sz="4" w:space="0"/>
            </w:tcBorders>
            <w:noWrap w:val="0"/>
            <w:vAlign w:val="center"/>
          </w:tcPr>
          <w:p w14:paraId="45F82706">
            <w:pPr>
              <w:jc w:val="center"/>
              <w:rPr>
                <w:rFonts w:ascii="宋体" w:hAnsi="宋体"/>
                <w:color w:val="auto"/>
                <w:szCs w:val="44"/>
                <w:highlight w:val="none"/>
              </w:rPr>
            </w:pPr>
            <w:r>
              <w:rPr>
                <w:rFonts w:hint="eastAsia" w:ascii="宋体" w:hAnsi="宋体"/>
                <w:color w:val="auto"/>
                <w:szCs w:val="44"/>
                <w:highlight w:val="none"/>
              </w:rPr>
              <w:t>投标人名称或暗标编号及评审得分</w:t>
            </w:r>
          </w:p>
        </w:tc>
      </w:tr>
      <w:tr w14:paraId="59F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880AE6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84E90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BCB616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10122AB">
            <w:pPr>
              <w:widowControl/>
              <w:jc w:val="left"/>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6B13E3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59B3421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30D0448">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4E2CD375">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0B83BC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29B8C76">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2561CAB0">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5715DF37">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1A04534">
            <w:pPr>
              <w:jc w:val="center"/>
              <w:rPr>
                <w:rFonts w:ascii="宋体" w:hAnsi="宋体"/>
                <w:color w:val="auto"/>
                <w:szCs w:val="44"/>
                <w:highlight w:val="none"/>
              </w:rPr>
            </w:pPr>
          </w:p>
        </w:tc>
      </w:tr>
      <w:tr w14:paraId="2AE32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54EC9B4D">
            <w:pPr>
              <w:jc w:val="center"/>
              <w:rPr>
                <w:rFonts w:ascii="黑体" w:hAnsi="宋体" w:eastAsia="黑体"/>
                <w:color w:val="auto"/>
                <w:szCs w:val="44"/>
                <w:highlight w:val="none"/>
              </w:rPr>
            </w:pPr>
            <w:r>
              <w:rPr>
                <w:rFonts w:hint="eastAsia" w:ascii="黑体" w:hAnsi="宋体" w:eastAsia="黑体"/>
                <w:color w:val="auto"/>
                <w:szCs w:val="44"/>
                <w:highlight w:val="none"/>
              </w:rPr>
              <w:t>5</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15A88248">
            <w:pPr>
              <w:jc w:val="center"/>
              <w:rPr>
                <w:rFonts w:ascii="宋体" w:hAnsi="宋体"/>
                <w:color w:val="auto"/>
                <w:szCs w:val="44"/>
                <w:highlight w:val="none"/>
              </w:rPr>
            </w:pPr>
            <w:r>
              <w:rPr>
                <w:rFonts w:hint="eastAsia" w:ascii="宋体" w:hAnsi="宋体"/>
                <w:color w:val="auto"/>
                <w:szCs w:val="21"/>
                <w:highlight w:val="none"/>
              </w:rPr>
              <w:t>主要施工方案</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AD13CA2">
            <w:pPr>
              <w:rPr>
                <w:rFonts w:ascii="宋体" w:hAnsi="宋体"/>
                <w:bCs/>
                <w:color w:val="auto"/>
                <w:szCs w:val="21"/>
                <w:highlight w:val="none"/>
              </w:rPr>
            </w:pP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4A16E70C">
            <w:pPr>
              <w:jc w:val="center"/>
              <w:rPr>
                <w:rFonts w:ascii="宋体" w:hAnsi="宋体"/>
                <w:color w:val="auto"/>
                <w:szCs w:val="44"/>
                <w:highlight w:val="none"/>
              </w:rPr>
            </w:pPr>
            <w:r>
              <w:rPr>
                <w:rFonts w:hint="eastAsia" w:ascii="宋体" w:hAnsi="宋体"/>
                <w:bCs/>
                <w:color w:val="auto"/>
                <w:szCs w:val="21"/>
                <w:highlight w:val="none"/>
              </w:rPr>
              <w:t>分</w:t>
            </w: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6FF4E0F0">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548BBB76">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790E4ECB">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1712B2F7">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70422ED5">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5B68051">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4409E06C">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4FAE612">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7F906A73">
            <w:pPr>
              <w:jc w:val="center"/>
              <w:rPr>
                <w:rFonts w:ascii="宋体" w:hAnsi="宋体"/>
                <w:color w:val="auto"/>
                <w:szCs w:val="44"/>
                <w:highlight w:val="none"/>
              </w:rPr>
            </w:pPr>
          </w:p>
        </w:tc>
      </w:tr>
      <w:tr w14:paraId="3BD35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1E1B287">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F14A162">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6EDB12D">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05B2FB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EC009D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A417BB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3CAD81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9DF6D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340235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7B6E6D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563ED2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663DA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39347ED">
            <w:pPr>
              <w:widowControl/>
              <w:jc w:val="left"/>
              <w:rPr>
                <w:rFonts w:ascii="宋体" w:hAnsi="宋体"/>
                <w:color w:val="auto"/>
                <w:szCs w:val="44"/>
                <w:highlight w:val="none"/>
              </w:rPr>
            </w:pPr>
          </w:p>
        </w:tc>
      </w:tr>
      <w:tr w14:paraId="4CB73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C223D9E">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82F5CFE">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7645107D">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98E1C3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8DC24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7E191C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1FF8B5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ADC1AB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F78942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9AC9CF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79F39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115E8F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0E0FBB8">
            <w:pPr>
              <w:widowControl/>
              <w:jc w:val="left"/>
              <w:rPr>
                <w:rFonts w:ascii="宋体" w:hAnsi="宋体"/>
                <w:color w:val="auto"/>
                <w:szCs w:val="44"/>
                <w:highlight w:val="none"/>
              </w:rPr>
            </w:pPr>
          </w:p>
        </w:tc>
      </w:tr>
      <w:tr w14:paraId="714D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95CE7B9">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DCEEA76">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B274577">
            <w:pPr>
              <w:rPr>
                <w:rFonts w:ascii="宋体" w:hAnsi="宋体"/>
                <w:bCs/>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5DD7BE">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6843D1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13F1EB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51DDA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34D3F47">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FD48A5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90C8A8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12332D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3DCC38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C3C45F7">
            <w:pPr>
              <w:widowControl/>
              <w:jc w:val="left"/>
              <w:rPr>
                <w:rFonts w:ascii="宋体" w:hAnsi="宋体"/>
                <w:color w:val="auto"/>
                <w:szCs w:val="44"/>
                <w:highlight w:val="none"/>
              </w:rPr>
            </w:pPr>
          </w:p>
        </w:tc>
      </w:tr>
      <w:tr w14:paraId="05D2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380C5D0D">
            <w:pPr>
              <w:jc w:val="center"/>
              <w:rPr>
                <w:rFonts w:ascii="黑体" w:hAnsi="宋体" w:eastAsia="黑体"/>
                <w:color w:val="auto"/>
                <w:szCs w:val="44"/>
                <w:highlight w:val="none"/>
              </w:rPr>
            </w:pPr>
            <w:r>
              <w:rPr>
                <w:rFonts w:hint="eastAsia" w:ascii="黑体" w:hAnsi="宋体" w:eastAsia="黑体"/>
                <w:color w:val="auto"/>
                <w:szCs w:val="44"/>
                <w:highlight w:val="none"/>
              </w:rPr>
              <w:t>6</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45537D80">
            <w:pPr>
              <w:jc w:val="center"/>
              <w:rPr>
                <w:rFonts w:ascii="宋体" w:hAnsi="宋体"/>
                <w:color w:val="auto"/>
                <w:szCs w:val="44"/>
                <w:highlight w:val="none"/>
              </w:rPr>
            </w:pPr>
            <w:r>
              <w:rPr>
                <w:rFonts w:hint="eastAsia" w:ascii="宋体" w:hAnsi="宋体"/>
                <w:color w:val="auto"/>
                <w:szCs w:val="21"/>
                <w:highlight w:val="none"/>
              </w:rPr>
              <w:t>施工现场平面布置</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5D12522">
            <w:pPr>
              <w:rPr>
                <w:rFonts w:ascii="宋体" w:hAnsi="宋体"/>
                <w:color w:val="auto"/>
                <w:szCs w:val="44"/>
                <w:highlight w:val="none"/>
              </w:rPr>
            </w:pP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1BB6638B">
            <w:pPr>
              <w:jc w:val="center"/>
              <w:rPr>
                <w:rFonts w:ascii="宋体" w:hAnsi="宋体"/>
                <w:color w:val="auto"/>
                <w:szCs w:val="44"/>
                <w:highlight w:val="none"/>
              </w:rPr>
            </w:pPr>
            <w:r>
              <w:rPr>
                <w:rFonts w:hint="eastAsia" w:ascii="宋体" w:hAnsi="宋体"/>
                <w:bCs/>
                <w:color w:val="auto"/>
                <w:szCs w:val="21"/>
                <w:highlight w:val="none"/>
              </w:rPr>
              <w:t>分</w:t>
            </w: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469D8BA7">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7C82F6D">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0FDD86B8">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0D61D0E4">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118C1A5">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6ED2B74F">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3C7E76BD">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766B9765">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7E51D264">
            <w:pPr>
              <w:jc w:val="center"/>
              <w:rPr>
                <w:rFonts w:ascii="宋体" w:hAnsi="宋体"/>
                <w:color w:val="auto"/>
                <w:szCs w:val="44"/>
                <w:highlight w:val="none"/>
              </w:rPr>
            </w:pPr>
          </w:p>
        </w:tc>
      </w:tr>
      <w:tr w14:paraId="283E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8BB0F7A">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F017E67">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54FD66E7">
            <w:pPr>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F45801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D11C4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020EAC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C25122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18FED7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99B49E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F0269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0C5B26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40D2E7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E5CB742">
            <w:pPr>
              <w:widowControl/>
              <w:jc w:val="left"/>
              <w:rPr>
                <w:rFonts w:ascii="宋体" w:hAnsi="宋体"/>
                <w:color w:val="auto"/>
                <w:szCs w:val="44"/>
                <w:highlight w:val="none"/>
              </w:rPr>
            </w:pPr>
          </w:p>
        </w:tc>
      </w:tr>
      <w:tr w14:paraId="50A1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786A8EE">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32DC242">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58B8960E">
            <w:pPr>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C83E6E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044F6E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498C0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FA4B1A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3E1C3A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7E95B4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E43A38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1F38F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CA840F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397D912">
            <w:pPr>
              <w:widowControl/>
              <w:jc w:val="left"/>
              <w:rPr>
                <w:rFonts w:ascii="宋体" w:hAnsi="宋体"/>
                <w:color w:val="auto"/>
                <w:szCs w:val="44"/>
                <w:highlight w:val="none"/>
              </w:rPr>
            </w:pPr>
          </w:p>
        </w:tc>
      </w:tr>
      <w:tr w14:paraId="3CE1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7CBA133">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A2EC29A">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AE6BEF2">
            <w:pPr>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B3760C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E4D8328">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51DA48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ECD4A1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103738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FE427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04422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A246C4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9230C3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8CCC7A3">
            <w:pPr>
              <w:widowControl/>
              <w:jc w:val="left"/>
              <w:rPr>
                <w:rFonts w:ascii="宋体" w:hAnsi="宋体"/>
                <w:color w:val="auto"/>
                <w:szCs w:val="44"/>
                <w:highlight w:val="none"/>
              </w:rPr>
            </w:pPr>
          </w:p>
        </w:tc>
      </w:tr>
      <w:tr w14:paraId="7834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14:paraId="79F48ADF">
            <w:pPr>
              <w:jc w:val="center"/>
              <w:rPr>
                <w:rFonts w:ascii="黑体" w:hAnsi="宋体" w:eastAsia="黑体"/>
                <w:color w:val="auto"/>
                <w:szCs w:val="44"/>
                <w:highlight w:val="none"/>
              </w:rPr>
            </w:pPr>
            <w:r>
              <w:rPr>
                <w:rFonts w:hint="eastAsia" w:ascii="黑体" w:hAnsi="宋体" w:eastAsia="黑体"/>
                <w:color w:val="auto"/>
                <w:szCs w:val="44"/>
                <w:highlight w:val="none"/>
              </w:rPr>
              <w:t>7</w:t>
            </w:r>
          </w:p>
        </w:tc>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506CE8A8">
            <w:pPr>
              <w:jc w:val="center"/>
              <w:rPr>
                <w:rFonts w:ascii="宋体" w:hAnsi="宋体"/>
                <w:color w:val="auto"/>
                <w:szCs w:val="44"/>
                <w:highlight w:val="none"/>
              </w:rPr>
            </w:pPr>
            <w:r>
              <w:rPr>
                <w:rFonts w:hint="eastAsia" w:ascii="宋体" w:hAnsi="宋体"/>
                <w:color w:val="auto"/>
                <w:szCs w:val="21"/>
                <w:highlight w:val="none"/>
              </w:rPr>
              <w:t>主要施工管理计划</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5D680E4C">
            <w:pPr>
              <w:rPr>
                <w:rFonts w:ascii="宋体" w:hAnsi="宋体"/>
                <w:color w:val="auto"/>
                <w:szCs w:val="44"/>
                <w:highlight w:val="none"/>
              </w:rPr>
            </w:pP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1FD47324">
            <w:pPr>
              <w:jc w:val="center"/>
              <w:rPr>
                <w:rFonts w:ascii="宋体" w:hAnsi="宋体"/>
                <w:color w:val="auto"/>
                <w:szCs w:val="44"/>
                <w:highlight w:val="none"/>
              </w:rPr>
            </w:pPr>
            <w:r>
              <w:rPr>
                <w:rFonts w:hint="eastAsia" w:ascii="宋体" w:hAnsi="宋体"/>
                <w:bCs/>
                <w:color w:val="auto"/>
                <w:szCs w:val="21"/>
                <w:highlight w:val="none"/>
              </w:rPr>
              <w:t>分</w:t>
            </w: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1CE29B83">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5B1EF511">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454F7DDA">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5A1C7FAD">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5E8B1652">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56A1B274">
            <w:pPr>
              <w:jc w:val="center"/>
              <w:rPr>
                <w:rFonts w:ascii="宋体" w:hAnsi="宋体"/>
                <w:color w:val="auto"/>
                <w:szCs w:val="44"/>
                <w:highlight w:val="none"/>
              </w:rPr>
            </w:pPr>
          </w:p>
        </w:tc>
        <w:tc>
          <w:tcPr>
            <w:tcW w:w="797" w:type="dxa"/>
            <w:vMerge w:val="restart"/>
            <w:tcBorders>
              <w:top w:val="single" w:color="auto" w:sz="4" w:space="0"/>
              <w:left w:val="single" w:color="auto" w:sz="4" w:space="0"/>
              <w:bottom w:val="single" w:color="auto" w:sz="4" w:space="0"/>
              <w:right w:val="single" w:color="auto" w:sz="4" w:space="0"/>
            </w:tcBorders>
            <w:noWrap w:val="0"/>
            <w:vAlign w:val="center"/>
          </w:tcPr>
          <w:p w14:paraId="40D90330">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12B9302F">
            <w:pPr>
              <w:jc w:val="center"/>
              <w:rPr>
                <w:rFonts w:ascii="宋体" w:hAnsi="宋体"/>
                <w:color w:val="auto"/>
                <w:szCs w:val="44"/>
                <w:highlight w:val="none"/>
              </w:rPr>
            </w:pPr>
          </w:p>
        </w:tc>
        <w:tc>
          <w:tcPr>
            <w:tcW w:w="798" w:type="dxa"/>
            <w:vMerge w:val="restart"/>
            <w:tcBorders>
              <w:top w:val="single" w:color="auto" w:sz="4" w:space="0"/>
              <w:left w:val="single" w:color="auto" w:sz="4" w:space="0"/>
              <w:bottom w:val="single" w:color="auto" w:sz="4" w:space="0"/>
              <w:right w:val="single" w:color="auto" w:sz="4" w:space="0"/>
            </w:tcBorders>
            <w:noWrap w:val="0"/>
            <w:vAlign w:val="center"/>
          </w:tcPr>
          <w:p w14:paraId="5DF19EA2">
            <w:pPr>
              <w:jc w:val="center"/>
              <w:rPr>
                <w:rFonts w:ascii="宋体" w:hAnsi="宋体"/>
                <w:color w:val="auto"/>
                <w:szCs w:val="44"/>
                <w:highlight w:val="none"/>
              </w:rPr>
            </w:pPr>
          </w:p>
        </w:tc>
      </w:tr>
      <w:tr w14:paraId="5A5A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F38833">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C893123">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B5A7551">
            <w:pPr>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F100B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2B96B71">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C635A92">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99E2234">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F470F3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C62FF5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608F85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C8B19A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C690AD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A79EEC0">
            <w:pPr>
              <w:widowControl/>
              <w:jc w:val="left"/>
              <w:rPr>
                <w:rFonts w:ascii="宋体" w:hAnsi="宋体"/>
                <w:color w:val="auto"/>
                <w:szCs w:val="44"/>
                <w:highlight w:val="none"/>
              </w:rPr>
            </w:pPr>
          </w:p>
        </w:tc>
      </w:tr>
      <w:tr w14:paraId="6F48E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87B26AC">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0D28BE6">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02FDA5DB">
            <w:pPr>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2BE431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834910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3A4D06">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CD36A4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D14DF5">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F963A2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E3265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00AF559">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2621AD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05A3C11">
            <w:pPr>
              <w:widowControl/>
              <w:jc w:val="left"/>
              <w:rPr>
                <w:rFonts w:ascii="宋体" w:hAnsi="宋体"/>
                <w:color w:val="auto"/>
                <w:szCs w:val="44"/>
                <w:highlight w:val="none"/>
              </w:rPr>
            </w:pPr>
          </w:p>
        </w:tc>
      </w:tr>
      <w:tr w14:paraId="00B6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FC70F28">
            <w:pPr>
              <w:widowControl/>
              <w:jc w:val="left"/>
              <w:rPr>
                <w:rFonts w:ascii="黑体" w:hAnsi="宋体" w:eastAsia="黑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BA6588">
            <w:pPr>
              <w:widowControl/>
              <w:jc w:val="left"/>
              <w:rPr>
                <w:rFonts w:ascii="宋体" w:hAnsi="宋体"/>
                <w:color w:val="auto"/>
                <w:szCs w:val="44"/>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D9FCACA">
            <w:pPr>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629C41F">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E01DE5B">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1DCB87D">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32DF723">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4AACA6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ACBBC80">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A4DB54A">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DD8DC0C">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6EAF021">
            <w:pPr>
              <w:widowControl/>
              <w:jc w:val="left"/>
              <w:rPr>
                <w:rFonts w:ascii="宋体" w:hAnsi="宋体"/>
                <w:color w:val="auto"/>
                <w:szCs w:val="4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6CA6850">
            <w:pPr>
              <w:widowControl/>
              <w:jc w:val="left"/>
              <w:rPr>
                <w:rFonts w:ascii="宋体" w:hAnsi="宋体"/>
                <w:color w:val="auto"/>
                <w:szCs w:val="44"/>
                <w:highlight w:val="none"/>
              </w:rPr>
            </w:pPr>
          </w:p>
        </w:tc>
      </w:tr>
      <w:tr w14:paraId="5DB8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588" w:type="dxa"/>
            <w:gridSpan w:val="4"/>
            <w:tcBorders>
              <w:top w:val="single" w:color="auto" w:sz="4" w:space="0"/>
              <w:left w:val="single" w:color="auto" w:sz="4" w:space="0"/>
              <w:bottom w:val="single" w:color="auto" w:sz="4" w:space="0"/>
              <w:right w:val="single" w:color="auto" w:sz="4" w:space="0"/>
            </w:tcBorders>
            <w:noWrap w:val="0"/>
            <w:vAlign w:val="center"/>
          </w:tcPr>
          <w:p w14:paraId="2188B08C">
            <w:pPr>
              <w:jc w:val="center"/>
              <w:rPr>
                <w:rFonts w:ascii="宋体" w:hAnsi="宋体"/>
                <w:color w:val="auto"/>
                <w:szCs w:val="44"/>
                <w:highlight w:val="none"/>
              </w:rPr>
            </w:pPr>
            <w:r>
              <w:rPr>
                <w:rFonts w:hint="eastAsia" w:ascii="宋体" w:hAnsi="宋体"/>
                <w:color w:val="auto"/>
                <w:szCs w:val="44"/>
                <w:highlight w:val="none"/>
              </w:rPr>
              <w:t>施工组织设计得分合计B（满分   分）</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7FFA1CA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03E6865E">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236522E">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45E7A444">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144E4289">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2BDED772">
            <w:pPr>
              <w:jc w:val="center"/>
              <w:rPr>
                <w:rFonts w:ascii="宋体" w:hAnsi="宋体"/>
                <w:color w:val="auto"/>
                <w:szCs w:val="4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F49CE64">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7FCC88C0">
            <w:pPr>
              <w:jc w:val="center"/>
              <w:rPr>
                <w:rFonts w:ascii="宋体" w:hAnsi="宋体"/>
                <w:color w:val="auto"/>
                <w:szCs w:val="44"/>
                <w:highlight w:val="none"/>
              </w:rPr>
            </w:pPr>
          </w:p>
        </w:tc>
        <w:tc>
          <w:tcPr>
            <w:tcW w:w="798" w:type="dxa"/>
            <w:tcBorders>
              <w:top w:val="single" w:color="auto" w:sz="4" w:space="0"/>
              <w:left w:val="single" w:color="auto" w:sz="4" w:space="0"/>
              <w:bottom w:val="single" w:color="auto" w:sz="4" w:space="0"/>
              <w:right w:val="single" w:color="auto" w:sz="4" w:space="0"/>
            </w:tcBorders>
            <w:noWrap w:val="0"/>
            <w:vAlign w:val="center"/>
          </w:tcPr>
          <w:p w14:paraId="6B6DA0F9">
            <w:pPr>
              <w:jc w:val="center"/>
              <w:rPr>
                <w:rFonts w:ascii="宋体" w:hAnsi="宋体"/>
                <w:color w:val="auto"/>
                <w:szCs w:val="44"/>
                <w:highlight w:val="none"/>
              </w:rPr>
            </w:pPr>
          </w:p>
        </w:tc>
      </w:tr>
    </w:tbl>
    <w:p w14:paraId="3743BA0D">
      <w:pPr>
        <w:rPr>
          <w:rFonts w:ascii="Times New Roman" w:hAnsi="Times New Roman"/>
          <w:color w:val="auto"/>
          <w:highlight w:val="none"/>
        </w:rPr>
      </w:pPr>
    </w:p>
    <w:p w14:paraId="493824BB">
      <w:pPr>
        <w:rPr>
          <w:color w:val="auto"/>
          <w:highlight w:val="none"/>
        </w:rPr>
      </w:pPr>
    </w:p>
    <w:p w14:paraId="341508BA">
      <w:pPr>
        <w:rPr>
          <w:color w:val="auto"/>
          <w:highlight w:val="none"/>
        </w:rPr>
      </w:pPr>
    </w:p>
    <w:p w14:paraId="6B0F3378">
      <w:pPr>
        <w:rPr>
          <w:color w:val="auto"/>
          <w:highlight w:val="none"/>
        </w:rPr>
      </w:pPr>
      <w:r>
        <w:rPr>
          <w:rFonts w:hint="eastAsia"/>
          <w:color w:val="auto"/>
          <w:highlight w:val="none"/>
        </w:rPr>
        <w:t>评标委员会成员签名：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　　</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　</w:t>
      </w:r>
      <w:r>
        <w:rPr>
          <w:color w:val="auto"/>
          <w:highlight w:val="none"/>
        </w:rPr>
        <w:t xml:space="preserve">  </w:t>
      </w:r>
      <w:r>
        <w:rPr>
          <w:rFonts w:hint="eastAsia"/>
          <w:color w:val="auto"/>
          <w:highlight w:val="none"/>
        </w:rPr>
        <w:t>日</w:t>
      </w:r>
    </w:p>
    <w:p w14:paraId="43266D42">
      <w:pPr>
        <w:rPr>
          <w:color w:val="auto"/>
          <w:highlight w:val="none"/>
        </w:rPr>
      </w:pPr>
    </w:p>
    <w:p w14:paraId="645BB399">
      <w:pPr>
        <w:rPr>
          <w:color w:val="auto"/>
          <w:highlight w:val="none"/>
        </w:rPr>
      </w:pPr>
    </w:p>
    <w:p w14:paraId="1FC26B46">
      <w:pPr>
        <w:rPr>
          <w:color w:val="auto"/>
          <w:highlight w:val="none"/>
        </w:rPr>
      </w:pPr>
    </w:p>
    <w:p w14:paraId="32CBC547">
      <w:pPr>
        <w:rPr>
          <w:color w:val="auto"/>
          <w:highlight w:val="none"/>
        </w:rPr>
      </w:pPr>
    </w:p>
    <w:p w14:paraId="28E6D170">
      <w:pPr>
        <w:rPr>
          <w:color w:val="auto"/>
          <w:highlight w:val="none"/>
        </w:rPr>
      </w:pPr>
    </w:p>
    <w:p w14:paraId="5AA3DC4C">
      <w:pPr>
        <w:pStyle w:val="33"/>
        <w:rPr>
          <w:rFonts w:ascii="黑体"/>
          <w:color w:val="auto"/>
          <w:highlight w:val="none"/>
        </w:rPr>
      </w:pPr>
      <w:bookmarkStart w:id="771" w:name="_Toc7245"/>
      <w:bookmarkStart w:id="772" w:name="_Toc28531845"/>
      <w:r>
        <w:rPr>
          <w:rFonts w:hint="eastAsia"/>
          <w:color w:val="auto"/>
          <w:highlight w:val="none"/>
        </w:rPr>
        <w:t>附表</w:t>
      </w:r>
      <w:r>
        <w:rPr>
          <w:color w:val="auto"/>
          <w:highlight w:val="none"/>
        </w:rPr>
        <w:t>A-10</w:t>
      </w:r>
      <w:r>
        <w:rPr>
          <w:rFonts w:hint="eastAsia"/>
          <w:color w:val="auto"/>
          <w:highlight w:val="none"/>
        </w:rPr>
        <w:t>：项目管理机构评审记录表</w:t>
      </w:r>
      <w:bookmarkEnd w:id="771"/>
      <w:bookmarkEnd w:id="772"/>
    </w:p>
    <w:p w14:paraId="038B5D44">
      <w:pPr>
        <w:spacing w:after="240" w:afterLines="100"/>
        <w:jc w:val="center"/>
        <w:rPr>
          <w:rFonts w:hint="eastAsia" w:ascii="黑体" w:eastAsia="黑体"/>
          <w:color w:val="auto"/>
          <w:sz w:val="28"/>
          <w:szCs w:val="28"/>
          <w:highlight w:val="none"/>
        </w:rPr>
      </w:pPr>
      <w:r>
        <w:rPr>
          <w:rFonts w:hint="eastAsia" w:ascii="黑体" w:eastAsia="黑体"/>
          <w:color w:val="auto"/>
          <w:sz w:val="28"/>
          <w:szCs w:val="28"/>
          <w:highlight w:val="none"/>
        </w:rPr>
        <w:t>项目管理机构评审记录表</w:t>
      </w:r>
    </w:p>
    <w:p w14:paraId="00A4A53A">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087"/>
        <w:gridCol w:w="900"/>
        <w:gridCol w:w="3420"/>
        <w:gridCol w:w="720"/>
        <w:gridCol w:w="757"/>
        <w:gridCol w:w="758"/>
        <w:gridCol w:w="758"/>
        <w:gridCol w:w="757"/>
        <w:gridCol w:w="758"/>
        <w:gridCol w:w="758"/>
        <w:gridCol w:w="757"/>
        <w:gridCol w:w="758"/>
        <w:gridCol w:w="758"/>
      </w:tblGrid>
      <w:tr w14:paraId="17A2E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1" w:type="dxa"/>
            <w:vMerge w:val="restart"/>
            <w:tcBorders>
              <w:top w:val="single" w:color="auto" w:sz="4" w:space="0"/>
              <w:left w:val="single" w:color="auto" w:sz="4" w:space="0"/>
              <w:bottom w:val="single" w:color="auto" w:sz="4" w:space="0"/>
              <w:right w:val="single" w:color="auto" w:sz="4" w:space="0"/>
            </w:tcBorders>
            <w:noWrap w:val="0"/>
            <w:vAlign w:val="center"/>
          </w:tcPr>
          <w:p w14:paraId="37897A29">
            <w:pPr>
              <w:jc w:val="center"/>
              <w:rPr>
                <w:rFonts w:ascii="宋体" w:hAnsi="宋体"/>
                <w:color w:val="auto"/>
                <w:szCs w:val="44"/>
                <w:highlight w:val="none"/>
              </w:rPr>
            </w:pPr>
            <w:r>
              <w:rPr>
                <w:rFonts w:hint="eastAsia" w:ascii="宋体" w:hAnsi="宋体"/>
                <w:color w:val="auto"/>
                <w:szCs w:val="44"/>
                <w:highlight w:val="none"/>
              </w:rPr>
              <w:t>序号</w:t>
            </w:r>
          </w:p>
        </w:tc>
        <w:tc>
          <w:tcPr>
            <w:tcW w:w="1987"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455192C">
            <w:pPr>
              <w:jc w:val="center"/>
              <w:rPr>
                <w:rFonts w:ascii="宋体" w:hAnsi="宋体"/>
                <w:color w:val="auto"/>
                <w:szCs w:val="44"/>
                <w:highlight w:val="none"/>
              </w:rPr>
            </w:pPr>
            <w:r>
              <w:rPr>
                <w:rFonts w:hint="eastAsia" w:ascii="宋体" w:hAnsi="宋体"/>
                <w:color w:val="auto"/>
                <w:szCs w:val="44"/>
                <w:highlight w:val="none"/>
              </w:rPr>
              <w:t>评分项目</w:t>
            </w:r>
          </w:p>
        </w:tc>
        <w:tc>
          <w:tcPr>
            <w:tcW w:w="3420" w:type="dxa"/>
            <w:vMerge w:val="restart"/>
            <w:tcBorders>
              <w:top w:val="single" w:color="auto" w:sz="4" w:space="0"/>
              <w:left w:val="single" w:color="auto" w:sz="4" w:space="0"/>
              <w:bottom w:val="single" w:color="auto" w:sz="4" w:space="0"/>
              <w:right w:val="single" w:color="auto" w:sz="4" w:space="0"/>
            </w:tcBorders>
            <w:noWrap w:val="0"/>
            <w:vAlign w:val="center"/>
          </w:tcPr>
          <w:p w14:paraId="5FC2CBFC">
            <w:pPr>
              <w:jc w:val="center"/>
              <w:rPr>
                <w:rFonts w:ascii="宋体" w:hAnsi="宋体"/>
                <w:color w:val="auto"/>
                <w:szCs w:val="44"/>
                <w:highlight w:val="none"/>
              </w:rPr>
            </w:pPr>
            <w:r>
              <w:rPr>
                <w:rFonts w:hint="eastAsia" w:ascii="宋体" w:hAnsi="宋体"/>
                <w:color w:val="auto"/>
                <w:szCs w:val="44"/>
                <w:highlight w:val="none"/>
              </w:rPr>
              <w:t>评分标准</w:t>
            </w:r>
          </w:p>
        </w:tc>
        <w:tc>
          <w:tcPr>
            <w:tcW w:w="720" w:type="dxa"/>
            <w:vMerge w:val="restart"/>
            <w:tcBorders>
              <w:top w:val="single" w:color="auto" w:sz="4" w:space="0"/>
              <w:left w:val="single" w:color="auto" w:sz="4" w:space="0"/>
              <w:bottom w:val="single" w:color="auto" w:sz="4" w:space="0"/>
              <w:right w:val="single" w:color="auto" w:sz="4" w:space="0"/>
            </w:tcBorders>
            <w:noWrap w:val="0"/>
            <w:vAlign w:val="center"/>
          </w:tcPr>
          <w:p w14:paraId="43FF63ED">
            <w:pPr>
              <w:jc w:val="center"/>
              <w:rPr>
                <w:rFonts w:ascii="宋体" w:hAnsi="宋体"/>
                <w:color w:val="auto"/>
                <w:szCs w:val="44"/>
                <w:highlight w:val="none"/>
              </w:rPr>
            </w:pPr>
            <w:r>
              <w:rPr>
                <w:rFonts w:hint="eastAsia" w:ascii="宋体" w:hAnsi="宋体"/>
                <w:color w:val="auto"/>
                <w:szCs w:val="44"/>
                <w:highlight w:val="none"/>
              </w:rPr>
              <w:t>标准分</w:t>
            </w:r>
          </w:p>
        </w:tc>
        <w:tc>
          <w:tcPr>
            <w:tcW w:w="6819" w:type="dxa"/>
            <w:gridSpan w:val="9"/>
            <w:tcBorders>
              <w:top w:val="single" w:color="auto" w:sz="4" w:space="0"/>
              <w:left w:val="single" w:color="auto" w:sz="4" w:space="0"/>
              <w:bottom w:val="single" w:color="auto" w:sz="4" w:space="0"/>
              <w:right w:val="single" w:color="auto" w:sz="4" w:space="0"/>
            </w:tcBorders>
            <w:noWrap w:val="0"/>
            <w:vAlign w:val="center"/>
          </w:tcPr>
          <w:p w14:paraId="1B9296D6">
            <w:pPr>
              <w:jc w:val="center"/>
              <w:rPr>
                <w:rFonts w:ascii="宋体" w:hAnsi="宋体"/>
                <w:color w:val="auto"/>
                <w:szCs w:val="44"/>
                <w:highlight w:val="none"/>
              </w:rPr>
            </w:pPr>
            <w:r>
              <w:rPr>
                <w:rFonts w:hint="eastAsia" w:ascii="宋体" w:hAnsi="宋体"/>
                <w:color w:val="auto"/>
                <w:szCs w:val="44"/>
                <w:highlight w:val="none"/>
              </w:rPr>
              <w:t>投标人名称及得分</w:t>
            </w:r>
          </w:p>
        </w:tc>
      </w:tr>
      <w:tr w14:paraId="355D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948" w:type="dxa"/>
            <w:vMerge w:val="continue"/>
            <w:tcBorders>
              <w:top w:val="single" w:color="auto" w:sz="4" w:space="0"/>
              <w:left w:val="single" w:color="auto" w:sz="4" w:space="0"/>
              <w:bottom w:val="single" w:color="auto" w:sz="4" w:space="0"/>
              <w:right w:val="single" w:color="auto" w:sz="4" w:space="0"/>
            </w:tcBorders>
            <w:noWrap w:val="0"/>
            <w:vAlign w:val="center"/>
          </w:tcPr>
          <w:p w14:paraId="16677953">
            <w:pPr>
              <w:widowControl/>
              <w:jc w:val="left"/>
              <w:rPr>
                <w:rFonts w:ascii="宋体" w:hAnsi="宋体"/>
                <w:color w:val="auto"/>
                <w:szCs w:val="44"/>
                <w:highlight w:val="none"/>
              </w:rPr>
            </w:pPr>
          </w:p>
        </w:tc>
        <w:tc>
          <w:tcPr>
            <w:tcW w:w="288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42AF3A0">
            <w:pPr>
              <w:widowControl/>
              <w:jc w:val="left"/>
              <w:rPr>
                <w:rFonts w:ascii="宋体" w:hAnsi="宋体"/>
                <w:color w:val="auto"/>
                <w:szCs w:val="44"/>
                <w:highlight w:val="none"/>
              </w:rPr>
            </w:pPr>
          </w:p>
        </w:tc>
        <w:tc>
          <w:tcPr>
            <w:tcW w:w="3420" w:type="dxa"/>
            <w:vMerge w:val="continue"/>
            <w:tcBorders>
              <w:top w:val="single" w:color="auto" w:sz="4" w:space="0"/>
              <w:left w:val="single" w:color="auto" w:sz="4" w:space="0"/>
              <w:bottom w:val="single" w:color="auto" w:sz="4" w:space="0"/>
              <w:right w:val="single" w:color="auto" w:sz="4" w:space="0"/>
            </w:tcBorders>
            <w:noWrap w:val="0"/>
            <w:vAlign w:val="center"/>
          </w:tcPr>
          <w:p w14:paraId="068879F6">
            <w:pPr>
              <w:widowControl/>
              <w:jc w:val="left"/>
              <w:rPr>
                <w:rFonts w:ascii="宋体" w:hAnsi="宋体"/>
                <w:color w:val="auto"/>
                <w:szCs w:val="44"/>
                <w:highlight w:val="none"/>
              </w:rPr>
            </w:pPr>
          </w:p>
        </w:tc>
        <w:tc>
          <w:tcPr>
            <w:tcW w:w="720" w:type="dxa"/>
            <w:vMerge w:val="continue"/>
            <w:tcBorders>
              <w:top w:val="single" w:color="auto" w:sz="4" w:space="0"/>
              <w:left w:val="single" w:color="auto" w:sz="4" w:space="0"/>
              <w:bottom w:val="single" w:color="auto" w:sz="4" w:space="0"/>
              <w:right w:val="single" w:color="auto" w:sz="4" w:space="0"/>
            </w:tcBorders>
            <w:noWrap w:val="0"/>
            <w:vAlign w:val="center"/>
          </w:tcPr>
          <w:p w14:paraId="14CAA1EC">
            <w:pPr>
              <w:widowControl/>
              <w:jc w:val="left"/>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0DAB7DA0">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421F9E2F">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8A39346">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291098CE">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CB7C0E5">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515C329C">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38D05503">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3B2ECBA3">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5C506D5C">
            <w:pPr>
              <w:jc w:val="center"/>
              <w:rPr>
                <w:rFonts w:ascii="宋体" w:hAnsi="宋体"/>
                <w:color w:val="auto"/>
                <w:szCs w:val="44"/>
                <w:highlight w:val="none"/>
              </w:rPr>
            </w:pPr>
          </w:p>
        </w:tc>
      </w:tr>
      <w:tr w14:paraId="5B9B3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vMerge w:val="restart"/>
            <w:tcBorders>
              <w:top w:val="single" w:color="auto" w:sz="4" w:space="0"/>
              <w:left w:val="single" w:color="auto" w:sz="4" w:space="0"/>
              <w:bottom w:val="single" w:color="auto" w:sz="4" w:space="0"/>
              <w:right w:val="single" w:color="auto" w:sz="4" w:space="0"/>
            </w:tcBorders>
            <w:noWrap w:val="0"/>
            <w:vAlign w:val="center"/>
          </w:tcPr>
          <w:p w14:paraId="5737B48A">
            <w:pPr>
              <w:jc w:val="center"/>
              <w:rPr>
                <w:rFonts w:ascii="黑体" w:hAnsi="宋体" w:eastAsia="黑体"/>
                <w:color w:val="auto"/>
                <w:szCs w:val="44"/>
                <w:highlight w:val="none"/>
              </w:rPr>
            </w:pPr>
            <w:r>
              <w:rPr>
                <w:rFonts w:hint="eastAsia" w:ascii="黑体" w:hAnsi="宋体" w:eastAsia="黑体"/>
                <w:color w:val="auto"/>
                <w:szCs w:val="44"/>
                <w:highlight w:val="none"/>
              </w:rPr>
              <w:t>1</w:t>
            </w:r>
          </w:p>
        </w:tc>
        <w:tc>
          <w:tcPr>
            <w:tcW w:w="1087" w:type="dxa"/>
            <w:vMerge w:val="restart"/>
            <w:tcBorders>
              <w:top w:val="single" w:color="auto" w:sz="4" w:space="0"/>
              <w:left w:val="single" w:color="auto" w:sz="4" w:space="0"/>
              <w:bottom w:val="single" w:color="auto" w:sz="4" w:space="0"/>
              <w:right w:val="single" w:color="auto" w:sz="4" w:space="0"/>
            </w:tcBorders>
            <w:noWrap w:val="0"/>
            <w:vAlign w:val="center"/>
          </w:tcPr>
          <w:p w14:paraId="7641E437">
            <w:pPr>
              <w:jc w:val="center"/>
              <w:rPr>
                <w:rFonts w:ascii="宋体" w:hAnsi="宋体"/>
                <w:color w:val="auto"/>
                <w:szCs w:val="44"/>
                <w:highlight w:val="none"/>
              </w:rPr>
            </w:pPr>
            <w:r>
              <w:rPr>
                <w:rFonts w:hint="eastAsia" w:ascii="宋体" w:hAnsi="宋体"/>
                <w:color w:val="auto"/>
                <w:szCs w:val="44"/>
                <w:highlight w:val="none"/>
              </w:rPr>
              <w:t>项目经理任职资格与业绩</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6FD4EC7D">
            <w:pPr>
              <w:jc w:val="center"/>
              <w:rPr>
                <w:rFonts w:ascii="宋体" w:hAnsi="宋体"/>
                <w:color w:val="auto"/>
                <w:szCs w:val="44"/>
                <w:highlight w:val="none"/>
              </w:rPr>
            </w:pPr>
            <w:r>
              <w:rPr>
                <w:rFonts w:hint="eastAsia" w:ascii="宋体" w:hAnsi="宋体"/>
                <w:color w:val="auto"/>
                <w:szCs w:val="44"/>
                <w:highlight w:val="none"/>
              </w:rPr>
              <w:t>职称</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9C34BF1">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66395289">
            <w:pPr>
              <w:rPr>
                <w:rFonts w:ascii="宋体" w:hAnsi="宋体"/>
                <w:color w:val="auto"/>
                <w:szCs w:val="44"/>
                <w:highlight w:val="none"/>
              </w:rPr>
            </w:pPr>
            <w:r>
              <w:rPr>
                <w:rFonts w:hint="eastAsia" w:ascii="宋体" w:hAnsi="宋体"/>
                <w:color w:val="auto"/>
                <w:szCs w:val="44"/>
                <w:highlight w:val="none"/>
              </w:rPr>
              <w:t>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63DFC3C9">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8572E8B">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018CBA03">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6D99F2AF">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4B318AA2">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7538634">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6CCF05AE">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3B95854E">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4FEFA9A3">
            <w:pPr>
              <w:jc w:val="center"/>
              <w:rPr>
                <w:rFonts w:ascii="宋体" w:hAnsi="宋体"/>
                <w:color w:val="auto"/>
                <w:szCs w:val="44"/>
                <w:highlight w:val="none"/>
              </w:rPr>
            </w:pPr>
          </w:p>
        </w:tc>
      </w:tr>
      <w:tr w14:paraId="23FEB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948" w:type="dxa"/>
            <w:vMerge w:val="continue"/>
            <w:tcBorders>
              <w:top w:val="single" w:color="auto" w:sz="4" w:space="0"/>
              <w:left w:val="single" w:color="auto" w:sz="4" w:space="0"/>
              <w:bottom w:val="single" w:color="auto" w:sz="4" w:space="0"/>
              <w:right w:val="single" w:color="auto" w:sz="4" w:space="0"/>
            </w:tcBorders>
            <w:noWrap w:val="0"/>
            <w:vAlign w:val="center"/>
          </w:tcPr>
          <w:p w14:paraId="61FA9C32">
            <w:pPr>
              <w:widowControl/>
              <w:jc w:val="left"/>
              <w:rPr>
                <w:rFonts w:ascii="黑体" w:hAnsi="宋体" w:eastAsia="黑体"/>
                <w:color w:val="auto"/>
                <w:szCs w:val="44"/>
                <w:highlight w:val="none"/>
              </w:rPr>
            </w:pPr>
          </w:p>
        </w:tc>
        <w:tc>
          <w:tcPr>
            <w:tcW w:w="1987" w:type="dxa"/>
            <w:vMerge w:val="continue"/>
            <w:tcBorders>
              <w:top w:val="single" w:color="auto" w:sz="4" w:space="0"/>
              <w:left w:val="single" w:color="auto" w:sz="4" w:space="0"/>
              <w:bottom w:val="single" w:color="auto" w:sz="4" w:space="0"/>
              <w:right w:val="single" w:color="auto" w:sz="4" w:space="0"/>
            </w:tcBorders>
            <w:noWrap w:val="0"/>
            <w:vAlign w:val="center"/>
          </w:tcPr>
          <w:p w14:paraId="1D551668">
            <w:pPr>
              <w:widowControl/>
              <w:jc w:val="left"/>
              <w:rPr>
                <w:rFonts w:ascii="宋体" w:hAnsi="宋体"/>
                <w:color w:val="auto"/>
                <w:szCs w:val="4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4CA71CBE">
            <w:pPr>
              <w:jc w:val="center"/>
              <w:rPr>
                <w:rFonts w:ascii="宋体" w:hAnsi="宋体"/>
                <w:color w:val="auto"/>
                <w:szCs w:val="44"/>
                <w:highlight w:val="none"/>
              </w:rPr>
            </w:pPr>
            <w:r>
              <w:rPr>
                <w:rFonts w:hint="eastAsia" w:ascii="宋体" w:hAnsi="宋体"/>
                <w:color w:val="auto"/>
                <w:szCs w:val="44"/>
                <w:highlight w:val="none"/>
              </w:rPr>
              <w:t>学历</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837C11B">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725883B3">
            <w:pPr>
              <w:rPr>
                <w:rFonts w:ascii="宋体" w:hAnsi="宋体"/>
                <w:color w:val="auto"/>
                <w:szCs w:val="44"/>
                <w:highlight w:val="none"/>
              </w:rPr>
            </w:pPr>
            <w:r>
              <w:rPr>
                <w:rFonts w:hint="eastAsia" w:ascii="宋体" w:hAnsi="宋体"/>
                <w:color w:val="auto"/>
                <w:szCs w:val="44"/>
                <w:highlight w:val="none"/>
              </w:rPr>
              <w:t>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3694F829">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6591BA26">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33F55680">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6CA790A7">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6C315A1">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64887CE7">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779B6A54">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379BF3F8">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5FEC87C5">
            <w:pPr>
              <w:jc w:val="center"/>
              <w:rPr>
                <w:rFonts w:ascii="宋体" w:hAnsi="宋体"/>
                <w:color w:val="auto"/>
                <w:szCs w:val="44"/>
                <w:highlight w:val="none"/>
              </w:rPr>
            </w:pPr>
          </w:p>
        </w:tc>
      </w:tr>
      <w:tr w14:paraId="1379D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948" w:type="dxa"/>
            <w:vMerge w:val="continue"/>
            <w:tcBorders>
              <w:top w:val="single" w:color="auto" w:sz="4" w:space="0"/>
              <w:left w:val="single" w:color="auto" w:sz="4" w:space="0"/>
              <w:bottom w:val="single" w:color="auto" w:sz="4" w:space="0"/>
              <w:right w:val="single" w:color="auto" w:sz="4" w:space="0"/>
            </w:tcBorders>
            <w:noWrap w:val="0"/>
            <w:vAlign w:val="center"/>
          </w:tcPr>
          <w:p w14:paraId="49BA332B">
            <w:pPr>
              <w:widowControl/>
              <w:jc w:val="left"/>
              <w:rPr>
                <w:rFonts w:ascii="黑体" w:hAnsi="宋体" w:eastAsia="黑体"/>
                <w:color w:val="auto"/>
                <w:szCs w:val="44"/>
                <w:highlight w:val="none"/>
              </w:rPr>
            </w:pPr>
          </w:p>
        </w:tc>
        <w:tc>
          <w:tcPr>
            <w:tcW w:w="1987" w:type="dxa"/>
            <w:vMerge w:val="continue"/>
            <w:tcBorders>
              <w:top w:val="single" w:color="auto" w:sz="4" w:space="0"/>
              <w:left w:val="single" w:color="auto" w:sz="4" w:space="0"/>
              <w:bottom w:val="single" w:color="auto" w:sz="4" w:space="0"/>
              <w:right w:val="single" w:color="auto" w:sz="4" w:space="0"/>
            </w:tcBorders>
            <w:noWrap w:val="0"/>
            <w:vAlign w:val="center"/>
          </w:tcPr>
          <w:p w14:paraId="21D84475">
            <w:pPr>
              <w:widowControl/>
              <w:jc w:val="left"/>
              <w:rPr>
                <w:rFonts w:ascii="宋体" w:hAnsi="宋体"/>
                <w:color w:val="auto"/>
                <w:szCs w:val="4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B08FFCF">
            <w:pPr>
              <w:jc w:val="center"/>
              <w:rPr>
                <w:rFonts w:ascii="宋体" w:hAnsi="宋体"/>
                <w:color w:val="auto"/>
                <w:szCs w:val="44"/>
                <w:highlight w:val="none"/>
              </w:rPr>
            </w:pPr>
            <w:r>
              <w:rPr>
                <w:rFonts w:hint="eastAsia" w:ascii="宋体" w:hAnsi="宋体"/>
                <w:color w:val="auto"/>
                <w:szCs w:val="21"/>
                <w:highlight w:val="none"/>
              </w:rPr>
              <w:t>类似项目业绩</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E1C517C">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4A38E28F">
            <w:pPr>
              <w:rPr>
                <w:rFonts w:ascii="宋体" w:hAnsi="宋体"/>
                <w:color w:val="auto"/>
                <w:szCs w:val="44"/>
                <w:highlight w:val="none"/>
              </w:rPr>
            </w:pPr>
            <w:r>
              <w:rPr>
                <w:rFonts w:hint="eastAsia" w:ascii="宋体" w:hAnsi="宋体"/>
                <w:color w:val="auto"/>
                <w:szCs w:val="44"/>
                <w:highlight w:val="none"/>
              </w:rPr>
              <w:t>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39AA7CD9">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4E0C4952">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5F1544D5">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51366F96">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70A74734">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7B2A9754">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7CE4FF46">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F5ADBBD">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563C1D0">
            <w:pPr>
              <w:jc w:val="center"/>
              <w:rPr>
                <w:rFonts w:ascii="宋体" w:hAnsi="宋体"/>
                <w:color w:val="auto"/>
                <w:szCs w:val="44"/>
                <w:highlight w:val="none"/>
              </w:rPr>
            </w:pPr>
          </w:p>
        </w:tc>
      </w:tr>
      <w:tr w14:paraId="22D0E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21" w:type="dxa"/>
            <w:vMerge w:val="restart"/>
            <w:tcBorders>
              <w:top w:val="single" w:color="auto" w:sz="4" w:space="0"/>
              <w:left w:val="single" w:color="auto" w:sz="4" w:space="0"/>
              <w:bottom w:val="single" w:color="auto" w:sz="4" w:space="0"/>
              <w:right w:val="single" w:color="auto" w:sz="4" w:space="0"/>
            </w:tcBorders>
            <w:noWrap w:val="0"/>
            <w:vAlign w:val="center"/>
          </w:tcPr>
          <w:p w14:paraId="22A57AC6">
            <w:pPr>
              <w:jc w:val="center"/>
              <w:rPr>
                <w:rFonts w:ascii="黑体" w:hAnsi="宋体" w:eastAsia="黑体"/>
                <w:color w:val="auto"/>
                <w:szCs w:val="44"/>
                <w:highlight w:val="none"/>
              </w:rPr>
            </w:pPr>
            <w:r>
              <w:rPr>
                <w:rFonts w:hint="eastAsia" w:ascii="黑体" w:hAnsi="宋体" w:eastAsia="黑体"/>
                <w:color w:val="auto"/>
                <w:szCs w:val="44"/>
                <w:highlight w:val="none"/>
              </w:rPr>
              <w:t>2</w:t>
            </w:r>
          </w:p>
        </w:tc>
        <w:tc>
          <w:tcPr>
            <w:tcW w:w="1087" w:type="dxa"/>
            <w:vMerge w:val="restart"/>
            <w:tcBorders>
              <w:top w:val="single" w:color="auto" w:sz="4" w:space="0"/>
              <w:left w:val="single" w:color="auto" w:sz="4" w:space="0"/>
              <w:bottom w:val="single" w:color="auto" w:sz="4" w:space="0"/>
              <w:right w:val="single" w:color="auto" w:sz="4" w:space="0"/>
            </w:tcBorders>
            <w:noWrap w:val="0"/>
            <w:vAlign w:val="center"/>
          </w:tcPr>
          <w:p w14:paraId="48C70B45">
            <w:pPr>
              <w:jc w:val="center"/>
              <w:rPr>
                <w:rFonts w:ascii="宋体" w:hAnsi="宋体"/>
                <w:color w:val="auto"/>
                <w:szCs w:val="44"/>
                <w:highlight w:val="none"/>
              </w:rPr>
            </w:pPr>
            <w:r>
              <w:rPr>
                <w:rFonts w:hint="eastAsia" w:ascii="宋体" w:hAnsi="宋体"/>
                <w:color w:val="auto"/>
                <w:szCs w:val="44"/>
                <w:highlight w:val="none"/>
              </w:rPr>
              <w:t>技术负责人任职资格与业绩</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639F7CC">
            <w:pPr>
              <w:jc w:val="center"/>
              <w:rPr>
                <w:rFonts w:ascii="宋体" w:hAnsi="宋体"/>
                <w:color w:val="auto"/>
                <w:szCs w:val="44"/>
                <w:highlight w:val="none"/>
              </w:rPr>
            </w:pPr>
            <w:r>
              <w:rPr>
                <w:rFonts w:hint="eastAsia" w:ascii="宋体" w:hAnsi="宋体"/>
                <w:color w:val="auto"/>
                <w:szCs w:val="44"/>
                <w:highlight w:val="none"/>
              </w:rPr>
              <w:t>职称</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B0D6AF8">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72A3EB69">
            <w:pPr>
              <w:rPr>
                <w:rFonts w:ascii="宋体" w:hAnsi="宋体"/>
                <w:color w:val="auto"/>
                <w:szCs w:val="44"/>
                <w:highlight w:val="none"/>
              </w:rPr>
            </w:pPr>
            <w:r>
              <w:rPr>
                <w:rFonts w:hint="eastAsia" w:ascii="宋体" w:hAnsi="宋体"/>
                <w:color w:val="auto"/>
                <w:szCs w:val="44"/>
                <w:highlight w:val="none"/>
              </w:rPr>
              <w:t>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4FF5E126">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E78CF53">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67A8790B">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632E54F6">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8E0FDD6">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C0F6327">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6601FAAB">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7F8DDA60">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071BB2CA">
            <w:pPr>
              <w:jc w:val="center"/>
              <w:rPr>
                <w:rFonts w:ascii="宋体" w:hAnsi="宋体"/>
                <w:color w:val="auto"/>
                <w:szCs w:val="44"/>
                <w:highlight w:val="none"/>
              </w:rPr>
            </w:pPr>
          </w:p>
        </w:tc>
      </w:tr>
      <w:tr w14:paraId="403D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6948" w:type="dxa"/>
            <w:vMerge w:val="continue"/>
            <w:tcBorders>
              <w:top w:val="single" w:color="auto" w:sz="4" w:space="0"/>
              <w:left w:val="single" w:color="auto" w:sz="4" w:space="0"/>
              <w:bottom w:val="single" w:color="auto" w:sz="4" w:space="0"/>
              <w:right w:val="single" w:color="auto" w:sz="4" w:space="0"/>
            </w:tcBorders>
            <w:noWrap w:val="0"/>
            <w:vAlign w:val="center"/>
          </w:tcPr>
          <w:p w14:paraId="610F43DD">
            <w:pPr>
              <w:widowControl/>
              <w:jc w:val="left"/>
              <w:rPr>
                <w:rFonts w:ascii="黑体" w:hAnsi="宋体" w:eastAsia="黑体"/>
                <w:color w:val="auto"/>
                <w:szCs w:val="44"/>
                <w:highlight w:val="none"/>
              </w:rPr>
            </w:pPr>
          </w:p>
        </w:tc>
        <w:tc>
          <w:tcPr>
            <w:tcW w:w="1987" w:type="dxa"/>
            <w:vMerge w:val="continue"/>
            <w:tcBorders>
              <w:top w:val="single" w:color="auto" w:sz="4" w:space="0"/>
              <w:left w:val="single" w:color="auto" w:sz="4" w:space="0"/>
              <w:bottom w:val="single" w:color="auto" w:sz="4" w:space="0"/>
              <w:right w:val="single" w:color="auto" w:sz="4" w:space="0"/>
            </w:tcBorders>
            <w:noWrap w:val="0"/>
            <w:vAlign w:val="center"/>
          </w:tcPr>
          <w:p w14:paraId="4B2004C0">
            <w:pPr>
              <w:widowControl/>
              <w:jc w:val="left"/>
              <w:rPr>
                <w:rFonts w:ascii="宋体" w:hAnsi="宋体"/>
                <w:color w:val="auto"/>
                <w:szCs w:val="4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08433A3C">
            <w:pPr>
              <w:jc w:val="center"/>
              <w:rPr>
                <w:rFonts w:ascii="宋体" w:hAnsi="宋体"/>
                <w:color w:val="auto"/>
                <w:szCs w:val="44"/>
                <w:highlight w:val="none"/>
              </w:rPr>
            </w:pPr>
            <w:r>
              <w:rPr>
                <w:rFonts w:hint="eastAsia" w:ascii="宋体" w:hAnsi="宋体"/>
                <w:color w:val="auto"/>
                <w:szCs w:val="44"/>
                <w:highlight w:val="none"/>
              </w:rPr>
              <w:t>学历</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5030EE2C">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1C0EF759">
            <w:pPr>
              <w:rPr>
                <w:rFonts w:ascii="宋体" w:hAnsi="宋体"/>
                <w:color w:val="auto"/>
                <w:szCs w:val="44"/>
                <w:highlight w:val="none"/>
              </w:rPr>
            </w:pPr>
            <w:r>
              <w:rPr>
                <w:rFonts w:hint="eastAsia" w:ascii="宋体" w:hAnsi="宋体"/>
                <w:color w:val="auto"/>
                <w:szCs w:val="44"/>
                <w:highlight w:val="none"/>
              </w:rPr>
              <w:t>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15B6595C">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EFACE21">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0A98D6F9">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649BFAC9">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E067878">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3F1EDED2">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4B8F6577">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4D8C5F03">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78FC949C">
            <w:pPr>
              <w:jc w:val="center"/>
              <w:rPr>
                <w:rFonts w:ascii="宋体" w:hAnsi="宋体"/>
                <w:color w:val="auto"/>
                <w:szCs w:val="44"/>
                <w:highlight w:val="none"/>
              </w:rPr>
            </w:pPr>
          </w:p>
        </w:tc>
      </w:tr>
      <w:tr w14:paraId="76C30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 w:hRule="atLeast"/>
        </w:trPr>
        <w:tc>
          <w:tcPr>
            <w:tcW w:w="6948" w:type="dxa"/>
            <w:vMerge w:val="continue"/>
            <w:tcBorders>
              <w:top w:val="single" w:color="auto" w:sz="4" w:space="0"/>
              <w:left w:val="single" w:color="auto" w:sz="4" w:space="0"/>
              <w:bottom w:val="single" w:color="auto" w:sz="4" w:space="0"/>
              <w:right w:val="single" w:color="auto" w:sz="4" w:space="0"/>
            </w:tcBorders>
            <w:noWrap w:val="0"/>
            <w:vAlign w:val="center"/>
          </w:tcPr>
          <w:p w14:paraId="221BFF42">
            <w:pPr>
              <w:widowControl/>
              <w:jc w:val="left"/>
              <w:rPr>
                <w:rFonts w:ascii="黑体" w:hAnsi="宋体" w:eastAsia="黑体"/>
                <w:color w:val="auto"/>
                <w:szCs w:val="44"/>
                <w:highlight w:val="none"/>
              </w:rPr>
            </w:pPr>
          </w:p>
        </w:tc>
        <w:tc>
          <w:tcPr>
            <w:tcW w:w="1987" w:type="dxa"/>
            <w:vMerge w:val="continue"/>
            <w:tcBorders>
              <w:top w:val="single" w:color="auto" w:sz="4" w:space="0"/>
              <w:left w:val="single" w:color="auto" w:sz="4" w:space="0"/>
              <w:bottom w:val="single" w:color="auto" w:sz="4" w:space="0"/>
              <w:right w:val="single" w:color="auto" w:sz="4" w:space="0"/>
            </w:tcBorders>
            <w:noWrap w:val="0"/>
            <w:vAlign w:val="center"/>
          </w:tcPr>
          <w:p w14:paraId="464BC205">
            <w:pPr>
              <w:widowControl/>
              <w:jc w:val="left"/>
              <w:rPr>
                <w:rFonts w:ascii="宋体" w:hAnsi="宋体"/>
                <w:color w:val="auto"/>
                <w:szCs w:val="4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69C009C5">
            <w:pPr>
              <w:jc w:val="center"/>
              <w:rPr>
                <w:rFonts w:ascii="宋体" w:hAnsi="宋体"/>
                <w:color w:val="auto"/>
                <w:szCs w:val="44"/>
                <w:highlight w:val="none"/>
              </w:rPr>
            </w:pPr>
            <w:r>
              <w:rPr>
                <w:rFonts w:hint="eastAsia" w:ascii="宋体" w:hAnsi="宋体"/>
                <w:color w:val="auto"/>
                <w:szCs w:val="21"/>
                <w:highlight w:val="none"/>
              </w:rPr>
              <w:t>从事专业工作年限</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946B0BC">
            <w:pPr>
              <w:rPr>
                <w:rFonts w:ascii="宋体" w:hAnsi="宋体"/>
                <w:color w:val="auto"/>
                <w:szCs w:val="44"/>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6C19A0B2">
            <w:pPr>
              <w:rPr>
                <w:rFonts w:ascii="宋体" w:hAnsi="宋体"/>
                <w:color w:val="auto"/>
                <w:szCs w:val="44"/>
                <w:highlight w:val="none"/>
              </w:rPr>
            </w:pPr>
            <w:r>
              <w:rPr>
                <w:rFonts w:hint="eastAsia" w:ascii="宋体" w:hAnsi="宋体"/>
                <w:color w:val="auto"/>
                <w:szCs w:val="44"/>
                <w:highlight w:val="none"/>
              </w:rPr>
              <w:t>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65C9FE4A">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6B0686BD">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5663985E">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63862B50">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6287A424">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4604A2E">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5EDE479A">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DEFDF5A">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D6D4F62">
            <w:pPr>
              <w:jc w:val="center"/>
              <w:rPr>
                <w:rFonts w:ascii="宋体" w:hAnsi="宋体"/>
                <w:color w:val="auto"/>
                <w:szCs w:val="44"/>
                <w:highlight w:val="none"/>
              </w:rPr>
            </w:pPr>
          </w:p>
        </w:tc>
      </w:tr>
      <w:tr w14:paraId="6AC5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tcBorders>
              <w:top w:val="single" w:color="auto" w:sz="4" w:space="0"/>
              <w:left w:val="single" w:color="auto" w:sz="4" w:space="0"/>
              <w:bottom w:val="single" w:color="auto" w:sz="4" w:space="0"/>
              <w:right w:val="single" w:color="auto" w:sz="4" w:space="0"/>
            </w:tcBorders>
            <w:noWrap w:val="0"/>
            <w:vAlign w:val="center"/>
          </w:tcPr>
          <w:p w14:paraId="3A763F1D">
            <w:pPr>
              <w:jc w:val="center"/>
              <w:rPr>
                <w:rFonts w:ascii="黑体" w:hAnsi="宋体" w:eastAsia="黑体"/>
                <w:color w:val="auto"/>
                <w:szCs w:val="44"/>
                <w:highlight w:val="none"/>
              </w:rPr>
            </w:pPr>
            <w:r>
              <w:rPr>
                <w:rFonts w:hint="eastAsia" w:ascii="黑体" w:hAnsi="宋体" w:eastAsia="黑体"/>
                <w:color w:val="auto"/>
                <w:szCs w:val="44"/>
                <w:highlight w:val="none"/>
              </w:rPr>
              <w:t>3</w:t>
            </w:r>
          </w:p>
        </w:tc>
        <w:tc>
          <w:tcPr>
            <w:tcW w:w="1987" w:type="dxa"/>
            <w:gridSpan w:val="2"/>
            <w:tcBorders>
              <w:top w:val="single" w:color="auto" w:sz="4" w:space="0"/>
              <w:left w:val="single" w:color="auto" w:sz="4" w:space="0"/>
              <w:bottom w:val="single" w:color="auto" w:sz="4" w:space="0"/>
              <w:right w:val="single" w:color="auto" w:sz="4" w:space="0"/>
            </w:tcBorders>
            <w:noWrap w:val="0"/>
            <w:vAlign w:val="center"/>
          </w:tcPr>
          <w:p w14:paraId="48181BA2">
            <w:pPr>
              <w:jc w:val="center"/>
              <w:rPr>
                <w:rFonts w:ascii="宋体" w:hAnsi="宋体"/>
                <w:color w:val="auto"/>
                <w:szCs w:val="44"/>
                <w:highlight w:val="none"/>
              </w:rPr>
            </w:pPr>
            <w:r>
              <w:rPr>
                <w:rFonts w:hint="eastAsia" w:ascii="宋体" w:hAnsi="宋体"/>
                <w:color w:val="auto"/>
                <w:szCs w:val="44"/>
                <w:highlight w:val="none"/>
              </w:rPr>
              <w:t>其他主要人员</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3FB43E5">
            <w:pPr>
              <w:rPr>
                <w:rFonts w:ascii="宋体" w:hAnsi="宋体"/>
                <w:color w:val="auto"/>
                <w:szCs w:val="24"/>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4F010EA1">
            <w:pPr>
              <w:rPr>
                <w:rFonts w:ascii="宋体" w:hAnsi="宋体"/>
                <w:color w:val="auto"/>
                <w:szCs w:val="44"/>
                <w:highlight w:val="none"/>
              </w:rPr>
            </w:pPr>
            <w:r>
              <w:rPr>
                <w:rFonts w:hint="eastAsia" w:ascii="宋体" w:hAnsi="宋体"/>
                <w:color w:val="auto"/>
                <w:szCs w:val="44"/>
                <w:highlight w:val="none"/>
              </w:rPr>
              <w:t>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3FACDB81">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777BC875">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4305ECF6">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2A41A9E9">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61F6E28E">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64117CD">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26F47452">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40F7A442">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2286746C">
            <w:pPr>
              <w:jc w:val="center"/>
              <w:rPr>
                <w:rFonts w:ascii="宋体" w:hAnsi="宋体"/>
                <w:color w:val="auto"/>
                <w:szCs w:val="44"/>
                <w:highlight w:val="none"/>
              </w:rPr>
            </w:pPr>
          </w:p>
        </w:tc>
      </w:tr>
      <w:tr w14:paraId="4B2F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948" w:type="dxa"/>
            <w:gridSpan w:val="5"/>
            <w:tcBorders>
              <w:top w:val="single" w:color="auto" w:sz="4" w:space="0"/>
              <w:left w:val="single" w:color="auto" w:sz="4" w:space="0"/>
              <w:bottom w:val="single" w:color="auto" w:sz="4" w:space="0"/>
              <w:right w:val="single" w:color="auto" w:sz="4" w:space="0"/>
            </w:tcBorders>
            <w:noWrap w:val="0"/>
            <w:vAlign w:val="center"/>
          </w:tcPr>
          <w:p w14:paraId="08B7F9E2">
            <w:pPr>
              <w:jc w:val="center"/>
              <w:rPr>
                <w:rFonts w:ascii="宋体" w:hAnsi="宋体"/>
                <w:color w:val="auto"/>
                <w:szCs w:val="44"/>
                <w:highlight w:val="none"/>
              </w:rPr>
            </w:pPr>
            <w:r>
              <w:rPr>
                <w:rFonts w:hint="eastAsia" w:ascii="宋体" w:hAnsi="宋体"/>
                <w:color w:val="auto"/>
                <w:szCs w:val="44"/>
                <w:highlight w:val="none"/>
              </w:rPr>
              <w:t>项目管理机构得分合计C(满分  分)</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34822798">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11ED5992">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59DCD2AF">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01E47187">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609F3151">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59C681F4">
            <w:pPr>
              <w:jc w:val="center"/>
              <w:rPr>
                <w:rFonts w:ascii="宋体" w:hAnsi="宋体"/>
                <w:color w:val="auto"/>
                <w:szCs w:val="4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center"/>
          </w:tcPr>
          <w:p w14:paraId="4564A298">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7555AB42">
            <w:pPr>
              <w:jc w:val="center"/>
              <w:rPr>
                <w:rFonts w:ascii="宋体" w:hAnsi="宋体"/>
                <w:color w:val="auto"/>
                <w:szCs w:val="44"/>
                <w:highlight w:val="none"/>
              </w:rPr>
            </w:pPr>
          </w:p>
        </w:tc>
        <w:tc>
          <w:tcPr>
            <w:tcW w:w="758" w:type="dxa"/>
            <w:tcBorders>
              <w:top w:val="single" w:color="auto" w:sz="4" w:space="0"/>
              <w:left w:val="single" w:color="auto" w:sz="4" w:space="0"/>
              <w:bottom w:val="single" w:color="auto" w:sz="4" w:space="0"/>
              <w:right w:val="single" w:color="auto" w:sz="4" w:space="0"/>
            </w:tcBorders>
            <w:noWrap w:val="0"/>
            <w:vAlign w:val="center"/>
          </w:tcPr>
          <w:p w14:paraId="7E9FFCC0">
            <w:pPr>
              <w:jc w:val="center"/>
              <w:rPr>
                <w:rFonts w:ascii="宋体" w:hAnsi="宋体"/>
                <w:color w:val="auto"/>
                <w:szCs w:val="44"/>
                <w:highlight w:val="none"/>
              </w:rPr>
            </w:pPr>
          </w:p>
        </w:tc>
      </w:tr>
    </w:tbl>
    <w:p w14:paraId="3898F5C4">
      <w:pPr>
        <w:rPr>
          <w:rFonts w:hint="eastAsia" w:ascii="宋体" w:hAnsi="宋体"/>
          <w:color w:val="auto"/>
          <w:szCs w:val="44"/>
          <w:highlight w:val="none"/>
        </w:rPr>
      </w:pPr>
    </w:p>
    <w:p w14:paraId="0A0304FD">
      <w:pPr>
        <w:rPr>
          <w:rFonts w:hint="eastAsia" w:ascii="Times New Roman" w:hAnsi="Times New Roman"/>
          <w:color w:val="auto"/>
          <w:szCs w:val="24"/>
          <w:highlight w:val="none"/>
        </w:rPr>
      </w:pPr>
      <w:r>
        <w:rPr>
          <w:rFonts w:hint="eastAsia"/>
          <w:color w:val="auto"/>
          <w:highlight w:val="none"/>
        </w:rPr>
        <w:t>评标委员会成员签名：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3CF1160B">
      <w:pPr>
        <w:spacing w:after="240" w:afterLines="100"/>
        <w:rPr>
          <w:color w:val="auto"/>
          <w:highlight w:val="none"/>
        </w:rPr>
      </w:pPr>
    </w:p>
    <w:p w14:paraId="2EE8EB2F">
      <w:pPr>
        <w:rPr>
          <w:color w:val="auto"/>
          <w:highlight w:val="none"/>
        </w:rPr>
      </w:pPr>
    </w:p>
    <w:p w14:paraId="15CDCD5E">
      <w:pPr>
        <w:pStyle w:val="33"/>
        <w:rPr>
          <w:rFonts w:ascii="黑体"/>
          <w:color w:val="auto"/>
          <w:highlight w:val="none"/>
        </w:rPr>
      </w:pPr>
      <w:bookmarkStart w:id="773" w:name="_Toc12046"/>
      <w:bookmarkStart w:id="774" w:name="_Toc28531846"/>
      <w:r>
        <w:rPr>
          <w:rFonts w:hint="eastAsia"/>
          <w:color w:val="auto"/>
          <w:highlight w:val="none"/>
        </w:rPr>
        <w:t>附表</w:t>
      </w:r>
      <w:r>
        <w:rPr>
          <w:color w:val="auto"/>
          <w:highlight w:val="none"/>
        </w:rPr>
        <w:t>A-11</w:t>
      </w:r>
      <w:r>
        <w:rPr>
          <w:rFonts w:hint="eastAsia"/>
          <w:color w:val="auto"/>
          <w:highlight w:val="none"/>
        </w:rPr>
        <w:t>：其他因素评审记录表</w:t>
      </w:r>
      <w:bookmarkEnd w:id="773"/>
      <w:bookmarkEnd w:id="774"/>
    </w:p>
    <w:p w14:paraId="0BB9E33A">
      <w:pPr>
        <w:spacing w:after="240" w:afterLines="100"/>
        <w:jc w:val="center"/>
        <w:rPr>
          <w:rFonts w:hint="eastAsia" w:ascii="黑体" w:eastAsia="黑体"/>
          <w:color w:val="auto"/>
          <w:sz w:val="36"/>
          <w:szCs w:val="36"/>
          <w:highlight w:val="none"/>
        </w:rPr>
      </w:pPr>
      <w:r>
        <w:rPr>
          <w:rFonts w:hint="eastAsia" w:ascii="黑体" w:eastAsia="黑体"/>
          <w:color w:val="auto"/>
          <w:sz w:val="36"/>
          <w:szCs w:val="36"/>
          <w:highlight w:val="none"/>
        </w:rPr>
        <w:t>其他因素评审记录表</w:t>
      </w:r>
    </w:p>
    <w:p w14:paraId="5AEB25EF">
      <w:pPr>
        <w:spacing w:after="240" w:afterLines="100"/>
        <w:rPr>
          <w:rFonts w:hint="eastAsia" w:ascii="Times New Roman"/>
          <w:color w:val="auto"/>
          <w:szCs w:val="2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13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173"/>
        <w:gridCol w:w="3930"/>
        <w:gridCol w:w="756"/>
        <w:gridCol w:w="797"/>
        <w:gridCol w:w="797"/>
        <w:gridCol w:w="797"/>
        <w:gridCol w:w="797"/>
        <w:gridCol w:w="797"/>
        <w:gridCol w:w="797"/>
        <w:gridCol w:w="797"/>
        <w:gridCol w:w="797"/>
        <w:gridCol w:w="797"/>
      </w:tblGrid>
      <w:tr w14:paraId="6A67E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Merge w:val="restart"/>
            <w:tcBorders>
              <w:top w:val="single" w:color="auto" w:sz="4" w:space="0"/>
              <w:left w:val="single" w:color="auto" w:sz="4" w:space="0"/>
              <w:bottom w:val="single" w:color="auto" w:sz="4" w:space="0"/>
              <w:right w:val="single" w:color="auto" w:sz="4" w:space="0"/>
            </w:tcBorders>
            <w:noWrap w:val="0"/>
            <w:vAlign w:val="center"/>
          </w:tcPr>
          <w:p w14:paraId="01F79180">
            <w:pPr>
              <w:jc w:val="center"/>
              <w:rPr>
                <w:color w:val="auto"/>
                <w:szCs w:val="24"/>
                <w:highlight w:val="none"/>
              </w:rPr>
            </w:pPr>
            <w:r>
              <w:rPr>
                <w:rFonts w:hint="eastAsia"/>
                <w:color w:val="auto"/>
                <w:highlight w:val="none"/>
              </w:rPr>
              <w:t>序号</w:t>
            </w:r>
          </w:p>
        </w:tc>
        <w:tc>
          <w:tcPr>
            <w:tcW w:w="1173" w:type="dxa"/>
            <w:vMerge w:val="restart"/>
            <w:tcBorders>
              <w:top w:val="single" w:color="auto" w:sz="4" w:space="0"/>
              <w:left w:val="single" w:color="auto" w:sz="4" w:space="0"/>
              <w:bottom w:val="single" w:color="auto" w:sz="4" w:space="0"/>
              <w:right w:val="single" w:color="auto" w:sz="4" w:space="0"/>
            </w:tcBorders>
            <w:noWrap w:val="0"/>
            <w:vAlign w:val="center"/>
          </w:tcPr>
          <w:p w14:paraId="3D24A285">
            <w:pPr>
              <w:jc w:val="center"/>
              <w:rPr>
                <w:color w:val="auto"/>
                <w:szCs w:val="24"/>
                <w:highlight w:val="none"/>
              </w:rPr>
            </w:pPr>
            <w:r>
              <w:rPr>
                <w:rFonts w:hint="eastAsia"/>
                <w:color w:val="auto"/>
                <w:highlight w:val="none"/>
              </w:rPr>
              <w:t>评分项目</w:t>
            </w:r>
          </w:p>
        </w:tc>
        <w:tc>
          <w:tcPr>
            <w:tcW w:w="3930" w:type="dxa"/>
            <w:vMerge w:val="restart"/>
            <w:tcBorders>
              <w:top w:val="single" w:color="auto" w:sz="4" w:space="0"/>
              <w:left w:val="single" w:color="auto" w:sz="4" w:space="0"/>
              <w:bottom w:val="single" w:color="auto" w:sz="4" w:space="0"/>
              <w:right w:val="single" w:color="auto" w:sz="4" w:space="0"/>
            </w:tcBorders>
            <w:noWrap w:val="0"/>
            <w:vAlign w:val="center"/>
          </w:tcPr>
          <w:p w14:paraId="142FECE5">
            <w:pPr>
              <w:jc w:val="center"/>
              <w:rPr>
                <w:color w:val="auto"/>
                <w:szCs w:val="24"/>
                <w:highlight w:val="none"/>
              </w:rPr>
            </w:pPr>
            <w:r>
              <w:rPr>
                <w:rFonts w:hint="eastAsia" w:ascii="宋体" w:hAnsi="宋体"/>
                <w:color w:val="auto"/>
                <w:szCs w:val="44"/>
                <w:highlight w:val="none"/>
              </w:rPr>
              <w:t>评分标准</w:t>
            </w:r>
          </w:p>
        </w:tc>
        <w:tc>
          <w:tcPr>
            <w:tcW w:w="756" w:type="dxa"/>
            <w:vMerge w:val="restart"/>
            <w:tcBorders>
              <w:top w:val="single" w:color="auto" w:sz="4" w:space="0"/>
              <w:left w:val="single" w:color="auto" w:sz="4" w:space="0"/>
              <w:bottom w:val="single" w:color="auto" w:sz="4" w:space="0"/>
              <w:right w:val="single" w:color="auto" w:sz="4" w:space="0"/>
            </w:tcBorders>
            <w:noWrap w:val="0"/>
            <w:vAlign w:val="center"/>
          </w:tcPr>
          <w:p w14:paraId="056BFBF2">
            <w:pPr>
              <w:jc w:val="center"/>
              <w:rPr>
                <w:color w:val="auto"/>
                <w:szCs w:val="24"/>
                <w:highlight w:val="none"/>
              </w:rPr>
            </w:pPr>
            <w:r>
              <w:rPr>
                <w:rFonts w:hint="eastAsia"/>
                <w:color w:val="auto"/>
                <w:highlight w:val="none"/>
              </w:rPr>
              <w:t>标准分</w:t>
            </w:r>
          </w:p>
        </w:tc>
        <w:tc>
          <w:tcPr>
            <w:tcW w:w="7173" w:type="dxa"/>
            <w:gridSpan w:val="9"/>
            <w:tcBorders>
              <w:top w:val="single" w:color="auto" w:sz="4" w:space="0"/>
              <w:left w:val="single" w:color="auto" w:sz="4" w:space="0"/>
              <w:bottom w:val="single" w:color="auto" w:sz="4" w:space="0"/>
              <w:right w:val="single" w:color="auto" w:sz="4" w:space="0"/>
            </w:tcBorders>
            <w:noWrap w:val="0"/>
            <w:vAlign w:val="center"/>
          </w:tcPr>
          <w:p w14:paraId="6A4C987F">
            <w:pPr>
              <w:jc w:val="center"/>
              <w:rPr>
                <w:color w:val="auto"/>
                <w:szCs w:val="24"/>
                <w:highlight w:val="none"/>
              </w:rPr>
            </w:pPr>
            <w:r>
              <w:rPr>
                <w:rFonts w:hint="eastAsia"/>
                <w:color w:val="auto"/>
                <w:highlight w:val="none"/>
              </w:rPr>
              <w:t>投标人名称</w:t>
            </w:r>
            <w:r>
              <w:rPr>
                <w:rFonts w:hint="eastAsia" w:ascii="宋体" w:hAnsi="宋体"/>
                <w:color w:val="auto"/>
                <w:szCs w:val="44"/>
                <w:highlight w:val="none"/>
              </w:rPr>
              <w:t>及得分</w:t>
            </w:r>
          </w:p>
        </w:tc>
      </w:tr>
      <w:tr w14:paraId="1BA9E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EA250A">
            <w:pPr>
              <w:widowControl/>
              <w:jc w:val="left"/>
              <w:rPr>
                <w:color w:val="auto"/>
                <w:szCs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231FA6">
            <w:pPr>
              <w:widowControl/>
              <w:jc w:val="left"/>
              <w:rPr>
                <w:color w:val="auto"/>
                <w:szCs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5667784">
            <w:pPr>
              <w:widowControl/>
              <w:jc w:val="left"/>
              <w:rPr>
                <w:color w:val="auto"/>
                <w:szCs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81D41B">
            <w:pPr>
              <w:widowControl/>
              <w:jc w:val="left"/>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CE636FA">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5B11D50">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A6CAE2A">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F5ADAB9">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74B3BE0">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6A987EC">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28E582FC">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5A91EDC">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823BA40">
            <w:pPr>
              <w:jc w:val="center"/>
              <w:rPr>
                <w:color w:val="auto"/>
                <w:szCs w:val="24"/>
                <w:highlight w:val="none"/>
              </w:rPr>
            </w:pPr>
          </w:p>
        </w:tc>
      </w:tr>
      <w:tr w14:paraId="5D75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735" w:type="dxa"/>
            <w:tcBorders>
              <w:top w:val="single" w:color="auto" w:sz="4" w:space="0"/>
              <w:left w:val="single" w:color="auto" w:sz="4" w:space="0"/>
              <w:bottom w:val="single" w:color="auto" w:sz="4" w:space="0"/>
              <w:right w:val="single" w:color="auto" w:sz="4" w:space="0"/>
            </w:tcBorders>
            <w:noWrap w:val="0"/>
            <w:vAlign w:val="center"/>
          </w:tcPr>
          <w:p w14:paraId="47B02828">
            <w:pPr>
              <w:jc w:val="center"/>
              <w:rPr>
                <w:color w:val="auto"/>
                <w:szCs w:val="24"/>
                <w:highlight w:val="none"/>
              </w:rPr>
            </w:pPr>
            <w:r>
              <w:rPr>
                <w:color w:val="auto"/>
                <w:highlight w:val="none"/>
              </w:rPr>
              <w:t>1</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7FE8FC4F">
            <w:pPr>
              <w:jc w:val="center"/>
              <w:rPr>
                <w:color w:val="auto"/>
                <w:szCs w:val="24"/>
                <w:highlight w:val="none"/>
              </w:rPr>
            </w:pPr>
            <w:r>
              <w:rPr>
                <w:rFonts w:hint="eastAsia"/>
                <w:color w:val="auto"/>
                <w:highlight w:val="none"/>
              </w:rPr>
              <w:t>类似项目业绩</w:t>
            </w:r>
          </w:p>
        </w:tc>
        <w:tc>
          <w:tcPr>
            <w:tcW w:w="3930" w:type="dxa"/>
            <w:tcBorders>
              <w:top w:val="single" w:color="auto" w:sz="4" w:space="0"/>
              <w:left w:val="single" w:color="auto" w:sz="4" w:space="0"/>
              <w:bottom w:val="single" w:color="auto" w:sz="4" w:space="0"/>
              <w:right w:val="single" w:color="auto" w:sz="4" w:space="0"/>
            </w:tcBorders>
            <w:noWrap w:val="0"/>
            <w:vAlign w:val="top"/>
          </w:tcPr>
          <w:p w14:paraId="4ED779E6">
            <w:pPr>
              <w:jc w:val="center"/>
              <w:rPr>
                <w:color w:val="auto"/>
                <w:szCs w:val="24"/>
                <w:highlight w:val="none"/>
              </w:rPr>
            </w:pPr>
          </w:p>
        </w:tc>
        <w:tc>
          <w:tcPr>
            <w:tcW w:w="756" w:type="dxa"/>
            <w:tcBorders>
              <w:top w:val="single" w:color="auto" w:sz="4" w:space="0"/>
              <w:left w:val="single" w:color="auto" w:sz="4" w:space="0"/>
              <w:bottom w:val="single" w:color="auto" w:sz="4" w:space="0"/>
              <w:right w:val="single" w:color="auto" w:sz="4" w:space="0"/>
            </w:tcBorders>
            <w:noWrap w:val="0"/>
            <w:vAlign w:val="center"/>
          </w:tcPr>
          <w:p w14:paraId="6BAD49CC">
            <w:pPr>
              <w:jc w:val="center"/>
              <w:rPr>
                <w:color w:val="auto"/>
                <w:szCs w:val="24"/>
                <w:highlight w:val="none"/>
              </w:rPr>
            </w:pPr>
            <w:r>
              <w:rPr>
                <w:rFonts w:hint="eastAsia"/>
                <w:color w:val="auto"/>
                <w:szCs w:val="21"/>
                <w:highlight w:val="none"/>
              </w:rPr>
              <w:t>分</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7D30DCC0">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25438188">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AD2659B">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510A7D8">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6DC9AA3">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A7B42EE">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1655DB1">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3779712">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1CE214C">
            <w:pPr>
              <w:jc w:val="center"/>
              <w:rPr>
                <w:color w:val="auto"/>
                <w:szCs w:val="24"/>
                <w:highlight w:val="none"/>
              </w:rPr>
            </w:pPr>
          </w:p>
        </w:tc>
      </w:tr>
      <w:tr w14:paraId="03E9C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35" w:type="dxa"/>
            <w:tcBorders>
              <w:top w:val="single" w:color="auto" w:sz="4" w:space="0"/>
              <w:left w:val="single" w:color="auto" w:sz="4" w:space="0"/>
              <w:bottom w:val="single" w:color="auto" w:sz="4" w:space="0"/>
              <w:right w:val="single" w:color="auto" w:sz="4" w:space="0"/>
            </w:tcBorders>
            <w:noWrap w:val="0"/>
            <w:vAlign w:val="center"/>
          </w:tcPr>
          <w:p w14:paraId="1653ED0C">
            <w:pPr>
              <w:jc w:val="center"/>
              <w:rPr>
                <w:color w:val="auto"/>
                <w:szCs w:val="24"/>
                <w:highlight w:val="none"/>
              </w:rPr>
            </w:pPr>
            <w:r>
              <w:rPr>
                <w:color w:val="auto"/>
                <w:highlight w:val="none"/>
              </w:rPr>
              <w:t>2</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3C1892B7">
            <w:pPr>
              <w:spacing w:line="440" w:lineRule="exact"/>
              <w:jc w:val="center"/>
              <w:rPr>
                <w:color w:val="auto"/>
                <w:szCs w:val="21"/>
                <w:highlight w:val="none"/>
              </w:rPr>
            </w:pPr>
            <w:r>
              <w:rPr>
                <w:rFonts w:hint="eastAsia"/>
                <w:color w:val="auto"/>
                <w:szCs w:val="21"/>
                <w:highlight w:val="none"/>
              </w:rPr>
              <w:t>认证体系</w:t>
            </w:r>
          </w:p>
        </w:tc>
        <w:tc>
          <w:tcPr>
            <w:tcW w:w="3930" w:type="dxa"/>
            <w:tcBorders>
              <w:top w:val="single" w:color="auto" w:sz="4" w:space="0"/>
              <w:left w:val="single" w:color="auto" w:sz="4" w:space="0"/>
              <w:bottom w:val="single" w:color="auto" w:sz="4" w:space="0"/>
              <w:right w:val="single" w:color="auto" w:sz="4" w:space="0"/>
            </w:tcBorders>
            <w:noWrap w:val="0"/>
            <w:vAlign w:val="top"/>
          </w:tcPr>
          <w:p w14:paraId="09D790B4">
            <w:pPr>
              <w:jc w:val="center"/>
              <w:rPr>
                <w:color w:val="auto"/>
                <w:szCs w:val="24"/>
                <w:highlight w:val="none"/>
              </w:rPr>
            </w:pPr>
          </w:p>
        </w:tc>
        <w:tc>
          <w:tcPr>
            <w:tcW w:w="756" w:type="dxa"/>
            <w:tcBorders>
              <w:top w:val="single" w:color="auto" w:sz="4" w:space="0"/>
              <w:left w:val="single" w:color="auto" w:sz="4" w:space="0"/>
              <w:bottom w:val="single" w:color="auto" w:sz="4" w:space="0"/>
              <w:right w:val="single" w:color="auto" w:sz="4" w:space="0"/>
            </w:tcBorders>
            <w:noWrap w:val="0"/>
            <w:vAlign w:val="center"/>
          </w:tcPr>
          <w:p w14:paraId="7606ED1B">
            <w:pPr>
              <w:jc w:val="center"/>
              <w:rPr>
                <w:color w:val="auto"/>
                <w:szCs w:val="24"/>
                <w:highlight w:val="none"/>
              </w:rPr>
            </w:pPr>
            <w:r>
              <w:rPr>
                <w:rFonts w:hint="eastAsia"/>
                <w:color w:val="auto"/>
                <w:szCs w:val="21"/>
                <w:highlight w:val="none"/>
              </w:rPr>
              <w:t>分</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15366729">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75CB9D5">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B09AFA8">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CC100C5">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ED02586">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0DF41E68">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0C826740">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C0AD53E">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20A00A81">
            <w:pPr>
              <w:jc w:val="center"/>
              <w:rPr>
                <w:color w:val="auto"/>
                <w:szCs w:val="24"/>
                <w:highlight w:val="none"/>
              </w:rPr>
            </w:pPr>
          </w:p>
        </w:tc>
      </w:tr>
      <w:tr w14:paraId="27D71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735" w:type="dxa"/>
            <w:tcBorders>
              <w:top w:val="single" w:color="auto" w:sz="4" w:space="0"/>
              <w:left w:val="single" w:color="auto" w:sz="4" w:space="0"/>
              <w:bottom w:val="single" w:color="auto" w:sz="4" w:space="0"/>
              <w:right w:val="single" w:color="auto" w:sz="4" w:space="0"/>
            </w:tcBorders>
            <w:noWrap w:val="0"/>
            <w:vAlign w:val="center"/>
          </w:tcPr>
          <w:p w14:paraId="40E7127C">
            <w:pPr>
              <w:jc w:val="center"/>
              <w:rPr>
                <w:color w:val="auto"/>
                <w:szCs w:val="24"/>
                <w:highlight w:val="none"/>
              </w:rPr>
            </w:pPr>
            <w:r>
              <w:rPr>
                <w:color w:val="auto"/>
                <w:highlight w:val="none"/>
              </w:rPr>
              <w:t>3</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5BDFB9E9">
            <w:pPr>
              <w:jc w:val="center"/>
              <w:rPr>
                <w:color w:val="auto"/>
                <w:szCs w:val="21"/>
                <w:highlight w:val="none"/>
              </w:rPr>
            </w:pPr>
            <w:r>
              <w:rPr>
                <w:rFonts w:hint="eastAsia" w:ascii="宋体" w:hAnsi="宋体"/>
                <w:color w:val="auto"/>
                <w:szCs w:val="21"/>
                <w:highlight w:val="none"/>
              </w:rPr>
              <w:t>近3年</w:t>
            </w:r>
            <w:r>
              <w:rPr>
                <w:rFonts w:hint="eastAsia"/>
                <w:color w:val="auto"/>
                <w:szCs w:val="21"/>
                <w:highlight w:val="none"/>
              </w:rPr>
              <w:t>工程奖项、</w:t>
            </w:r>
          </w:p>
          <w:p w14:paraId="41AAED13">
            <w:pPr>
              <w:jc w:val="center"/>
              <w:rPr>
                <w:color w:val="auto"/>
                <w:szCs w:val="21"/>
                <w:highlight w:val="none"/>
              </w:rPr>
            </w:pPr>
            <w:r>
              <w:rPr>
                <w:rFonts w:hint="eastAsia"/>
                <w:color w:val="auto"/>
                <w:szCs w:val="21"/>
                <w:highlight w:val="none"/>
              </w:rPr>
              <w:t>项目经理工程奖项及表彰</w:t>
            </w:r>
          </w:p>
        </w:tc>
        <w:tc>
          <w:tcPr>
            <w:tcW w:w="3930" w:type="dxa"/>
            <w:tcBorders>
              <w:top w:val="single" w:color="auto" w:sz="4" w:space="0"/>
              <w:left w:val="single" w:color="auto" w:sz="4" w:space="0"/>
              <w:bottom w:val="single" w:color="auto" w:sz="4" w:space="0"/>
              <w:right w:val="single" w:color="auto" w:sz="4" w:space="0"/>
            </w:tcBorders>
            <w:noWrap w:val="0"/>
            <w:vAlign w:val="top"/>
          </w:tcPr>
          <w:p w14:paraId="0767F73D">
            <w:pPr>
              <w:rPr>
                <w:rFonts w:ascii="宋体" w:hAnsi="宋体"/>
                <w:color w:val="auto"/>
                <w:szCs w:val="24"/>
                <w:highlight w:val="none"/>
              </w:rPr>
            </w:pPr>
          </w:p>
        </w:tc>
        <w:tc>
          <w:tcPr>
            <w:tcW w:w="756" w:type="dxa"/>
            <w:tcBorders>
              <w:top w:val="single" w:color="auto" w:sz="4" w:space="0"/>
              <w:left w:val="single" w:color="auto" w:sz="4" w:space="0"/>
              <w:bottom w:val="single" w:color="auto" w:sz="4" w:space="0"/>
              <w:right w:val="single" w:color="auto" w:sz="4" w:space="0"/>
            </w:tcBorders>
            <w:noWrap w:val="0"/>
            <w:vAlign w:val="center"/>
          </w:tcPr>
          <w:p w14:paraId="701F0E6A">
            <w:pPr>
              <w:jc w:val="center"/>
              <w:rPr>
                <w:color w:val="auto"/>
                <w:szCs w:val="24"/>
                <w:highlight w:val="none"/>
              </w:rPr>
            </w:pPr>
            <w:r>
              <w:rPr>
                <w:rFonts w:hint="eastAsia"/>
                <w:color w:val="auto"/>
                <w:szCs w:val="21"/>
                <w:highlight w:val="none"/>
              </w:rPr>
              <w:t>分</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380DDD5C">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2CEDA55A">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2A233EB">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036BAFE">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DE728D8">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0AAC107">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04C3362A">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B2285E6">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BA81BAB">
            <w:pPr>
              <w:jc w:val="center"/>
              <w:rPr>
                <w:color w:val="auto"/>
                <w:szCs w:val="24"/>
                <w:highlight w:val="none"/>
              </w:rPr>
            </w:pPr>
          </w:p>
        </w:tc>
      </w:tr>
      <w:tr w14:paraId="4582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94" w:type="dxa"/>
            <w:gridSpan w:val="4"/>
            <w:tcBorders>
              <w:top w:val="single" w:color="auto" w:sz="4" w:space="0"/>
              <w:left w:val="single" w:color="auto" w:sz="4" w:space="0"/>
              <w:bottom w:val="single" w:color="auto" w:sz="4" w:space="0"/>
              <w:right w:val="single" w:color="auto" w:sz="4" w:space="0"/>
            </w:tcBorders>
            <w:noWrap w:val="0"/>
            <w:vAlign w:val="center"/>
          </w:tcPr>
          <w:p w14:paraId="647A6F33">
            <w:pPr>
              <w:jc w:val="center"/>
              <w:rPr>
                <w:color w:val="auto"/>
                <w:szCs w:val="24"/>
                <w:highlight w:val="none"/>
              </w:rPr>
            </w:pPr>
            <w:r>
              <w:rPr>
                <w:rFonts w:hint="eastAsia"/>
                <w:color w:val="auto"/>
                <w:highlight w:val="none"/>
              </w:rPr>
              <w:t>其他因素得分合计</w:t>
            </w:r>
            <w:r>
              <w:rPr>
                <w:color w:val="auto"/>
                <w:highlight w:val="none"/>
              </w:rPr>
              <w:t>D(</w:t>
            </w:r>
            <w:r>
              <w:rPr>
                <w:rFonts w:hint="eastAsia"/>
                <w:color w:val="auto"/>
                <w:highlight w:val="none"/>
              </w:rPr>
              <w:t>满分</w:t>
            </w:r>
            <w:r>
              <w:rPr>
                <w:color w:val="auto"/>
                <w:highlight w:val="none"/>
              </w:rPr>
              <w:t xml:space="preserve"> </w:t>
            </w:r>
            <w:r>
              <w:rPr>
                <w:rFonts w:hint="eastAsia"/>
                <w:color w:val="auto"/>
                <w:highlight w:val="none"/>
              </w:rPr>
              <w:t>分</w:t>
            </w:r>
            <w:r>
              <w:rPr>
                <w:color w:val="auto"/>
                <w:highlight w:val="none"/>
              </w:rPr>
              <w:t>)</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2A583F30">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E0389AF">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41CFE3BC">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45048AD1">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C918808">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35C31FA9">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A6771D5">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0839DA6E">
            <w:pPr>
              <w:jc w:val="center"/>
              <w:rPr>
                <w:color w:val="auto"/>
                <w:szCs w:val="24"/>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06D90F5">
            <w:pPr>
              <w:jc w:val="center"/>
              <w:rPr>
                <w:color w:val="auto"/>
                <w:szCs w:val="24"/>
                <w:highlight w:val="none"/>
              </w:rPr>
            </w:pPr>
          </w:p>
        </w:tc>
      </w:tr>
    </w:tbl>
    <w:p w14:paraId="32F26E00">
      <w:pPr>
        <w:rPr>
          <w:rFonts w:ascii="Times New Roman" w:hAnsi="Times New Roman"/>
          <w:color w:val="auto"/>
          <w:highlight w:val="none"/>
        </w:rPr>
      </w:pPr>
    </w:p>
    <w:p w14:paraId="03C48AA3">
      <w:pPr>
        <w:rPr>
          <w:color w:val="auto"/>
          <w:highlight w:val="none"/>
        </w:rPr>
      </w:pPr>
      <w:r>
        <w:rPr>
          <w:rFonts w:hint="eastAsia"/>
          <w:color w:val="auto"/>
          <w:highlight w:val="none"/>
        </w:rPr>
        <w:t>评标委员会成员签名：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0A0A5AA9">
      <w:pPr>
        <w:rPr>
          <w:color w:val="auto"/>
          <w:highlight w:val="none"/>
        </w:rPr>
      </w:pPr>
    </w:p>
    <w:p w14:paraId="7DE06ABD">
      <w:pPr>
        <w:rPr>
          <w:color w:val="auto"/>
          <w:highlight w:val="none"/>
        </w:rPr>
      </w:pPr>
    </w:p>
    <w:p w14:paraId="44D83848">
      <w:pPr>
        <w:rPr>
          <w:color w:val="auto"/>
          <w:highlight w:val="none"/>
        </w:rPr>
      </w:pPr>
      <w:r>
        <w:rPr>
          <w:color w:val="auto"/>
          <w:szCs w:val="21"/>
          <w:highlight w:val="none"/>
        </w:rPr>
        <w:t xml:space="preserve">      </w:t>
      </w:r>
    </w:p>
    <w:p w14:paraId="7C1C68EE">
      <w:pPr>
        <w:rPr>
          <w:color w:val="auto"/>
          <w:highlight w:val="none"/>
        </w:rPr>
      </w:pPr>
    </w:p>
    <w:p w14:paraId="001F0B89">
      <w:pPr>
        <w:rPr>
          <w:color w:val="auto"/>
          <w:highlight w:val="none"/>
        </w:rPr>
      </w:pPr>
    </w:p>
    <w:p w14:paraId="4EDF906A">
      <w:pPr>
        <w:pStyle w:val="33"/>
        <w:rPr>
          <w:rFonts w:ascii="黑体"/>
          <w:color w:val="auto"/>
          <w:highlight w:val="none"/>
        </w:rPr>
      </w:pPr>
      <w:bookmarkStart w:id="775" w:name="_Toc28531847"/>
      <w:bookmarkStart w:id="776" w:name="_Toc4543"/>
      <w:r>
        <w:rPr>
          <w:rFonts w:hint="eastAsia"/>
          <w:color w:val="auto"/>
          <w:highlight w:val="none"/>
        </w:rPr>
        <w:t>附表</w:t>
      </w:r>
      <w:r>
        <w:rPr>
          <w:color w:val="auto"/>
          <w:highlight w:val="none"/>
        </w:rPr>
        <w:t>A-12</w:t>
      </w:r>
      <w:r>
        <w:rPr>
          <w:rFonts w:hint="eastAsia"/>
          <w:color w:val="auto"/>
          <w:highlight w:val="none"/>
        </w:rPr>
        <w:t>：详细评审评分汇总表</w:t>
      </w:r>
      <w:bookmarkEnd w:id="775"/>
      <w:bookmarkEnd w:id="776"/>
    </w:p>
    <w:p w14:paraId="14A8EA05">
      <w:pPr>
        <w:spacing w:after="240" w:afterLines="100"/>
        <w:jc w:val="center"/>
        <w:rPr>
          <w:rFonts w:hint="eastAsia" w:ascii="黑体" w:eastAsia="黑体"/>
          <w:color w:val="auto"/>
          <w:sz w:val="36"/>
          <w:szCs w:val="36"/>
          <w:highlight w:val="none"/>
        </w:rPr>
      </w:pPr>
      <w:r>
        <w:rPr>
          <w:rFonts w:hint="eastAsia" w:ascii="黑体" w:eastAsia="黑体"/>
          <w:color w:val="auto"/>
          <w:sz w:val="36"/>
          <w:szCs w:val="36"/>
          <w:highlight w:val="none"/>
        </w:rPr>
        <w:t>详细评审评分汇总表</w:t>
      </w:r>
    </w:p>
    <w:p w14:paraId="7A6B46C5">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14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2072"/>
        <w:gridCol w:w="1151"/>
        <w:gridCol w:w="1405"/>
        <w:gridCol w:w="1405"/>
        <w:gridCol w:w="1405"/>
        <w:gridCol w:w="1405"/>
        <w:gridCol w:w="1405"/>
        <w:gridCol w:w="1405"/>
        <w:gridCol w:w="1405"/>
      </w:tblGrid>
      <w:tr w14:paraId="0DA8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vMerge w:val="restart"/>
            <w:tcBorders>
              <w:top w:val="single" w:color="auto" w:sz="4" w:space="0"/>
              <w:left w:val="single" w:color="auto" w:sz="4" w:space="0"/>
              <w:bottom w:val="single" w:color="auto" w:sz="4" w:space="0"/>
              <w:right w:val="single" w:color="auto" w:sz="4" w:space="0"/>
            </w:tcBorders>
            <w:noWrap w:val="0"/>
            <w:vAlign w:val="center"/>
          </w:tcPr>
          <w:p w14:paraId="00BD0EDB">
            <w:pPr>
              <w:jc w:val="center"/>
              <w:rPr>
                <w:color w:val="auto"/>
                <w:szCs w:val="24"/>
                <w:highlight w:val="none"/>
              </w:rPr>
            </w:pPr>
            <w:r>
              <w:rPr>
                <w:rFonts w:hint="eastAsia"/>
                <w:color w:val="auto"/>
                <w:highlight w:val="none"/>
              </w:rPr>
              <w:t>序号</w:t>
            </w:r>
          </w:p>
        </w:tc>
        <w:tc>
          <w:tcPr>
            <w:tcW w:w="2072" w:type="dxa"/>
            <w:vMerge w:val="restart"/>
            <w:tcBorders>
              <w:top w:val="single" w:color="auto" w:sz="4" w:space="0"/>
              <w:left w:val="single" w:color="auto" w:sz="4" w:space="0"/>
              <w:bottom w:val="single" w:color="auto" w:sz="4" w:space="0"/>
              <w:right w:val="single" w:color="auto" w:sz="4" w:space="0"/>
            </w:tcBorders>
            <w:noWrap w:val="0"/>
            <w:vAlign w:val="center"/>
          </w:tcPr>
          <w:p w14:paraId="7953D4F3">
            <w:pPr>
              <w:jc w:val="center"/>
              <w:rPr>
                <w:color w:val="auto"/>
                <w:szCs w:val="24"/>
                <w:highlight w:val="none"/>
              </w:rPr>
            </w:pPr>
            <w:r>
              <w:rPr>
                <w:rFonts w:hint="eastAsia"/>
                <w:color w:val="auto"/>
                <w:highlight w:val="none"/>
              </w:rPr>
              <w:t>评分项目</w:t>
            </w:r>
          </w:p>
        </w:tc>
        <w:tc>
          <w:tcPr>
            <w:tcW w:w="1151" w:type="dxa"/>
            <w:vMerge w:val="restart"/>
            <w:tcBorders>
              <w:top w:val="single" w:color="auto" w:sz="4" w:space="0"/>
              <w:left w:val="single" w:color="auto" w:sz="4" w:space="0"/>
              <w:bottom w:val="single" w:color="auto" w:sz="4" w:space="0"/>
              <w:right w:val="single" w:color="auto" w:sz="4" w:space="0"/>
            </w:tcBorders>
            <w:noWrap w:val="0"/>
            <w:vAlign w:val="center"/>
          </w:tcPr>
          <w:p w14:paraId="4BCD00C5">
            <w:pPr>
              <w:jc w:val="center"/>
              <w:rPr>
                <w:color w:val="auto"/>
                <w:szCs w:val="24"/>
                <w:highlight w:val="none"/>
              </w:rPr>
            </w:pPr>
            <w:r>
              <w:rPr>
                <w:rFonts w:hint="eastAsia"/>
                <w:color w:val="auto"/>
                <w:highlight w:val="none"/>
              </w:rPr>
              <w:t>分值代码</w:t>
            </w:r>
          </w:p>
        </w:tc>
        <w:tc>
          <w:tcPr>
            <w:tcW w:w="9835" w:type="dxa"/>
            <w:gridSpan w:val="7"/>
            <w:tcBorders>
              <w:top w:val="single" w:color="auto" w:sz="4" w:space="0"/>
              <w:left w:val="single" w:color="auto" w:sz="4" w:space="0"/>
              <w:bottom w:val="single" w:color="auto" w:sz="4" w:space="0"/>
              <w:right w:val="single" w:color="auto" w:sz="4" w:space="0"/>
            </w:tcBorders>
            <w:noWrap w:val="0"/>
            <w:vAlign w:val="center"/>
          </w:tcPr>
          <w:p w14:paraId="5B7BCAF7">
            <w:pPr>
              <w:jc w:val="center"/>
              <w:rPr>
                <w:color w:val="auto"/>
                <w:szCs w:val="24"/>
                <w:highlight w:val="none"/>
              </w:rPr>
            </w:pPr>
            <w:r>
              <w:rPr>
                <w:rFonts w:hint="eastAsia"/>
                <w:color w:val="auto"/>
                <w:highlight w:val="none"/>
              </w:rPr>
              <w:t>投标人名称及得分</w:t>
            </w:r>
          </w:p>
        </w:tc>
      </w:tr>
      <w:tr w14:paraId="1F371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4814C4">
            <w:pPr>
              <w:widowControl/>
              <w:jc w:val="left"/>
              <w:rPr>
                <w:color w:val="auto"/>
                <w:szCs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F553110">
            <w:pPr>
              <w:widowControl/>
              <w:jc w:val="left"/>
              <w:rPr>
                <w:color w:val="auto"/>
                <w:szCs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F2C8E64">
            <w:pPr>
              <w:widowControl/>
              <w:jc w:val="left"/>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2C007E6E">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7C98F2E">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2B9A44FF">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4690ACE5">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33B531FE">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2CF87F9F">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0D8FFA91">
            <w:pPr>
              <w:jc w:val="center"/>
              <w:rPr>
                <w:color w:val="auto"/>
                <w:szCs w:val="24"/>
                <w:highlight w:val="none"/>
              </w:rPr>
            </w:pPr>
          </w:p>
        </w:tc>
      </w:tr>
      <w:tr w14:paraId="0A3AA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tcBorders>
              <w:top w:val="single" w:color="auto" w:sz="4" w:space="0"/>
              <w:left w:val="single" w:color="auto" w:sz="4" w:space="0"/>
              <w:bottom w:val="single" w:color="auto" w:sz="4" w:space="0"/>
              <w:right w:val="single" w:color="auto" w:sz="4" w:space="0"/>
            </w:tcBorders>
            <w:noWrap w:val="0"/>
            <w:vAlign w:val="center"/>
          </w:tcPr>
          <w:p w14:paraId="79F1B9A9">
            <w:pPr>
              <w:jc w:val="center"/>
              <w:rPr>
                <w:color w:val="auto"/>
                <w:szCs w:val="24"/>
                <w:highlight w:val="none"/>
              </w:rPr>
            </w:pPr>
            <w:r>
              <w:rPr>
                <w:color w:val="auto"/>
                <w:highlight w:val="none"/>
              </w:rPr>
              <w:t>1</w:t>
            </w:r>
          </w:p>
        </w:tc>
        <w:tc>
          <w:tcPr>
            <w:tcW w:w="2072" w:type="dxa"/>
            <w:tcBorders>
              <w:top w:val="single" w:color="auto" w:sz="4" w:space="0"/>
              <w:left w:val="single" w:color="auto" w:sz="4" w:space="0"/>
              <w:bottom w:val="single" w:color="auto" w:sz="4" w:space="0"/>
              <w:right w:val="single" w:color="auto" w:sz="4" w:space="0"/>
            </w:tcBorders>
            <w:noWrap w:val="0"/>
            <w:vAlign w:val="center"/>
          </w:tcPr>
          <w:p w14:paraId="062AE36B">
            <w:pPr>
              <w:jc w:val="center"/>
              <w:rPr>
                <w:color w:val="auto"/>
                <w:szCs w:val="24"/>
                <w:highlight w:val="none"/>
              </w:rPr>
            </w:pPr>
            <w:r>
              <w:rPr>
                <w:rFonts w:hint="eastAsia"/>
                <w:color w:val="auto"/>
                <w:highlight w:val="none"/>
              </w:rPr>
              <w:t>投标报价</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3E000C68">
            <w:pPr>
              <w:jc w:val="center"/>
              <w:rPr>
                <w:color w:val="auto"/>
                <w:szCs w:val="24"/>
                <w:highlight w:val="none"/>
              </w:rPr>
            </w:pPr>
            <w:r>
              <w:rPr>
                <w:color w:val="auto"/>
                <w:highlight w:val="none"/>
              </w:rPr>
              <w:t>A</w:t>
            </w:r>
          </w:p>
        </w:tc>
        <w:tc>
          <w:tcPr>
            <w:tcW w:w="1405" w:type="dxa"/>
            <w:tcBorders>
              <w:top w:val="single" w:color="auto" w:sz="4" w:space="0"/>
              <w:left w:val="single" w:color="auto" w:sz="4" w:space="0"/>
              <w:bottom w:val="single" w:color="auto" w:sz="4" w:space="0"/>
              <w:right w:val="single" w:color="auto" w:sz="4" w:space="0"/>
            </w:tcBorders>
            <w:noWrap w:val="0"/>
            <w:vAlign w:val="center"/>
          </w:tcPr>
          <w:p w14:paraId="3FF6DE20">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333A48B2">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4B6D240A">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56C40C96">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06178B14">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2FC66A0">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69A4CEEB">
            <w:pPr>
              <w:jc w:val="center"/>
              <w:rPr>
                <w:color w:val="auto"/>
                <w:szCs w:val="24"/>
                <w:highlight w:val="none"/>
              </w:rPr>
            </w:pPr>
          </w:p>
        </w:tc>
      </w:tr>
      <w:tr w14:paraId="3AC15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tcBorders>
              <w:top w:val="single" w:color="auto" w:sz="4" w:space="0"/>
              <w:left w:val="single" w:color="auto" w:sz="4" w:space="0"/>
              <w:bottom w:val="single" w:color="auto" w:sz="4" w:space="0"/>
              <w:right w:val="single" w:color="auto" w:sz="4" w:space="0"/>
            </w:tcBorders>
            <w:noWrap w:val="0"/>
            <w:vAlign w:val="center"/>
          </w:tcPr>
          <w:p w14:paraId="355B52CE">
            <w:pPr>
              <w:jc w:val="center"/>
              <w:rPr>
                <w:color w:val="auto"/>
                <w:szCs w:val="24"/>
                <w:highlight w:val="none"/>
              </w:rPr>
            </w:pPr>
            <w:r>
              <w:rPr>
                <w:color w:val="auto"/>
                <w:highlight w:val="none"/>
              </w:rPr>
              <w:t>2</w:t>
            </w:r>
          </w:p>
        </w:tc>
        <w:tc>
          <w:tcPr>
            <w:tcW w:w="2072" w:type="dxa"/>
            <w:tcBorders>
              <w:top w:val="single" w:color="auto" w:sz="4" w:space="0"/>
              <w:left w:val="single" w:color="auto" w:sz="4" w:space="0"/>
              <w:bottom w:val="single" w:color="auto" w:sz="4" w:space="0"/>
              <w:right w:val="single" w:color="auto" w:sz="4" w:space="0"/>
            </w:tcBorders>
            <w:noWrap w:val="0"/>
            <w:vAlign w:val="center"/>
          </w:tcPr>
          <w:p w14:paraId="138EF8F7">
            <w:pPr>
              <w:jc w:val="center"/>
              <w:rPr>
                <w:color w:val="auto"/>
                <w:szCs w:val="24"/>
                <w:highlight w:val="none"/>
              </w:rPr>
            </w:pPr>
            <w:r>
              <w:rPr>
                <w:rFonts w:hint="eastAsia"/>
                <w:color w:val="auto"/>
                <w:highlight w:val="none"/>
              </w:rPr>
              <w:t>施工组织设计</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622EF08D">
            <w:pPr>
              <w:jc w:val="center"/>
              <w:rPr>
                <w:color w:val="auto"/>
                <w:szCs w:val="24"/>
                <w:highlight w:val="none"/>
              </w:rPr>
            </w:pPr>
            <w:r>
              <w:rPr>
                <w:color w:val="auto"/>
                <w:highlight w:val="none"/>
              </w:rPr>
              <w:t>B</w:t>
            </w: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570925A">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3DD2ECD2">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1966CEC5">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C00F489">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56CA65E">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21C55A4C">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588A93BF">
            <w:pPr>
              <w:jc w:val="center"/>
              <w:rPr>
                <w:color w:val="auto"/>
                <w:szCs w:val="24"/>
                <w:highlight w:val="none"/>
              </w:rPr>
            </w:pPr>
          </w:p>
        </w:tc>
      </w:tr>
      <w:tr w14:paraId="2C3D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tcBorders>
              <w:top w:val="single" w:color="auto" w:sz="4" w:space="0"/>
              <w:left w:val="single" w:color="auto" w:sz="4" w:space="0"/>
              <w:bottom w:val="single" w:color="auto" w:sz="4" w:space="0"/>
              <w:right w:val="single" w:color="auto" w:sz="4" w:space="0"/>
            </w:tcBorders>
            <w:noWrap w:val="0"/>
            <w:vAlign w:val="center"/>
          </w:tcPr>
          <w:p w14:paraId="11BA41E3">
            <w:pPr>
              <w:jc w:val="center"/>
              <w:rPr>
                <w:color w:val="auto"/>
                <w:szCs w:val="24"/>
                <w:highlight w:val="none"/>
              </w:rPr>
            </w:pPr>
            <w:r>
              <w:rPr>
                <w:color w:val="auto"/>
                <w:highlight w:val="none"/>
              </w:rPr>
              <w:t>3</w:t>
            </w:r>
          </w:p>
        </w:tc>
        <w:tc>
          <w:tcPr>
            <w:tcW w:w="2072" w:type="dxa"/>
            <w:tcBorders>
              <w:top w:val="single" w:color="auto" w:sz="4" w:space="0"/>
              <w:left w:val="single" w:color="auto" w:sz="4" w:space="0"/>
              <w:bottom w:val="single" w:color="auto" w:sz="4" w:space="0"/>
              <w:right w:val="single" w:color="auto" w:sz="4" w:space="0"/>
            </w:tcBorders>
            <w:noWrap w:val="0"/>
            <w:vAlign w:val="center"/>
          </w:tcPr>
          <w:p w14:paraId="1380AD16">
            <w:pPr>
              <w:jc w:val="center"/>
              <w:rPr>
                <w:color w:val="auto"/>
                <w:szCs w:val="24"/>
                <w:highlight w:val="none"/>
              </w:rPr>
            </w:pPr>
            <w:r>
              <w:rPr>
                <w:rFonts w:hint="eastAsia"/>
                <w:color w:val="auto"/>
                <w:highlight w:val="none"/>
              </w:rPr>
              <w:t>项目管理机构</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0F4462BA">
            <w:pPr>
              <w:jc w:val="center"/>
              <w:rPr>
                <w:color w:val="auto"/>
                <w:szCs w:val="24"/>
                <w:highlight w:val="none"/>
              </w:rPr>
            </w:pPr>
            <w:r>
              <w:rPr>
                <w:color w:val="auto"/>
                <w:highlight w:val="none"/>
              </w:rPr>
              <w:t>C</w:t>
            </w:r>
          </w:p>
        </w:tc>
        <w:tc>
          <w:tcPr>
            <w:tcW w:w="1405" w:type="dxa"/>
            <w:tcBorders>
              <w:top w:val="single" w:color="auto" w:sz="4" w:space="0"/>
              <w:left w:val="single" w:color="auto" w:sz="4" w:space="0"/>
              <w:bottom w:val="single" w:color="auto" w:sz="4" w:space="0"/>
              <w:right w:val="single" w:color="auto" w:sz="4" w:space="0"/>
            </w:tcBorders>
            <w:noWrap w:val="0"/>
            <w:vAlign w:val="center"/>
          </w:tcPr>
          <w:p w14:paraId="6B3A82B9">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670F8C7C">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A767F85">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0AC0D382">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1AA25A7B">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41673A0E">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115C88AB">
            <w:pPr>
              <w:jc w:val="center"/>
              <w:rPr>
                <w:color w:val="auto"/>
                <w:szCs w:val="24"/>
                <w:highlight w:val="none"/>
              </w:rPr>
            </w:pPr>
          </w:p>
        </w:tc>
      </w:tr>
      <w:tr w14:paraId="4A0B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tcBorders>
              <w:top w:val="single" w:color="auto" w:sz="4" w:space="0"/>
              <w:left w:val="single" w:color="auto" w:sz="4" w:space="0"/>
              <w:bottom w:val="single" w:color="auto" w:sz="4" w:space="0"/>
              <w:right w:val="single" w:color="auto" w:sz="4" w:space="0"/>
            </w:tcBorders>
            <w:noWrap w:val="0"/>
            <w:vAlign w:val="center"/>
          </w:tcPr>
          <w:p w14:paraId="2B475BBE">
            <w:pPr>
              <w:jc w:val="center"/>
              <w:rPr>
                <w:color w:val="auto"/>
                <w:szCs w:val="24"/>
                <w:highlight w:val="none"/>
              </w:rPr>
            </w:pPr>
            <w:r>
              <w:rPr>
                <w:color w:val="auto"/>
                <w:highlight w:val="none"/>
              </w:rPr>
              <w:t>4</w:t>
            </w:r>
          </w:p>
        </w:tc>
        <w:tc>
          <w:tcPr>
            <w:tcW w:w="2072" w:type="dxa"/>
            <w:tcBorders>
              <w:top w:val="single" w:color="auto" w:sz="4" w:space="0"/>
              <w:left w:val="single" w:color="auto" w:sz="4" w:space="0"/>
              <w:bottom w:val="single" w:color="auto" w:sz="4" w:space="0"/>
              <w:right w:val="single" w:color="auto" w:sz="4" w:space="0"/>
            </w:tcBorders>
            <w:noWrap w:val="0"/>
            <w:vAlign w:val="center"/>
          </w:tcPr>
          <w:p w14:paraId="7A31AD28">
            <w:pPr>
              <w:jc w:val="center"/>
              <w:rPr>
                <w:color w:val="auto"/>
                <w:szCs w:val="24"/>
                <w:highlight w:val="none"/>
              </w:rPr>
            </w:pPr>
            <w:r>
              <w:rPr>
                <w:rFonts w:hint="eastAsia"/>
                <w:color w:val="auto"/>
                <w:highlight w:val="none"/>
              </w:rPr>
              <w:t>其他因素</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047A2900">
            <w:pPr>
              <w:jc w:val="center"/>
              <w:rPr>
                <w:color w:val="auto"/>
                <w:szCs w:val="24"/>
                <w:highlight w:val="none"/>
              </w:rPr>
            </w:pPr>
            <w:r>
              <w:rPr>
                <w:color w:val="auto"/>
                <w:highlight w:val="none"/>
              </w:rPr>
              <w:t>D</w:t>
            </w:r>
          </w:p>
        </w:tc>
        <w:tc>
          <w:tcPr>
            <w:tcW w:w="1405" w:type="dxa"/>
            <w:tcBorders>
              <w:top w:val="single" w:color="auto" w:sz="4" w:space="0"/>
              <w:left w:val="single" w:color="auto" w:sz="4" w:space="0"/>
              <w:bottom w:val="single" w:color="auto" w:sz="4" w:space="0"/>
              <w:right w:val="single" w:color="auto" w:sz="4" w:space="0"/>
            </w:tcBorders>
            <w:noWrap w:val="0"/>
            <w:vAlign w:val="center"/>
          </w:tcPr>
          <w:p w14:paraId="68BF37AA">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3E8D12EE">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1297544A">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204EDB8F">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0E3A1393">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6009A736">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CBEED4A">
            <w:pPr>
              <w:jc w:val="center"/>
              <w:rPr>
                <w:color w:val="auto"/>
                <w:szCs w:val="24"/>
                <w:highlight w:val="none"/>
              </w:rPr>
            </w:pPr>
          </w:p>
        </w:tc>
      </w:tr>
      <w:tr w14:paraId="137CD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13" w:type="dxa"/>
            <w:gridSpan w:val="3"/>
            <w:tcBorders>
              <w:top w:val="single" w:color="auto" w:sz="4" w:space="0"/>
              <w:left w:val="single" w:color="auto" w:sz="4" w:space="0"/>
              <w:bottom w:val="single" w:color="auto" w:sz="4" w:space="0"/>
              <w:right w:val="single" w:color="auto" w:sz="4" w:space="0"/>
            </w:tcBorders>
            <w:noWrap w:val="0"/>
            <w:vAlign w:val="center"/>
          </w:tcPr>
          <w:p w14:paraId="3B95C649">
            <w:pPr>
              <w:jc w:val="center"/>
              <w:rPr>
                <w:color w:val="auto"/>
                <w:szCs w:val="24"/>
                <w:highlight w:val="none"/>
              </w:rPr>
            </w:pPr>
            <w:r>
              <w:rPr>
                <w:rFonts w:hint="eastAsia"/>
                <w:color w:val="auto"/>
                <w:highlight w:val="none"/>
              </w:rPr>
              <w:t>详细评审得分合计</w:t>
            </w:r>
          </w:p>
        </w:tc>
        <w:tc>
          <w:tcPr>
            <w:tcW w:w="1405" w:type="dxa"/>
            <w:tcBorders>
              <w:top w:val="single" w:color="auto" w:sz="4" w:space="0"/>
              <w:left w:val="single" w:color="auto" w:sz="4" w:space="0"/>
              <w:bottom w:val="single" w:color="auto" w:sz="4" w:space="0"/>
              <w:right w:val="single" w:color="auto" w:sz="4" w:space="0"/>
            </w:tcBorders>
            <w:noWrap w:val="0"/>
            <w:vAlign w:val="center"/>
          </w:tcPr>
          <w:p w14:paraId="2AC88152">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52780B20">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47E5C0C7">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18B33AFE">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E8BCB9D">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2E06798F">
            <w:pPr>
              <w:jc w:val="center"/>
              <w:rPr>
                <w:color w:val="auto"/>
                <w:szCs w:val="24"/>
                <w:highlight w:val="none"/>
              </w:rPr>
            </w:pPr>
          </w:p>
        </w:tc>
        <w:tc>
          <w:tcPr>
            <w:tcW w:w="1405" w:type="dxa"/>
            <w:tcBorders>
              <w:top w:val="single" w:color="auto" w:sz="4" w:space="0"/>
              <w:left w:val="single" w:color="auto" w:sz="4" w:space="0"/>
              <w:bottom w:val="single" w:color="auto" w:sz="4" w:space="0"/>
              <w:right w:val="single" w:color="auto" w:sz="4" w:space="0"/>
            </w:tcBorders>
            <w:noWrap w:val="0"/>
            <w:vAlign w:val="center"/>
          </w:tcPr>
          <w:p w14:paraId="7852E187">
            <w:pPr>
              <w:jc w:val="center"/>
              <w:rPr>
                <w:color w:val="auto"/>
                <w:szCs w:val="24"/>
                <w:highlight w:val="none"/>
              </w:rPr>
            </w:pPr>
          </w:p>
        </w:tc>
      </w:tr>
    </w:tbl>
    <w:p w14:paraId="652BF913">
      <w:pPr>
        <w:rPr>
          <w:rFonts w:hint="eastAsia" w:ascii="Times New Roman" w:hAnsi="Times New Roman"/>
          <w:color w:val="auto"/>
          <w:szCs w:val="24"/>
          <w:highlight w:val="none"/>
        </w:rPr>
      </w:pPr>
    </w:p>
    <w:p w14:paraId="46D4B4A5">
      <w:pPr>
        <w:rPr>
          <w:color w:val="auto"/>
          <w:highlight w:val="none"/>
        </w:rPr>
      </w:pPr>
      <w:r>
        <w:rPr>
          <w:rFonts w:hint="eastAsia"/>
          <w:color w:val="auto"/>
          <w:highlight w:val="none"/>
        </w:rPr>
        <w:t>评标委员会成员签名：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7FDDF7C5">
      <w:pPr>
        <w:rPr>
          <w:color w:val="auto"/>
          <w:highlight w:val="none"/>
        </w:rPr>
      </w:pPr>
    </w:p>
    <w:p w14:paraId="34222AEF">
      <w:pPr>
        <w:rPr>
          <w:color w:val="auto"/>
          <w:highlight w:val="none"/>
        </w:rPr>
      </w:pPr>
    </w:p>
    <w:p w14:paraId="58657575">
      <w:pPr>
        <w:rPr>
          <w:color w:val="auto"/>
          <w:highlight w:val="none"/>
        </w:rPr>
      </w:pPr>
    </w:p>
    <w:p w14:paraId="25AD4608">
      <w:pPr>
        <w:rPr>
          <w:color w:val="auto"/>
          <w:highlight w:val="none"/>
        </w:rPr>
      </w:pPr>
    </w:p>
    <w:p w14:paraId="7FF752B2">
      <w:pPr>
        <w:rPr>
          <w:color w:val="auto"/>
          <w:highlight w:val="none"/>
        </w:rPr>
      </w:pPr>
    </w:p>
    <w:p w14:paraId="5E98339C">
      <w:pPr>
        <w:rPr>
          <w:color w:val="auto"/>
          <w:highlight w:val="none"/>
        </w:rPr>
      </w:pPr>
    </w:p>
    <w:p w14:paraId="1FEE4656">
      <w:pPr>
        <w:rPr>
          <w:color w:val="auto"/>
          <w:highlight w:val="none"/>
        </w:rPr>
      </w:pPr>
    </w:p>
    <w:p w14:paraId="7F49DCF1">
      <w:pPr>
        <w:rPr>
          <w:color w:val="auto"/>
          <w:highlight w:val="none"/>
        </w:rPr>
      </w:pPr>
    </w:p>
    <w:p w14:paraId="74DCD94A">
      <w:pPr>
        <w:rPr>
          <w:color w:val="auto"/>
          <w:highlight w:val="none"/>
        </w:rPr>
      </w:pPr>
    </w:p>
    <w:p w14:paraId="3126DDB8">
      <w:pPr>
        <w:rPr>
          <w:color w:val="auto"/>
          <w:highlight w:val="none"/>
        </w:rPr>
      </w:pPr>
    </w:p>
    <w:p w14:paraId="73C5C01A">
      <w:pPr>
        <w:rPr>
          <w:color w:val="auto"/>
          <w:highlight w:val="none"/>
        </w:rPr>
      </w:pPr>
    </w:p>
    <w:p w14:paraId="1E3161F0">
      <w:pPr>
        <w:rPr>
          <w:color w:val="auto"/>
          <w:highlight w:val="none"/>
        </w:rPr>
      </w:pPr>
    </w:p>
    <w:p w14:paraId="24E50B7D">
      <w:pPr>
        <w:rPr>
          <w:color w:val="auto"/>
          <w:highlight w:val="none"/>
        </w:rPr>
      </w:pPr>
    </w:p>
    <w:p w14:paraId="27A46FF7">
      <w:pPr>
        <w:pStyle w:val="33"/>
        <w:rPr>
          <w:rFonts w:ascii="黑体"/>
          <w:color w:val="auto"/>
          <w:highlight w:val="none"/>
        </w:rPr>
      </w:pPr>
      <w:bookmarkStart w:id="777" w:name="_Toc28531848"/>
      <w:bookmarkStart w:id="778" w:name="_Toc21500"/>
      <w:r>
        <w:rPr>
          <w:rFonts w:hint="eastAsia"/>
          <w:color w:val="auto"/>
          <w:highlight w:val="none"/>
        </w:rPr>
        <w:t>附表</w:t>
      </w:r>
      <w:r>
        <w:rPr>
          <w:color w:val="auto"/>
          <w:highlight w:val="none"/>
        </w:rPr>
        <w:t>A-13</w:t>
      </w:r>
      <w:r>
        <w:rPr>
          <w:rFonts w:hint="eastAsia"/>
          <w:color w:val="auto"/>
          <w:highlight w:val="none"/>
        </w:rPr>
        <w:t>：评标结果汇总表</w:t>
      </w:r>
      <w:bookmarkEnd w:id="777"/>
      <w:bookmarkEnd w:id="778"/>
    </w:p>
    <w:p w14:paraId="11A84E98">
      <w:pPr>
        <w:spacing w:after="240" w:afterLines="100"/>
        <w:jc w:val="center"/>
        <w:rPr>
          <w:rFonts w:hint="eastAsia" w:ascii="黑体" w:eastAsia="黑体"/>
          <w:color w:val="auto"/>
          <w:sz w:val="36"/>
          <w:szCs w:val="36"/>
          <w:highlight w:val="none"/>
        </w:rPr>
      </w:pPr>
      <w:r>
        <w:rPr>
          <w:rFonts w:hint="eastAsia" w:ascii="黑体" w:eastAsia="黑体"/>
          <w:color w:val="auto"/>
          <w:sz w:val="36"/>
          <w:szCs w:val="36"/>
          <w:highlight w:val="none"/>
        </w:rPr>
        <w:t>评标结果汇总表</w:t>
      </w:r>
    </w:p>
    <w:p w14:paraId="16BEB921">
      <w:pPr>
        <w:spacing w:after="240" w:afterLines="100"/>
        <w:rPr>
          <w:rFonts w:hint="eastAsia" w:ascii="宋体" w:hAnsi="宋体"/>
          <w:color w:val="auto"/>
          <w:szCs w:val="4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6"/>
        <w:gridCol w:w="1656"/>
        <w:gridCol w:w="1657"/>
        <w:gridCol w:w="1658"/>
        <w:gridCol w:w="1657"/>
        <w:gridCol w:w="1658"/>
        <w:gridCol w:w="1657"/>
        <w:gridCol w:w="1658"/>
      </w:tblGrid>
      <w:tr w14:paraId="546F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vMerge w:val="restart"/>
            <w:tcBorders>
              <w:top w:val="single" w:color="auto" w:sz="4" w:space="0"/>
              <w:left w:val="single" w:color="auto" w:sz="4" w:space="0"/>
              <w:bottom w:val="single" w:color="auto" w:sz="4" w:space="0"/>
              <w:right w:val="single" w:color="auto" w:sz="4" w:space="0"/>
            </w:tcBorders>
            <w:noWrap w:val="0"/>
            <w:vAlign w:val="center"/>
          </w:tcPr>
          <w:p w14:paraId="708B58D1">
            <w:pPr>
              <w:jc w:val="center"/>
              <w:rPr>
                <w:color w:val="auto"/>
                <w:szCs w:val="24"/>
                <w:highlight w:val="none"/>
              </w:rPr>
            </w:pPr>
            <w:r>
              <w:rPr>
                <w:rFonts w:hint="eastAsia"/>
                <w:color w:val="auto"/>
                <w:highlight w:val="none"/>
              </w:rPr>
              <w:t>评委序号和姓名</w:t>
            </w:r>
          </w:p>
        </w:tc>
        <w:tc>
          <w:tcPr>
            <w:tcW w:w="11840" w:type="dxa"/>
            <w:gridSpan w:val="7"/>
            <w:tcBorders>
              <w:top w:val="single" w:color="auto" w:sz="4" w:space="0"/>
              <w:left w:val="single" w:color="auto" w:sz="4" w:space="0"/>
              <w:bottom w:val="single" w:color="auto" w:sz="4" w:space="0"/>
              <w:right w:val="single" w:color="auto" w:sz="4" w:space="0"/>
            </w:tcBorders>
            <w:noWrap w:val="0"/>
            <w:vAlign w:val="center"/>
          </w:tcPr>
          <w:p w14:paraId="06EF124F">
            <w:pPr>
              <w:jc w:val="center"/>
              <w:rPr>
                <w:color w:val="auto"/>
                <w:szCs w:val="24"/>
                <w:highlight w:val="none"/>
              </w:rPr>
            </w:pPr>
            <w:r>
              <w:rPr>
                <w:rFonts w:hint="eastAsia"/>
                <w:color w:val="auto"/>
                <w:highlight w:val="none"/>
              </w:rPr>
              <w:t>投标人名称</w:t>
            </w:r>
            <w:r>
              <w:rPr>
                <w:color w:val="auto"/>
                <w:highlight w:val="none"/>
              </w:rPr>
              <w:t>(</w:t>
            </w:r>
            <w:r>
              <w:rPr>
                <w:rFonts w:hint="eastAsia"/>
                <w:color w:val="auto"/>
                <w:highlight w:val="none"/>
              </w:rPr>
              <w:t>或代码</w:t>
            </w:r>
            <w:r>
              <w:rPr>
                <w:color w:val="auto"/>
                <w:highlight w:val="none"/>
              </w:rPr>
              <w:t>)</w:t>
            </w:r>
            <w:r>
              <w:rPr>
                <w:rFonts w:hint="eastAsia"/>
                <w:color w:val="auto"/>
                <w:highlight w:val="none"/>
              </w:rPr>
              <w:t>及其得分</w:t>
            </w:r>
          </w:p>
        </w:tc>
      </w:tr>
      <w:tr w14:paraId="26B89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F406FDE">
            <w:pPr>
              <w:widowControl/>
              <w:jc w:val="left"/>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39C4B16">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2B0F00C1">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4BF7513C">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B62B7B7">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9BD20B2">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174FB900">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70BA0A4D">
            <w:pPr>
              <w:jc w:val="center"/>
              <w:rPr>
                <w:color w:val="auto"/>
                <w:szCs w:val="24"/>
                <w:highlight w:val="none"/>
              </w:rPr>
            </w:pPr>
          </w:p>
        </w:tc>
      </w:tr>
      <w:tr w14:paraId="2EBF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54859A63">
            <w:pPr>
              <w:jc w:val="left"/>
              <w:rPr>
                <w:color w:val="auto"/>
                <w:szCs w:val="24"/>
                <w:highlight w:val="none"/>
              </w:rPr>
            </w:pPr>
            <w:r>
              <w:rPr>
                <w:color w:val="auto"/>
                <w:highlight w:val="none"/>
              </w:rPr>
              <w:t>1:</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42DC878D">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31ADED36">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5BBD929">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E72B38F">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2B471DEF">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D14DE82">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4AE65488">
            <w:pPr>
              <w:jc w:val="center"/>
              <w:rPr>
                <w:color w:val="auto"/>
                <w:szCs w:val="24"/>
                <w:highlight w:val="none"/>
              </w:rPr>
            </w:pPr>
          </w:p>
        </w:tc>
      </w:tr>
      <w:tr w14:paraId="157B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7D209320">
            <w:pPr>
              <w:jc w:val="left"/>
              <w:rPr>
                <w:color w:val="auto"/>
                <w:szCs w:val="24"/>
                <w:highlight w:val="none"/>
              </w:rPr>
            </w:pPr>
            <w:r>
              <w:rPr>
                <w:color w:val="auto"/>
                <w:highlight w:val="none"/>
              </w:rPr>
              <w:t>2:</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CEE705E">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4A956FC">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4E0AAF40">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27C68123">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F77CDFD">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609C32A7">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2AA7B94">
            <w:pPr>
              <w:jc w:val="center"/>
              <w:rPr>
                <w:color w:val="auto"/>
                <w:szCs w:val="24"/>
                <w:highlight w:val="none"/>
              </w:rPr>
            </w:pPr>
          </w:p>
        </w:tc>
      </w:tr>
      <w:tr w14:paraId="6339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431AB975">
            <w:pPr>
              <w:jc w:val="left"/>
              <w:rPr>
                <w:color w:val="auto"/>
                <w:szCs w:val="24"/>
                <w:highlight w:val="none"/>
              </w:rPr>
            </w:pPr>
            <w:r>
              <w:rPr>
                <w:color w:val="auto"/>
                <w:highlight w:val="none"/>
              </w:rPr>
              <w:t>3:</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4EFCEA45">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6988517D">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7B0C5496">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5B4C7549">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2F2DBD0F">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35E70CB7">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F602935">
            <w:pPr>
              <w:jc w:val="center"/>
              <w:rPr>
                <w:color w:val="auto"/>
                <w:szCs w:val="24"/>
                <w:highlight w:val="none"/>
              </w:rPr>
            </w:pPr>
          </w:p>
        </w:tc>
      </w:tr>
      <w:tr w14:paraId="67422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1309595C">
            <w:pPr>
              <w:jc w:val="left"/>
              <w:rPr>
                <w:color w:val="auto"/>
                <w:szCs w:val="24"/>
                <w:highlight w:val="none"/>
              </w:rPr>
            </w:pPr>
            <w:r>
              <w:rPr>
                <w:color w:val="auto"/>
                <w:highlight w:val="none"/>
              </w:rPr>
              <w:t>4:</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4135F33D">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4E709B3">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FB9B2F8">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F1D0A57">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ED8989A">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A53E55A">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781FE1B8">
            <w:pPr>
              <w:jc w:val="center"/>
              <w:rPr>
                <w:color w:val="auto"/>
                <w:szCs w:val="24"/>
                <w:highlight w:val="none"/>
              </w:rPr>
            </w:pPr>
          </w:p>
        </w:tc>
      </w:tr>
      <w:tr w14:paraId="14CA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5DBEB2DA">
            <w:pPr>
              <w:jc w:val="left"/>
              <w:rPr>
                <w:color w:val="auto"/>
                <w:szCs w:val="24"/>
                <w:highlight w:val="none"/>
              </w:rPr>
            </w:pPr>
            <w:r>
              <w:rPr>
                <w:color w:val="auto"/>
                <w:highlight w:val="none"/>
              </w:rPr>
              <w:t>5:</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5585BF91">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401A668">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5AB308F">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6D13516E">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7D09900A">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5B9123A5">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1F91302">
            <w:pPr>
              <w:jc w:val="center"/>
              <w:rPr>
                <w:color w:val="auto"/>
                <w:szCs w:val="24"/>
                <w:highlight w:val="none"/>
              </w:rPr>
            </w:pPr>
          </w:p>
        </w:tc>
      </w:tr>
      <w:tr w14:paraId="0C6C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1CA95C49">
            <w:pPr>
              <w:jc w:val="left"/>
              <w:rPr>
                <w:color w:val="auto"/>
                <w:szCs w:val="24"/>
                <w:highlight w:val="none"/>
              </w:rPr>
            </w:pPr>
            <w:r>
              <w:rPr>
                <w:color w:val="auto"/>
                <w:highlight w:val="none"/>
              </w:rPr>
              <w:t>6:</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111FCD4B">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6B7B3F15">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207FCFF6">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2DE1ACDB">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9D298FE">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124340A5">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C28148A">
            <w:pPr>
              <w:jc w:val="center"/>
              <w:rPr>
                <w:color w:val="auto"/>
                <w:szCs w:val="24"/>
                <w:highlight w:val="none"/>
              </w:rPr>
            </w:pPr>
          </w:p>
        </w:tc>
      </w:tr>
      <w:tr w14:paraId="0429C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0DAB7A51">
            <w:pPr>
              <w:jc w:val="left"/>
              <w:rPr>
                <w:color w:val="auto"/>
                <w:szCs w:val="24"/>
                <w:highlight w:val="none"/>
              </w:rPr>
            </w:pPr>
            <w:r>
              <w:rPr>
                <w:color w:val="auto"/>
                <w:highlight w:val="none"/>
              </w:rPr>
              <w:t>7:</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40FB4879">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3D8D788C">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0EE3FD30">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DE824D5">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627126A">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481F8DB">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65868B2">
            <w:pPr>
              <w:jc w:val="center"/>
              <w:rPr>
                <w:color w:val="auto"/>
                <w:szCs w:val="24"/>
                <w:highlight w:val="none"/>
              </w:rPr>
            </w:pPr>
          </w:p>
        </w:tc>
      </w:tr>
      <w:tr w14:paraId="6EF4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5F49BF55">
            <w:pPr>
              <w:jc w:val="center"/>
              <w:rPr>
                <w:color w:val="auto"/>
                <w:szCs w:val="24"/>
                <w:highlight w:val="none"/>
              </w:rPr>
            </w:pPr>
            <w:r>
              <w:rPr>
                <w:rFonts w:hint="eastAsia"/>
                <w:color w:val="auto"/>
                <w:highlight w:val="none"/>
              </w:rPr>
              <w:t>各评委评分合计</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38E9959D">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6BFA1456">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780F89F">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4D55F37">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4D416B4">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45241E4">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6357A85B">
            <w:pPr>
              <w:jc w:val="center"/>
              <w:rPr>
                <w:color w:val="auto"/>
                <w:szCs w:val="24"/>
                <w:highlight w:val="none"/>
              </w:rPr>
            </w:pPr>
          </w:p>
        </w:tc>
      </w:tr>
      <w:tr w14:paraId="697E8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739D8055">
            <w:pPr>
              <w:jc w:val="center"/>
              <w:rPr>
                <w:color w:val="auto"/>
                <w:szCs w:val="24"/>
                <w:highlight w:val="none"/>
              </w:rPr>
            </w:pPr>
            <w:r>
              <w:rPr>
                <w:rFonts w:hint="eastAsia"/>
                <w:color w:val="auto"/>
                <w:highlight w:val="none"/>
              </w:rPr>
              <w:t>各评委评分平均值</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04B14490">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5E1EA308">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BC031F8">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9B6A39E">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00062958">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5E703123">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2CDD3428">
            <w:pPr>
              <w:jc w:val="center"/>
              <w:rPr>
                <w:color w:val="auto"/>
                <w:szCs w:val="24"/>
                <w:highlight w:val="none"/>
              </w:rPr>
            </w:pPr>
          </w:p>
        </w:tc>
      </w:tr>
      <w:tr w14:paraId="5C243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tcBorders>
              <w:top w:val="single" w:color="auto" w:sz="4" w:space="0"/>
              <w:left w:val="single" w:color="auto" w:sz="4" w:space="0"/>
              <w:bottom w:val="single" w:color="auto" w:sz="4" w:space="0"/>
              <w:right w:val="single" w:color="auto" w:sz="4" w:space="0"/>
            </w:tcBorders>
            <w:noWrap w:val="0"/>
            <w:vAlign w:val="center"/>
          </w:tcPr>
          <w:p w14:paraId="24CD6D38">
            <w:pPr>
              <w:jc w:val="center"/>
              <w:rPr>
                <w:color w:val="auto"/>
                <w:szCs w:val="24"/>
                <w:highlight w:val="none"/>
              </w:rPr>
            </w:pPr>
            <w:r>
              <w:rPr>
                <w:rFonts w:hint="eastAsia"/>
                <w:color w:val="auto"/>
                <w:highlight w:val="none"/>
              </w:rPr>
              <w:t>投标人最终排名次序</w:t>
            </w:r>
          </w:p>
        </w:tc>
        <w:tc>
          <w:tcPr>
            <w:tcW w:w="1691" w:type="dxa"/>
            <w:tcBorders>
              <w:top w:val="single" w:color="auto" w:sz="4" w:space="0"/>
              <w:left w:val="single" w:color="auto" w:sz="4" w:space="0"/>
              <w:bottom w:val="single" w:color="auto" w:sz="4" w:space="0"/>
              <w:right w:val="single" w:color="auto" w:sz="4" w:space="0"/>
            </w:tcBorders>
            <w:noWrap w:val="0"/>
            <w:vAlign w:val="center"/>
          </w:tcPr>
          <w:p w14:paraId="2DBBE6FA">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3799473">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DF3A8F6">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711C541F">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2CDAC5E">
            <w:pPr>
              <w:jc w:val="center"/>
              <w:rPr>
                <w:color w:val="auto"/>
                <w:szCs w:val="24"/>
                <w:highlight w:val="none"/>
              </w:rPr>
            </w:pPr>
          </w:p>
        </w:tc>
        <w:tc>
          <w:tcPr>
            <w:tcW w:w="1691" w:type="dxa"/>
            <w:tcBorders>
              <w:top w:val="single" w:color="auto" w:sz="4" w:space="0"/>
              <w:left w:val="single" w:color="auto" w:sz="4" w:space="0"/>
              <w:bottom w:val="single" w:color="auto" w:sz="4" w:space="0"/>
              <w:right w:val="single" w:color="auto" w:sz="4" w:space="0"/>
            </w:tcBorders>
            <w:noWrap w:val="0"/>
            <w:vAlign w:val="center"/>
          </w:tcPr>
          <w:p w14:paraId="42010ACD">
            <w:pPr>
              <w:jc w:val="center"/>
              <w:rPr>
                <w:color w:val="auto"/>
                <w:szCs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6C0C42C">
            <w:pPr>
              <w:jc w:val="center"/>
              <w:rPr>
                <w:color w:val="auto"/>
                <w:szCs w:val="24"/>
                <w:highlight w:val="none"/>
              </w:rPr>
            </w:pPr>
          </w:p>
        </w:tc>
      </w:tr>
    </w:tbl>
    <w:p w14:paraId="2A3AE475">
      <w:pPr>
        <w:rPr>
          <w:rFonts w:hint="eastAsia" w:ascii="Times New Roman" w:hAnsi="Times New Roman"/>
          <w:color w:val="auto"/>
          <w:szCs w:val="24"/>
          <w:highlight w:val="none"/>
        </w:rPr>
      </w:pPr>
    </w:p>
    <w:p w14:paraId="0B4BE12C">
      <w:pPr>
        <w:rPr>
          <w:color w:val="auto"/>
          <w:highlight w:val="none"/>
        </w:rPr>
      </w:pPr>
      <w:r>
        <w:rPr>
          <w:rFonts w:hint="eastAsia"/>
          <w:color w:val="auto"/>
          <w:highlight w:val="none"/>
        </w:rPr>
        <w:t>评标委员会全体成员签名：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r>
        <w:rPr>
          <w:color w:val="auto"/>
          <w:highlight w:val="none"/>
        </w:rPr>
        <w:br w:type="textWrapping"/>
      </w:r>
      <w:r>
        <w:rPr>
          <w:color w:val="auto"/>
          <w:highlight w:val="none"/>
        </w:rPr>
        <w:br w:type="textWrapping"/>
      </w:r>
    </w:p>
    <w:p w14:paraId="27658655">
      <w:pPr>
        <w:rPr>
          <w:color w:val="auto"/>
          <w:highlight w:val="none"/>
        </w:rPr>
      </w:pPr>
    </w:p>
    <w:p w14:paraId="63D3DA9C">
      <w:pPr>
        <w:rPr>
          <w:color w:val="auto"/>
          <w:highlight w:val="none"/>
        </w:rPr>
      </w:pPr>
      <w:r>
        <w:rPr>
          <w:rFonts w:hint="eastAsia"/>
          <w:color w:val="auto"/>
          <w:highlight w:val="none"/>
        </w:rPr>
        <w:t>备注：本表适用于办法一、二、三、四、五、六、七。</w:t>
      </w:r>
    </w:p>
    <w:p w14:paraId="5E8BE6AF">
      <w:pPr>
        <w:pStyle w:val="33"/>
        <w:rPr>
          <w:rFonts w:ascii="黑体"/>
          <w:color w:val="auto"/>
          <w:highlight w:val="none"/>
        </w:rPr>
      </w:pPr>
      <w:bookmarkStart w:id="779" w:name="_Toc23747"/>
      <w:bookmarkStart w:id="780" w:name="_Toc28531849"/>
      <w:r>
        <w:rPr>
          <w:rFonts w:hint="eastAsia"/>
          <w:color w:val="auto"/>
          <w:highlight w:val="none"/>
        </w:rPr>
        <w:t>附表</w:t>
      </w:r>
      <w:r>
        <w:rPr>
          <w:color w:val="auto"/>
          <w:highlight w:val="none"/>
        </w:rPr>
        <w:t>A-13</w:t>
      </w:r>
      <w:r>
        <w:rPr>
          <w:rFonts w:hint="eastAsia"/>
          <w:color w:val="auto"/>
          <w:highlight w:val="none"/>
        </w:rPr>
        <w:t>：评标结果汇总表</w:t>
      </w:r>
      <w:bookmarkEnd w:id="779"/>
      <w:bookmarkEnd w:id="780"/>
    </w:p>
    <w:p w14:paraId="0E5ED3E0">
      <w:pPr>
        <w:spacing w:after="240" w:afterLines="100"/>
        <w:jc w:val="center"/>
        <w:rPr>
          <w:rFonts w:hint="eastAsia" w:ascii="黑体" w:eastAsia="黑体"/>
          <w:color w:val="auto"/>
          <w:sz w:val="36"/>
          <w:szCs w:val="36"/>
          <w:highlight w:val="none"/>
        </w:rPr>
      </w:pPr>
      <w:r>
        <w:rPr>
          <w:rFonts w:hint="eastAsia" w:ascii="黑体" w:eastAsia="黑体"/>
          <w:color w:val="auto"/>
          <w:sz w:val="36"/>
          <w:szCs w:val="36"/>
          <w:highlight w:val="none"/>
        </w:rPr>
        <w:t>评标结果汇总表</w:t>
      </w:r>
    </w:p>
    <w:p w14:paraId="1DE96E21">
      <w:pPr>
        <w:spacing w:after="240" w:afterLines="100"/>
        <w:rPr>
          <w:rFonts w:hint="eastAsia" w:ascii="Times New Roman"/>
          <w:color w:val="auto"/>
          <w:szCs w:val="24"/>
          <w:highlight w:val="none"/>
        </w:rPr>
      </w:pPr>
      <w:r>
        <w:rPr>
          <w:rFonts w:hint="eastAsia" w:ascii="宋体" w:hAnsi="宋体"/>
          <w:color w:val="auto"/>
          <w:szCs w:val="44"/>
          <w:highlight w:val="none"/>
        </w:rPr>
        <w:t>工程名称：</w:t>
      </w:r>
      <w:r>
        <w:rPr>
          <w:rFonts w:hint="eastAsia" w:ascii="宋体" w:hAnsi="宋体"/>
          <w:color w:val="auto"/>
          <w:szCs w:val="44"/>
          <w:highlight w:val="none"/>
          <w:u w:val="single"/>
        </w:rPr>
        <w:t xml:space="preserve">               </w:t>
      </w:r>
      <w:r>
        <w:rPr>
          <w:rFonts w:hint="eastAsia" w:ascii="宋体" w:hAnsi="宋体"/>
          <w:color w:val="auto"/>
          <w:szCs w:val="44"/>
          <w:highlight w:val="none"/>
        </w:rPr>
        <w:t>(项目名称)</w:t>
      </w:r>
      <w:r>
        <w:rPr>
          <w:rFonts w:hint="eastAsia" w:ascii="宋体" w:hAnsi="宋体"/>
          <w:color w:val="auto"/>
          <w:szCs w:val="44"/>
          <w:highlight w:val="none"/>
          <w:u w:val="single"/>
        </w:rPr>
        <w:t xml:space="preserve">       </w:t>
      </w:r>
      <w:r>
        <w:rPr>
          <w:rFonts w:hint="eastAsia"/>
          <w:color w:val="auto"/>
          <w:highlight w:val="none"/>
        </w:rPr>
        <w:t>（标段名称）</w:t>
      </w:r>
      <w:r>
        <w:rPr>
          <w:rFonts w:hint="eastAsia" w:ascii="宋体" w:hAnsi="宋体"/>
          <w:color w:val="auto"/>
          <w:szCs w:val="44"/>
          <w:highlight w:val="none"/>
        </w:rPr>
        <w:t xml:space="preserve">      　　　　　　　　　　　　　　　　　　　　　 </w:t>
      </w:r>
      <w:r>
        <w:rPr>
          <w:rFonts w:hint="eastAsia"/>
          <w:color w:val="auto"/>
          <w:highlight w:val="none"/>
        </w:rPr>
        <w:t>单位：人民币元</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1177"/>
        <w:gridCol w:w="1178"/>
        <w:gridCol w:w="1178"/>
        <w:gridCol w:w="1177"/>
        <w:gridCol w:w="1178"/>
        <w:gridCol w:w="1178"/>
        <w:gridCol w:w="1177"/>
        <w:gridCol w:w="1178"/>
        <w:gridCol w:w="1178"/>
      </w:tblGrid>
      <w:tr w14:paraId="5087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8" w:type="dxa"/>
            <w:vMerge w:val="restart"/>
            <w:tcBorders>
              <w:top w:val="single" w:color="auto" w:sz="4" w:space="0"/>
              <w:left w:val="single" w:color="auto" w:sz="4" w:space="0"/>
              <w:bottom w:val="single" w:color="auto" w:sz="4" w:space="0"/>
              <w:right w:val="single" w:color="auto" w:sz="4" w:space="0"/>
            </w:tcBorders>
            <w:noWrap w:val="0"/>
            <w:vAlign w:val="center"/>
          </w:tcPr>
          <w:p w14:paraId="6B7136A5">
            <w:pPr>
              <w:jc w:val="center"/>
              <w:rPr>
                <w:color w:val="auto"/>
                <w:szCs w:val="24"/>
                <w:highlight w:val="none"/>
              </w:rPr>
            </w:pPr>
            <w:r>
              <w:rPr>
                <w:rFonts w:hint="eastAsia"/>
                <w:color w:val="auto"/>
                <w:highlight w:val="none"/>
              </w:rPr>
              <w:t>项目</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08BAD1B4">
            <w:pPr>
              <w:jc w:val="center"/>
              <w:rPr>
                <w:color w:val="auto"/>
                <w:szCs w:val="24"/>
                <w:highlight w:val="none"/>
              </w:rPr>
            </w:pPr>
            <w:r>
              <w:rPr>
                <w:rFonts w:hint="eastAsia"/>
                <w:color w:val="auto"/>
                <w:highlight w:val="none"/>
              </w:rPr>
              <w:t>投标人名称</w:t>
            </w:r>
          </w:p>
        </w:tc>
      </w:tr>
      <w:tr w14:paraId="425B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CBDA203">
            <w:pPr>
              <w:widowControl/>
              <w:jc w:val="left"/>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7C57E4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4854845">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A04B372">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C07F8E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DA54165">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B78A11C">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21AF5E68">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949B0F1">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CC7637C">
            <w:pPr>
              <w:jc w:val="center"/>
              <w:rPr>
                <w:color w:val="auto"/>
                <w:szCs w:val="24"/>
                <w:highlight w:val="none"/>
              </w:rPr>
            </w:pPr>
          </w:p>
        </w:tc>
      </w:tr>
      <w:tr w14:paraId="2810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750E9B80">
            <w:pPr>
              <w:jc w:val="center"/>
              <w:rPr>
                <w:color w:val="auto"/>
                <w:szCs w:val="24"/>
                <w:highlight w:val="none"/>
              </w:rPr>
            </w:pPr>
            <w:r>
              <w:rPr>
                <w:rFonts w:hint="eastAsia"/>
                <w:color w:val="auto"/>
                <w:highlight w:val="none"/>
              </w:rPr>
              <w:t>投标报价</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4ECEA6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9177AF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7F2CE0E1">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6B71AD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0507B98">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982DD84">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869287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DDED484">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DF31487">
            <w:pPr>
              <w:jc w:val="center"/>
              <w:rPr>
                <w:color w:val="auto"/>
                <w:szCs w:val="24"/>
                <w:highlight w:val="none"/>
              </w:rPr>
            </w:pPr>
          </w:p>
        </w:tc>
      </w:tr>
      <w:tr w14:paraId="08B8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431A4A3A">
            <w:pPr>
              <w:spacing w:after="120" w:afterLines="50"/>
              <w:jc w:val="center"/>
              <w:rPr>
                <w:rFonts w:ascii="宋体" w:hAnsi="宋体" w:cs="Arial"/>
                <w:color w:val="auto"/>
                <w:szCs w:val="21"/>
                <w:highlight w:val="none"/>
              </w:rPr>
            </w:pPr>
            <w:r>
              <w:rPr>
                <w:rFonts w:hint="eastAsia" w:ascii="宋体" w:hAnsi="宋体" w:cs="Arial"/>
                <w:color w:val="auto"/>
                <w:szCs w:val="21"/>
                <w:highlight w:val="none"/>
              </w:rPr>
              <w:t>修正后投标报价（如有）</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EA4EE0E">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DA7FCC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727DFDB">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15DA89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3F3E38F">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B929C64">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4CC48D6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4BC12FD">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3890B35">
            <w:pPr>
              <w:jc w:val="center"/>
              <w:rPr>
                <w:color w:val="auto"/>
                <w:szCs w:val="24"/>
                <w:highlight w:val="none"/>
              </w:rPr>
            </w:pPr>
          </w:p>
        </w:tc>
      </w:tr>
      <w:tr w14:paraId="7194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53FEB208">
            <w:pPr>
              <w:jc w:val="center"/>
              <w:rPr>
                <w:color w:val="auto"/>
                <w:szCs w:val="24"/>
                <w:highlight w:val="none"/>
              </w:rPr>
            </w:pPr>
            <w:r>
              <w:rPr>
                <w:rFonts w:hint="eastAsia" w:ascii="宋体" w:hAnsi="宋体" w:cs="Arial"/>
                <w:color w:val="auto"/>
                <w:szCs w:val="21"/>
                <w:highlight w:val="none"/>
              </w:rPr>
              <w:t>评标价</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BC00529">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7FF92D00">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120BC2F">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530562F">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31C8F62">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486CCD4">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4B33C7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ACA8373">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7384E022">
            <w:pPr>
              <w:jc w:val="center"/>
              <w:rPr>
                <w:color w:val="auto"/>
                <w:szCs w:val="24"/>
                <w:highlight w:val="none"/>
              </w:rPr>
            </w:pPr>
          </w:p>
        </w:tc>
      </w:tr>
      <w:tr w14:paraId="4E9B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28E4D627">
            <w:pPr>
              <w:jc w:val="center"/>
              <w:rPr>
                <w:color w:val="auto"/>
                <w:szCs w:val="24"/>
                <w:highlight w:val="none"/>
              </w:rPr>
            </w:pPr>
            <w:r>
              <w:rPr>
                <w:rFonts w:hint="eastAsia"/>
                <w:color w:val="auto"/>
                <w:highlight w:val="none"/>
              </w:rPr>
              <w:t>评标基准价</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0950B2DC">
            <w:pPr>
              <w:jc w:val="center"/>
              <w:rPr>
                <w:color w:val="auto"/>
                <w:szCs w:val="24"/>
                <w:highlight w:val="none"/>
              </w:rPr>
            </w:pPr>
          </w:p>
        </w:tc>
      </w:tr>
      <w:tr w14:paraId="3583B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51B40F26">
            <w:pPr>
              <w:jc w:val="center"/>
              <w:rPr>
                <w:color w:val="auto"/>
                <w:szCs w:val="24"/>
                <w:highlight w:val="none"/>
              </w:rPr>
            </w:pPr>
            <w:r>
              <w:rPr>
                <w:rFonts w:hint="eastAsia"/>
                <w:color w:val="auto"/>
                <w:highlight w:val="none"/>
              </w:rPr>
              <w:t>偏差率</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2E9935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48550C4">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17A7B81">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B979EBC">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0B7759BC">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72808A36">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A406742">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1A4F41DB">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C09EDA1">
            <w:pPr>
              <w:jc w:val="center"/>
              <w:rPr>
                <w:color w:val="auto"/>
                <w:szCs w:val="24"/>
                <w:highlight w:val="none"/>
              </w:rPr>
            </w:pPr>
          </w:p>
        </w:tc>
      </w:tr>
      <w:tr w14:paraId="5099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616DAC43">
            <w:pPr>
              <w:jc w:val="center"/>
              <w:rPr>
                <w:color w:val="auto"/>
                <w:szCs w:val="24"/>
                <w:highlight w:val="none"/>
              </w:rPr>
            </w:pPr>
            <w:r>
              <w:rPr>
                <w:rFonts w:hint="eastAsia"/>
                <w:color w:val="auto"/>
                <w:highlight w:val="none"/>
              </w:rPr>
              <w:t>招标控制价</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3F00B9D8">
            <w:pPr>
              <w:jc w:val="center"/>
              <w:rPr>
                <w:color w:val="auto"/>
                <w:szCs w:val="24"/>
                <w:highlight w:val="none"/>
              </w:rPr>
            </w:pPr>
          </w:p>
        </w:tc>
      </w:tr>
      <w:tr w14:paraId="4682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6C3F3084">
            <w:pPr>
              <w:jc w:val="center"/>
              <w:rPr>
                <w:color w:val="auto"/>
                <w:szCs w:val="24"/>
                <w:highlight w:val="none"/>
              </w:rPr>
            </w:pPr>
            <w:r>
              <w:rPr>
                <w:rFonts w:hint="eastAsia" w:ascii="宋体" w:hAnsi="宋体" w:cs="Arial"/>
                <w:color w:val="auto"/>
                <w:szCs w:val="21"/>
                <w:highlight w:val="none"/>
              </w:rPr>
              <w:t>*期望合理价</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41563709">
            <w:pPr>
              <w:jc w:val="center"/>
              <w:rPr>
                <w:color w:val="auto"/>
                <w:szCs w:val="24"/>
                <w:highlight w:val="none"/>
              </w:rPr>
            </w:pPr>
          </w:p>
        </w:tc>
      </w:tr>
      <w:tr w14:paraId="7D390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0D9E4CCF">
            <w:pPr>
              <w:jc w:val="center"/>
              <w:rPr>
                <w:color w:val="auto"/>
                <w:szCs w:val="24"/>
                <w:highlight w:val="none"/>
              </w:rPr>
            </w:pPr>
            <w:r>
              <w:rPr>
                <w:rFonts w:hint="eastAsia" w:ascii="宋体" w:hAnsi="宋体" w:cs="Arial"/>
                <w:color w:val="auto"/>
                <w:szCs w:val="21"/>
                <w:highlight w:val="none"/>
              </w:rPr>
              <w:t>*确定</w:t>
            </w:r>
            <w:r>
              <w:rPr>
                <w:rFonts w:hint="eastAsia"/>
                <w:color w:val="auto"/>
                <w:highlight w:val="none"/>
              </w:rPr>
              <w:t>有效评标价</w:t>
            </w:r>
          </w:p>
        </w:tc>
        <w:tc>
          <w:tcPr>
            <w:tcW w:w="10599" w:type="dxa"/>
            <w:gridSpan w:val="9"/>
            <w:tcBorders>
              <w:top w:val="single" w:color="auto" w:sz="4" w:space="0"/>
              <w:left w:val="single" w:color="auto" w:sz="4" w:space="0"/>
              <w:bottom w:val="single" w:color="auto" w:sz="4" w:space="0"/>
              <w:right w:val="single" w:color="auto" w:sz="4" w:space="0"/>
            </w:tcBorders>
            <w:noWrap w:val="0"/>
            <w:vAlign w:val="center"/>
          </w:tcPr>
          <w:p w14:paraId="3457C2C6">
            <w:pPr>
              <w:jc w:val="center"/>
              <w:rPr>
                <w:color w:val="auto"/>
                <w:szCs w:val="24"/>
                <w:highlight w:val="none"/>
              </w:rPr>
            </w:pPr>
          </w:p>
        </w:tc>
      </w:tr>
      <w:tr w14:paraId="29A0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tcBorders>
              <w:top w:val="single" w:color="auto" w:sz="4" w:space="0"/>
              <w:left w:val="single" w:color="auto" w:sz="4" w:space="0"/>
              <w:bottom w:val="single" w:color="auto" w:sz="4" w:space="0"/>
              <w:right w:val="single" w:color="auto" w:sz="4" w:space="0"/>
            </w:tcBorders>
            <w:noWrap w:val="0"/>
            <w:vAlign w:val="center"/>
          </w:tcPr>
          <w:p w14:paraId="6DEF9B6F">
            <w:pPr>
              <w:jc w:val="center"/>
              <w:rPr>
                <w:color w:val="auto"/>
                <w:szCs w:val="24"/>
                <w:highlight w:val="none"/>
              </w:rPr>
            </w:pPr>
            <w:r>
              <w:rPr>
                <w:rFonts w:hint="eastAsia" w:ascii="宋体" w:hAnsi="宋体" w:cs="Arial"/>
                <w:color w:val="auto"/>
                <w:szCs w:val="21"/>
                <w:highlight w:val="none"/>
              </w:rPr>
              <w:t>*</w:t>
            </w:r>
            <w:r>
              <w:rPr>
                <w:rFonts w:hint="eastAsia"/>
                <w:color w:val="auto"/>
                <w:highlight w:val="none"/>
              </w:rPr>
              <w:t>有效评标价排序</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6405146">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152B8F9">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7018F61">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87CF084">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FAAF127">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EC55E80">
            <w:pPr>
              <w:jc w:val="center"/>
              <w:rPr>
                <w:color w:val="auto"/>
                <w:szCs w:val="24"/>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C0D6565">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B9B3E94">
            <w:pPr>
              <w:jc w:val="center"/>
              <w:rPr>
                <w:color w:val="auto"/>
                <w:szCs w:val="24"/>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16A7BAD">
            <w:pPr>
              <w:jc w:val="center"/>
              <w:rPr>
                <w:color w:val="auto"/>
                <w:szCs w:val="24"/>
                <w:highlight w:val="none"/>
              </w:rPr>
            </w:pPr>
          </w:p>
        </w:tc>
      </w:tr>
    </w:tbl>
    <w:p w14:paraId="00B87FF2">
      <w:pPr>
        <w:rPr>
          <w:rFonts w:ascii="Times New Roman" w:hAnsi="Times New Roman"/>
          <w:color w:val="auto"/>
          <w:highlight w:val="none"/>
        </w:rPr>
      </w:pPr>
    </w:p>
    <w:p w14:paraId="0CB0DA98">
      <w:pPr>
        <w:rPr>
          <w:color w:val="auto"/>
          <w:highlight w:val="none"/>
        </w:rPr>
      </w:pPr>
      <w:r>
        <w:rPr>
          <w:rFonts w:hint="eastAsia"/>
          <w:color w:val="auto"/>
          <w:highlight w:val="none"/>
        </w:rPr>
        <w:t>评标委员会成员签名：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748F910B">
      <w:pPr>
        <w:rPr>
          <w:color w:val="auto"/>
          <w:highlight w:val="none"/>
        </w:rPr>
      </w:pPr>
    </w:p>
    <w:p w14:paraId="642A2A7D">
      <w:pPr>
        <w:rPr>
          <w:color w:val="auto"/>
          <w:highlight w:val="none"/>
        </w:rPr>
      </w:pPr>
    </w:p>
    <w:p w14:paraId="67C6A9F3">
      <w:pPr>
        <w:rPr>
          <w:color w:val="auto"/>
          <w:highlight w:val="none"/>
        </w:rPr>
      </w:pPr>
    </w:p>
    <w:p w14:paraId="0CF02745">
      <w:pPr>
        <w:rPr>
          <w:color w:val="auto"/>
          <w:highlight w:val="none"/>
        </w:rPr>
      </w:pPr>
      <w:r>
        <w:rPr>
          <w:rFonts w:hint="eastAsia"/>
          <w:color w:val="auto"/>
          <w:highlight w:val="none"/>
        </w:rPr>
        <w:t>备注：本表适用于办法八。</w:t>
      </w:r>
    </w:p>
    <w:p w14:paraId="05403CA4">
      <w:pPr>
        <w:rPr>
          <w:color w:val="auto"/>
          <w:highlight w:val="none"/>
        </w:rPr>
      </w:pPr>
    </w:p>
    <w:p w14:paraId="3FB32A36">
      <w:pPr>
        <w:pStyle w:val="33"/>
        <w:rPr>
          <w:color w:val="auto"/>
          <w:highlight w:val="none"/>
        </w:rPr>
      </w:pPr>
      <w:bookmarkStart w:id="781" w:name="_Toc28531850"/>
      <w:bookmarkStart w:id="782" w:name="_Toc26791"/>
      <w:r>
        <w:rPr>
          <w:rFonts w:hint="eastAsia"/>
          <w:color w:val="auto"/>
          <w:highlight w:val="none"/>
        </w:rPr>
        <w:t>附表</w:t>
      </w:r>
      <w:r>
        <w:rPr>
          <w:color w:val="auto"/>
          <w:highlight w:val="none"/>
        </w:rPr>
        <w:t>A-14</w:t>
      </w:r>
      <w:r>
        <w:rPr>
          <w:rFonts w:hint="eastAsia"/>
          <w:color w:val="auto"/>
          <w:highlight w:val="none"/>
        </w:rPr>
        <w:t>：否决投标的情况说明表</w:t>
      </w:r>
      <w:bookmarkEnd w:id="781"/>
      <w:bookmarkEnd w:id="782"/>
    </w:p>
    <w:p w14:paraId="67D66F72">
      <w:pPr>
        <w:spacing w:before="120" w:beforeLines="50" w:after="120" w:afterLines="50" w:line="440" w:lineRule="exact"/>
        <w:jc w:val="center"/>
        <w:rPr>
          <w:rFonts w:ascii="黑体" w:eastAsia="黑体"/>
          <w:color w:val="auto"/>
          <w:sz w:val="28"/>
          <w:szCs w:val="28"/>
          <w:highlight w:val="none"/>
        </w:rPr>
      </w:pPr>
      <w:r>
        <w:rPr>
          <w:rFonts w:hint="eastAsia" w:ascii="黑体" w:eastAsia="黑体"/>
          <w:color w:val="auto"/>
          <w:sz w:val="28"/>
          <w:szCs w:val="28"/>
          <w:highlight w:val="none"/>
        </w:rPr>
        <w:t>否决投标的情况说明表</w:t>
      </w:r>
    </w:p>
    <w:p w14:paraId="4A9F4F59">
      <w:pPr>
        <w:spacing w:after="72" w:afterLines="30" w:line="440" w:lineRule="exact"/>
        <w:rPr>
          <w:rFonts w:hint="eastAsia" w:ascii="Times New Roman"/>
          <w:color w:val="auto"/>
          <w:szCs w:val="24"/>
          <w:highlight w:val="none"/>
        </w:rPr>
      </w:pPr>
      <w:r>
        <w:rPr>
          <w:rFonts w:hint="eastAsia" w:ascii="宋体" w:hAnsi="宋体"/>
          <w:color w:val="auto"/>
          <w:highlight w:val="none"/>
        </w:rPr>
        <w:t>工程名称：</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color w:val="auto"/>
          <w:highlight w:val="none"/>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160"/>
        <w:gridCol w:w="2520"/>
        <w:gridCol w:w="8259"/>
      </w:tblGrid>
      <w:tr w14:paraId="3E40B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24C954D5">
            <w:pPr>
              <w:jc w:val="center"/>
              <w:rPr>
                <w:rFonts w:ascii="宋体" w:hAnsi="宋体"/>
                <w:color w:val="auto"/>
                <w:szCs w:val="21"/>
                <w:highlight w:val="none"/>
              </w:rPr>
            </w:pPr>
            <w:r>
              <w:rPr>
                <w:rFonts w:hint="eastAsia" w:ascii="宋体" w:hAnsi="宋体"/>
                <w:color w:val="auto"/>
                <w:szCs w:val="21"/>
                <w:highlight w:val="none"/>
              </w:rPr>
              <w:t>序号</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DFA4C15">
            <w:pPr>
              <w:jc w:val="center"/>
              <w:rPr>
                <w:rFonts w:ascii="宋体" w:hAnsi="宋体"/>
                <w:color w:val="auto"/>
                <w:szCs w:val="21"/>
                <w:highlight w:val="none"/>
              </w:rPr>
            </w:pPr>
            <w:r>
              <w:rPr>
                <w:rFonts w:hint="eastAsia" w:ascii="宋体" w:hAnsi="宋体"/>
                <w:color w:val="auto"/>
                <w:szCs w:val="21"/>
                <w:highlight w:val="none"/>
              </w:rPr>
              <w:t>投标人名称</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6619A23A">
            <w:pPr>
              <w:jc w:val="center"/>
              <w:rPr>
                <w:rFonts w:ascii="宋体" w:hAnsi="宋体"/>
                <w:color w:val="auto"/>
                <w:szCs w:val="21"/>
                <w:highlight w:val="none"/>
              </w:rPr>
            </w:pPr>
            <w:r>
              <w:rPr>
                <w:rFonts w:hint="eastAsia" w:ascii="宋体" w:hAnsi="宋体"/>
                <w:color w:val="auto"/>
                <w:szCs w:val="21"/>
                <w:highlight w:val="none"/>
              </w:rPr>
              <w:t>否决投标的依据</w:t>
            </w:r>
          </w:p>
        </w:tc>
        <w:tc>
          <w:tcPr>
            <w:tcW w:w="8259" w:type="dxa"/>
            <w:tcBorders>
              <w:top w:val="single" w:color="auto" w:sz="4" w:space="0"/>
              <w:left w:val="single" w:color="auto" w:sz="4" w:space="0"/>
              <w:bottom w:val="single" w:color="auto" w:sz="4" w:space="0"/>
              <w:right w:val="single" w:color="auto" w:sz="4" w:space="0"/>
            </w:tcBorders>
            <w:noWrap w:val="0"/>
            <w:vAlign w:val="center"/>
          </w:tcPr>
          <w:p w14:paraId="6FD1DCFE">
            <w:pPr>
              <w:jc w:val="center"/>
              <w:rPr>
                <w:rFonts w:ascii="宋体" w:hAnsi="宋体"/>
                <w:color w:val="auto"/>
                <w:szCs w:val="21"/>
                <w:highlight w:val="none"/>
              </w:rPr>
            </w:pPr>
            <w:r>
              <w:rPr>
                <w:rFonts w:hint="eastAsia" w:ascii="宋体" w:hAnsi="宋体"/>
                <w:color w:val="auto"/>
                <w:szCs w:val="21"/>
                <w:highlight w:val="none"/>
              </w:rPr>
              <w:t>投标文件存在的具体问题</w:t>
            </w:r>
          </w:p>
        </w:tc>
      </w:tr>
      <w:tr w14:paraId="262C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26741D9D">
            <w:pPr>
              <w:jc w:val="center"/>
              <w:rPr>
                <w:rFonts w:ascii="宋体" w:hAnsi="宋体"/>
                <w:color w:val="auto"/>
                <w:szCs w:val="21"/>
                <w:highlight w:val="none"/>
              </w:rPr>
            </w:pPr>
            <w:r>
              <w:rPr>
                <w:rFonts w:hint="eastAsia" w:ascii="宋体" w:hAnsi="宋体"/>
                <w:color w:val="auto"/>
                <w:szCs w:val="21"/>
                <w:highlight w:val="none"/>
              </w:rPr>
              <w:t>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032EABD">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36EFD135">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7F599141">
            <w:pPr>
              <w:jc w:val="center"/>
              <w:rPr>
                <w:rFonts w:ascii="宋体" w:hAnsi="宋体"/>
                <w:color w:val="auto"/>
                <w:szCs w:val="21"/>
                <w:highlight w:val="none"/>
              </w:rPr>
            </w:pPr>
          </w:p>
        </w:tc>
      </w:tr>
      <w:tr w14:paraId="3018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4CF66F5A">
            <w:pPr>
              <w:jc w:val="center"/>
              <w:rPr>
                <w:rFonts w:ascii="宋体" w:hAnsi="宋体"/>
                <w:color w:val="auto"/>
                <w:szCs w:val="21"/>
                <w:highlight w:val="none"/>
              </w:rPr>
            </w:pPr>
            <w:r>
              <w:rPr>
                <w:rFonts w:hint="eastAsia" w:ascii="宋体" w:hAnsi="宋体"/>
                <w:color w:val="auto"/>
                <w:szCs w:val="21"/>
                <w:highlight w:val="none"/>
              </w:rPr>
              <w:t>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CF2635D">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1201EEA2">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4153294B">
            <w:pPr>
              <w:jc w:val="center"/>
              <w:rPr>
                <w:rFonts w:ascii="宋体" w:hAnsi="宋体"/>
                <w:color w:val="auto"/>
                <w:szCs w:val="21"/>
                <w:highlight w:val="none"/>
              </w:rPr>
            </w:pPr>
          </w:p>
        </w:tc>
      </w:tr>
      <w:tr w14:paraId="147B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18C0A7E1">
            <w:pPr>
              <w:jc w:val="center"/>
              <w:rPr>
                <w:rFonts w:ascii="宋体" w:hAnsi="宋体"/>
                <w:color w:val="auto"/>
                <w:szCs w:val="21"/>
                <w:highlight w:val="none"/>
              </w:rPr>
            </w:pPr>
            <w:r>
              <w:rPr>
                <w:rFonts w:hint="eastAsia" w:ascii="宋体" w:hAnsi="宋体"/>
                <w:color w:val="auto"/>
                <w:szCs w:val="21"/>
                <w:highlight w:val="none"/>
              </w:rPr>
              <w:t>3</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8A21A6B">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71F30DF7">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21705E07">
            <w:pPr>
              <w:jc w:val="center"/>
              <w:rPr>
                <w:rFonts w:ascii="宋体" w:hAnsi="宋体"/>
                <w:color w:val="auto"/>
                <w:szCs w:val="21"/>
                <w:highlight w:val="none"/>
              </w:rPr>
            </w:pPr>
          </w:p>
        </w:tc>
      </w:tr>
      <w:tr w14:paraId="5CCB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3C3BBDE7">
            <w:pPr>
              <w:jc w:val="center"/>
              <w:rPr>
                <w:rFonts w:ascii="宋体" w:hAnsi="宋体"/>
                <w:color w:val="auto"/>
                <w:szCs w:val="21"/>
                <w:highlight w:val="none"/>
              </w:rPr>
            </w:pPr>
            <w:r>
              <w:rPr>
                <w:rFonts w:hint="eastAsia" w:ascii="宋体" w:hAnsi="宋体"/>
                <w:color w:val="auto"/>
                <w:szCs w:val="21"/>
                <w:highlight w:val="none"/>
              </w:rPr>
              <w:t>4</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0D63B35">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2F283F46">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159E15E1">
            <w:pPr>
              <w:jc w:val="center"/>
              <w:rPr>
                <w:rFonts w:ascii="宋体" w:hAnsi="宋体"/>
                <w:color w:val="auto"/>
                <w:szCs w:val="21"/>
                <w:highlight w:val="none"/>
              </w:rPr>
            </w:pPr>
          </w:p>
        </w:tc>
      </w:tr>
      <w:tr w14:paraId="7529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6D1F5B0A">
            <w:pPr>
              <w:jc w:val="center"/>
              <w:rPr>
                <w:rFonts w:ascii="宋体" w:hAnsi="宋体"/>
                <w:color w:val="auto"/>
                <w:szCs w:val="21"/>
                <w:highlight w:val="none"/>
              </w:rPr>
            </w:pPr>
            <w:r>
              <w:rPr>
                <w:rFonts w:hint="eastAsia" w:ascii="宋体" w:hAnsi="宋体"/>
                <w:color w:val="auto"/>
                <w:szCs w:val="21"/>
                <w:highlight w:val="none"/>
              </w:rPr>
              <w:t>5</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CAD9F75">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2C71D9D3">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62BC1DE8">
            <w:pPr>
              <w:jc w:val="center"/>
              <w:rPr>
                <w:rFonts w:ascii="宋体" w:hAnsi="宋体"/>
                <w:color w:val="auto"/>
                <w:szCs w:val="21"/>
                <w:highlight w:val="none"/>
              </w:rPr>
            </w:pPr>
          </w:p>
        </w:tc>
      </w:tr>
      <w:tr w14:paraId="17DD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0D4CD682">
            <w:pPr>
              <w:jc w:val="center"/>
              <w:rPr>
                <w:rFonts w:ascii="宋体" w:hAnsi="宋体"/>
                <w:color w:val="auto"/>
                <w:szCs w:val="21"/>
                <w:highlight w:val="none"/>
              </w:rPr>
            </w:pPr>
            <w:r>
              <w:rPr>
                <w:rFonts w:hint="eastAsia" w:ascii="宋体" w:hAnsi="宋体"/>
                <w:color w:val="auto"/>
                <w:szCs w:val="21"/>
                <w:highlight w:val="none"/>
              </w:rPr>
              <w:t>6</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4875745">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68C93E2F">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7636BB5D">
            <w:pPr>
              <w:jc w:val="center"/>
              <w:rPr>
                <w:rFonts w:ascii="宋体" w:hAnsi="宋体"/>
                <w:color w:val="auto"/>
                <w:szCs w:val="21"/>
                <w:highlight w:val="none"/>
              </w:rPr>
            </w:pPr>
          </w:p>
        </w:tc>
      </w:tr>
      <w:tr w14:paraId="78536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1E9AA2F3">
            <w:pPr>
              <w:jc w:val="center"/>
              <w:rPr>
                <w:rFonts w:ascii="宋体" w:hAnsi="宋体"/>
                <w:color w:val="auto"/>
                <w:szCs w:val="21"/>
                <w:highlight w:val="none"/>
              </w:rPr>
            </w:pPr>
            <w:r>
              <w:rPr>
                <w:rFonts w:hint="eastAsia" w:ascii="宋体" w:hAnsi="宋体"/>
                <w:color w:val="auto"/>
                <w:szCs w:val="21"/>
                <w:highlight w:val="none"/>
              </w:rPr>
              <w:t>7</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670A417">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3F00EF74">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7ACCA322">
            <w:pPr>
              <w:jc w:val="center"/>
              <w:rPr>
                <w:rFonts w:ascii="宋体" w:hAnsi="宋体"/>
                <w:color w:val="auto"/>
                <w:szCs w:val="21"/>
                <w:highlight w:val="none"/>
              </w:rPr>
            </w:pPr>
          </w:p>
        </w:tc>
      </w:tr>
      <w:tr w14:paraId="748A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2416913A">
            <w:pPr>
              <w:jc w:val="center"/>
              <w:rPr>
                <w:rFonts w:ascii="宋体" w:hAnsi="宋体"/>
                <w:color w:val="auto"/>
                <w:szCs w:val="21"/>
                <w:highlight w:val="none"/>
              </w:rPr>
            </w:pPr>
            <w:r>
              <w:rPr>
                <w:rFonts w:hint="eastAsia" w:ascii="宋体" w:hAnsi="宋体"/>
                <w:color w:val="auto"/>
                <w:szCs w:val="21"/>
                <w:highlight w:val="none"/>
              </w:rPr>
              <w:t>8</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B03F3CC">
            <w:pPr>
              <w:jc w:val="center"/>
              <w:rPr>
                <w:rFonts w:ascii="宋体" w:hAnsi="宋体"/>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0851FFC5">
            <w:pPr>
              <w:jc w:val="center"/>
              <w:rPr>
                <w:rFonts w:ascii="宋体" w:hAnsi="宋体"/>
                <w:color w:val="auto"/>
                <w:szCs w:val="21"/>
                <w:highlight w:val="none"/>
              </w:rPr>
            </w:pPr>
          </w:p>
        </w:tc>
        <w:tc>
          <w:tcPr>
            <w:tcW w:w="8259" w:type="dxa"/>
            <w:tcBorders>
              <w:top w:val="single" w:color="auto" w:sz="4" w:space="0"/>
              <w:left w:val="single" w:color="auto" w:sz="4" w:space="0"/>
              <w:bottom w:val="single" w:color="auto" w:sz="4" w:space="0"/>
              <w:right w:val="single" w:color="auto" w:sz="4" w:space="0"/>
            </w:tcBorders>
            <w:noWrap w:val="0"/>
            <w:vAlign w:val="center"/>
          </w:tcPr>
          <w:p w14:paraId="5C17FDFE">
            <w:pPr>
              <w:jc w:val="center"/>
              <w:rPr>
                <w:rFonts w:ascii="宋体" w:hAnsi="宋体"/>
                <w:color w:val="auto"/>
                <w:szCs w:val="21"/>
                <w:highlight w:val="none"/>
              </w:rPr>
            </w:pPr>
          </w:p>
        </w:tc>
      </w:tr>
    </w:tbl>
    <w:p w14:paraId="0E45269A">
      <w:pPr>
        <w:spacing w:line="440" w:lineRule="exact"/>
        <w:rPr>
          <w:rFonts w:ascii="Times New Roman" w:hAnsi="Times New Roman"/>
          <w:color w:val="auto"/>
          <w:highlight w:val="none"/>
        </w:rPr>
      </w:pPr>
    </w:p>
    <w:p w14:paraId="7CF9582E">
      <w:pPr>
        <w:spacing w:line="440" w:lineRule="exact"/>
        <w:rPr>
          <w:color w:val="auto"/>
          <w:highlight w:val="none"/>
        </w:rPr>
      </w:pPr>
      <w:r>
        <w:rPr>
          <w:rFonts w:hint="eastAsia"/>
          <w:color w:val="auto"/>
          <w:highlight w:val="none"/>
        </w:rPr>
        <w:t>评标委员会全体成员签名：</w:t>
      </w:r>
      <w:r>
        <w:rPr>
          <w:color w:val="auto"/>
          <w:highlight w:val="none"/>
        </w:rPr>
        <w:t xml:space="preserve">                                                                        </w:t>
      </w: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61E4AB23">
      <w:pPr>
        <w:spacing w:line="440" w:lineRule="exact"/>
        <w:rPr>
          <w:color w:val="auto"/>
          <w:highlight w:val="none"/>
        </w:rPr>
      </w:pPr>
    </w:p>
    <w:p w14:paraId="3423E7B8">
      <w:pPr>
        <w:spacing w:line="440" w:lineRule="exact"/>
        <w:rPr>
          <w:color w:val="auto"/>
          <w:highlight w:val="none"/>
        </w:rPr>
      </w:pPr>
    </w:p>
    <w:p w14:paraId="37430F35">
      <w:pPr>
        <w:spacing w:line="420" w:lineRule="exact"/>
        <w:ind w:left="630" w:hanging="630" w:hangingChars="300"/>
        <w:rPr>
          <w:color w:val="auto"/>
          <w:highlight w:val="none"/>
        </w:rPr>
      </w:pPr>
      <w:r>
        <w:rPr>
          <w:rFonts w:hint="eastAsia"/>
          <w:color w:val="auto"/>
          <w:highlight w:val="none"/>
        </w:rPr>
        <w:t>备注：</w:t>
      </w:r>
      <w:r>
        <w:rPr>
          <w:rFonts w:hint="eastAsia"/>
          <w:color w:val="auto"/>
          <w:szCs w:val="21"/>
          <w:highlight w:val="none"/>
        </w:rPr>
        <w:t>投标人存在</w:t>
      </w:r>
      <w:r>
        <w:rPr>
          <w:rFonts w:hint="eastAsia"/>
          <w:color w:val="auto"/>
          <w:highlight w:val="none"/>
        </w:rPr>
        <w:t>串通投标、弄虚作假、行贿或有其他违法行为，或者不按评标委员会要求澄清、说明或补正导致投标被否决的，应当在本表中记录。</w:t>
      </w:r>
    </w:p>
    <w:p w14:paraId="3E88D58B">
      <w:pPr>
        <w:widowControl/>
        <w:jc w:val="left"/>
        <w:rPr>
          <w:color w:val="auto"/>
          <w:highlight w:val="none"/>
        </w:rPr>
        <w:sectPr>
          <w:pgSz w:w="16840" w:h="11907" w:orient="landscape"/>
          <w:pgMar w:top="1531" w:right="1588" w:bottom="1474" w:left="1701" w:header="851" w:footer="851" w:gutter="0"/>
          <w:pgNumType w:fmt="decimal"/>
          <w:cols w:space="720" w:num="1"/>
        </w:sectPr>
      </w:pPr>
    </w:p>
    <w:p w14:paraId="19914373">
      <w:pPr>
        <w:pStyle w:val="33"/>
        <w:rPr>
          <w:color w:val="auto"/>
          <w:highlight w:val="none"/>
        </w:rPr>
      </w:pPr>
      <w:bookmarkStart w:id="783" w:name="_Toc28531851"/>
      <w:bookmarkStart w:id="784" w:name="_Toc21570"/>
      <w:r>
        <w:rPr>
          <w:rFonts w:hint="eastAsia"/>
          <w:color w:val="auto"/>
          <w:highlight w:val="none"/>
        </w:rPr>
        <w:t>附表</w:t>
      </w:r>
      <w:r>
        <w:rPr>
          <w:color w:val="auto"/>
          <w:highlight w:val="none"/>
        </w:rPr>
        <w:t>D-1</w:t>
      </w:r>
      <w:r>
        <w:rPr>
          <w:rFonts w:hint="eastAsia"/>
          <w:color w:val="auto"/>
          <w:highlight w:val="none"/>
        </w:rPr>
        <w:t>：成本评审结论记录表</w:t>
      </w:r>
      <w:bookmarkEnd w:id="783"/>
      <w:bookmarkEnd w:id="784"/>
    </w:p>
    <w:p w14:paraId="0A2625B0">
      <w:pPr>
        <w:spacing w:before="240" w:beforeLines="100" w:after="240" w:afterLines="100"/>
        <w:jc w:val="center"/>
        <w:rPr>
          <w:rFonts w:ascii="黑体" w:eastAsia="黑体"/>
          <w:color w:val="auto"/>
          <w:sz w:val="32"/>
          <w:szCs w:val="32"/>
          <w:highlight w:val="none"/>
        </w:rPr>
      </w:pPr>
      <w:r>
        <w:rPr>
          <w:rFonts w:hint="eastAsia" w:ascii="黑体" w:eastAsia="黑体"/>
          <w:color w:val="auto"/>
          <w:sz w:val="32"/>
          <w:szCs w:val="32"/>
          <w:highlight w:val="none"/>
        </w:rPr>
        <w:t>成本评审结论记录表</w:t>
      </w:r>
    </w:p>
    <w:p w14:paraId="73794F02">
      <w:pPr>
        <w:rPr>
          <w:rFonts w:hint="eastAsia" w:ascii="宋体" w:hAnsi="宋体"/>
          <w:color w:val="auto"/>
          <w:szCs w:val="21"/>
          <w:highlight w:val="none"/>
        </w:rPr>
      </w:pPr>
      <w:r>
        <w:rPr>
          <w:rFonts w:hint="eastAsia" w:ascii="宋体" w:hAnsi="宋体"/>
          <w:color w:val="auto"/>
          <w:szCs w:val="21"/>
          <w:highlight w:val="none"/>
        </w:rPr>
        <w:t>投标人名称：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7532"/>
      </w:tblGrid>
      <w:tr w14:paraId="7A770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720" w:type="dxa"/>
            <w:gridSpan w:val="2"/>
            <w:tcBorders>
              <w:top w:val="single" w:color="auto" w:sz="4" w:space="0"/>
              <w:left w:val="single" w:color="auto" w:sz="4" w:space="0"/>
              <w:bottom w:val="single" w:color="auto" w:sz="4" w:space="0"/>
              <w:right w:val="single" w:color="auto" w:sz="4" w:space="0"/>
            </w:tcBorders>
            <w:noWrap w:val="0"/>
            <w:vAlign w:val="top"/>
          </w:tcPr>
          <w:p w14:paraId="0BE166EA">
            <w:pPr>
              <w:spacing w:before="72" w:beforeLines="30"/>
              <w:rPr>
                <w:rFonts w:ascii="宋体" w:hAnsi="宋体"/>
                <w:color w:val="auto"/>
                <w:szCs w:val="21"/>
                <w:highlight w:val="none"/>
              </w:rPr>
            </w:pPr>
            <w:r>
              <w:rPr>
                <w:rFonts w:hint="eastAsia" w:ascii="宋体" w:hAnsi="宋体"/>
                <w:color w:val="auto"/>
                <w:szCs w:val="21"/>
                <w:highlight w:val="none"/>
              </w:rPr>
              <w:t>需投标人澄清和说明的主要事项概要：</w:t>
            </w:r>
          </w:p>
        </w:tc>
      </w:tr>
      <w:tr w14:paraId="7FD0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720" w:type="dxa"/>
            <w:gridSpan w:val="2"/>
            <w:tcBorders>
              <w:top w:val="single" w:color="auto" w:sz="4" w:space="0"/>
              <w:left w:val="single" w:color="auto" w:sz="4" w:space="0"/>
              <w:bottom w:val="single" w:color="auto" w:sz="4" w:space="0"/>
              <w:right w:val="single" w:color="auto" w:sz="4" w:space="0"/>
            </w:tcBorders>
            <w:noWrap w:val="0"/>
            <w:vAlign w:val="top"/>
          </w:tcPr>
          <w:p w14:paraId="4CDCA841">
            <w:pPr>
              <w:spacing w:before="72" w:beforeLines="30"/>
              <w:rPr>
                <w:rFonts w:ascii="宋体" w:hAnsi="宋体"/>
                <w:color w:val="auto"/>
                <w:szCs w:val="21"/>
                <w:highlight w:val="none"/>
              </w:rPr>
            </w:pPr>
            <w:r>
              <w:rPr>
                <w:rFonts w:hint="eastAsia" w:ascii="宋体" w:hAnsi="宋体"/>
                <w:color w:val="auto"/>
                <w:szCs w:val="21"/>
                <w:highlight w:val="none"/>
              </w:rPr>
              <w:t>投标人澄清、说明、补正和提供</w:t>
            </w:r>
            <w:r>
              <w:rPr>
                <w:rFonts w:hint="eastAsia" w:hAnsi="宋体"/>
                <w:color w:val="auto"/>
                <w:highlight w:val="none"/>
              </w:rPr>
              <w:t>证明材料</w:t>
            </w:r>
            <w:r>
              <w:rPr>
                <w:rFonts w:hint="eastAsia" w:ascii="宋体" w:hAnsi="宋体"/>
                <w:color w:val="auto"/>
                <w:szCs w:val="21"/>
                <w:highlight w:val="none"/>
              </w:rPr>
              <w:t>的情况说明：</w:t>
            </w:r>
          </w:p>
        </w:tc>
      </w:tr>
      <w:tr w14:paraId="4D8DB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7AFDDDA0">
            <w:pPr>
              <w:jc w:val="center"/>
              <w:rPr>
                <w:rFonts w:ascii="宋体" w:hAnsi="宋体"/>
                <w:color w:val="auto"/>
                <w:szCs w:val="21"/>
                <w:highlight w:val="none"/>
              </w:rPr>
            </w:pPr>
            <w:r>
              <w:rPr>
                <w:rFonts w:hint="eastAsia" w:ascii="宋体" w:hAnsi="宋体"/>
                <w:color w:val="auto"/>
                <w:szCs w:val="21"/>
                <w:highlight w:val="none"/>
              </w:rPr>
              <w:t>评审结论</w:t>
            </w:r>
          </w:p>
        </w:tc>
        <w:tc>
          <w:tcPr>
            <w:tcW w:w="7532" w:type="dxa"/>
            <w:tcBorders>
              <w:top w:val="single" w:color="auto" w:sz="4" w:space="0"/>
              <w:left w:val="single" w:color="auto" w:sz="4" w:space="0"/>
              <w:bottom w:val="single" w:color="auto" w:sz="4" w:space="0"/>
              <w:right w:val="single" w:color="auto" w:sz="4" w:space="0"/>
            </w:tcBorders>
            <w:noWrap w:val="0"/>
            <w:vAlign w:val="center"/>
          </w:tcPr>
          <w:p w14:paraId="2CA75F59">
            <w:pPr>
              <w:ind w:firstLine="210" w:firstLineChars="100"/>
              <w:rPr>
                <w:rFonts w:ascii="宋体" w:hAnsi="宋体"/>
                <w:color w:val="auto"/>
                <w:szCs w:val="21"/>
                <w:highlight w:val="none"/>
              </w:rPr>
            </w:pPr>
            <w:r>
              <w:rPr>
                <w:rFonts w:hint="eastAsia" w:ascii="宋体" w:hAnsi="宋体"/>
                <w:color w:val="auto"/>
                <w:szCs w:val="21"/>
                <w:highlight w:val="none"/>
              </w:rPr>
              <w:t xml:space="preserve"> □低于成本     □不低于成本</w:t>
            </w:r>
          </w:p>
        </w:tc>
      </w:tr>
      <w:tr w14:paraId="5165F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463263EA">
            <w:pPr>
              <w:jc w:val="center"/>
              <w:rPr>
                <w:rFonts w:ascii="宋体" w:hAnsi="宋体"/>
                <w:color w:val="auto"/>
                <w:szCs w:val="21"/>
                <w:highlight w:val="none"/>
              </w:rPr>
            </w:pPr>
            <w:r>
              <w:rPr>
                <w:rFonts w:hint="eastAsia" w:ascii="宋体" w:hAnsi="宋体"/>
                <w:color w:val="auto"/>
                <w:szCs w:val="21"/>
                <w:highlight w:val="none"/>
              </w:rPr>
              <w:t>评</w:t>
            </w:r>
          </w:p>
          <w:p w14:paraId="1D5B19C5">
            <w:pPr>
              <w:jc w:val="center"/>
              <w:rPr>
                <w:rFonts w:hint="eastAsia" w:ascii="宋体" w:hAnsi="宋体"/>
                <w:color w:val="auto"/>
                <w:szCs w:val="21"/>
                <w:highlight w:val="none"/>
              </w:rPr>
            </w:pPr>
            <w:r>
              <w:rPr>
                <w:rFonts w:hint="eastAsia" w:ascii="宋体" w:hAnsi="宋体"/>
                <w:color w:val="auto"/>
                <w:szCs w:val="21"/>
                <w:highlight w:val="none"/>
              </w:rPr>
              <w:t>审</w:t>
            </w:r>
          </w:p>
          <w:p w14:paraId="792D6FAF">
            <w:pPr>
              <w:jc w:val="center"/>
              <w:rPr>
                <w:rFonts w:hint="eastAsia" w:ascii="宋体" w:hAnsi="宋体"/>
                <w:color w:val="auto"/>
                <w:szCs w:val="21"/>
                <w:highlight w:val="none"/>
              </w:rPr>
            </w:pPr>
            <w:r>
              <w:rPr>
                <w:rFonts w:hint="eastAsia" w:ascii="宋体" w:hAnsi="宋体"/>
                <w:color w:val="auto"/>
                <w:szCs w:val="21"/>
                <w:highlight w:val="none"/>
              </w:rPr>
              <w:t>意</w:t>
            </w:r>
          </w:p>
          <w:p w14:paraId="0096A7DF">
            <w:pPr>
              <w:jc w:val="center"/>
              <w:rPr>
                <w:rFonts w:hint="eastAsia" w:ascii="宋体" w:hAnsi="宋体"/>
                <w:color w:val="auto"/>
                <w:szCs w:val="21"/>
                <w:highlight w:val="none"/>
              </w:rPr>
            </w:pPr>
            <w:r>
              <w:rPr>
                <w:rFonts w:hint="eastAsia" w:ascii="宋体" w:hAnsi="宋体"/>
                <w:color w:val="auto"/>
                <w:szCs w:val="21"/>
                <w:highlight w:val="none"/>
              </w:rPr>
              <w:t>见</w:t>
            </w:r>
          </w:p>
          <w:p w14:paraId="6C8E204E">
            <w:pPr>
              <w:jc w:val="center"/>
              <w:rPr>
                <w:rFonts w:hint="eastAsia" w:ascii="宋体" w:hAnsi="宋体"/>
                <w:color w:val="auto"/>
                <w:szCs w:val="21"/>
                <w:highlight w:val="none"/>
              </w:rPr>
            </w:pPr>
            <w:r>
              <w:rPr>
                <w:rFonts w:hint="eastAsia" w:ascii="宋体" w:hAnsi="宋体"/>
                <w:color w:val="auto"/>
                <w:szCs w:val="21"/>
                <w:highlight w:val="none"/>
              </w:rPr>
              <w:t>概</w:t>
            </w:r>
          </w:p>
          <w:p w14:paraId="46C40B73">
            <w:pPr>
              <w:jc w:val="center"/>
              <w:rPr>
                <w:rFonts w:ascii="宋体" w:hAnsi="宋体"/>
                <w:color w:val="auto"/>
                <w:szCs w:val="21"/>
                <w:highlight w:val="none"/>
              </w:rPr>
            </w:pPr>
            <w:r>
              <w:rPr>
                <w:rFonts w:hint="eastAsia" w:ascii="宋体" w:hAnsi="宋体"/>
                <w:color w:val="auto"/>
                <w:szCs w:val="21"/>
                <w:highlight w:val="none"/>
              </w:rPr>
              <w:t>要</w:t>
            </w:r>
          </w:p>
        </w:tc>
        <w:tc>
          <w:tcPr>
            <w:tcW w:w="7532" w:type="dxa"/>
            <w:tcBorders>
              <w:top w:val="single" w:color="auto" w:sz="4" w:space="0"/>
              <w:left w:val="single" w:color="auto" w:sz="4" w:space="0"/>
              <w:bottom w:val="single" w:color="auto" w:sz="4" w:space="0"/>
              <w:right w:val="single" w:color="auto" w:sz="4" w:space="0"/>
            </w:tcBorders>
            <w:noWrap w:val="0"/>
            <w:vAlign w:val="center"/>
          </w:tcPr>
          <w:p w14:paraId="0DA0F82D">
            <w:pPr>
              <w:jc w:val="center"/>
              <w:rPr>
                <w:rFonts w:ascii="宋体" w:hAnsi="宋体"/>
                <w:color w:val="auto"/>
                <w:szCs w:val="21"/>
                <w:highlight w:val="none"/>
              </w:rPr>
            </w:pPr>
          </w:p>
        </w:tc>
      </w:tr>
      <w:tr w14:paraId="3249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4819A7C0">
            <w:pPr>
              <w:jc w:val="center"/>
              <w:rPr>
                <w:rFonts w:ascii="宋体" w:hAnsi="宋体"/>
                <w:color w:val="auto"/>
                <w:szCs w:val="21"/>
                <w:highlight w:val="none"/>
              </w:rPr>
            </w:pPr>
            <w:r>
              <w:rPr>
                <w:rFonts w:hint="eastAsia" w:ascii="宋体" w:hAnsi="宋体"/>
                <w:color w:val="auto"/>
                <w:szCs w:val="21"/>
                <w:highlight w:val="none"/>
              </w:rPr>
              <w:t>评</w:t>
            </w:r>
          </w:p>
          <w:p w14:paraId="5BAB0A78">
            <w:pPr>
              <w:jc w:val="center"/>
              <w:rPr>
                <w:rFonts w:hint="eastAsia" w:ascii="宋体" w:hAnsi="宋体"/>
                <w:color w:val="auto"/>
                <w:szCs w:val="21"/>
                <w:highlight w:val="none"/>
              </w:rPr>
            </w:pPr>
            <w:r>
              <w:rPr>
                <w:rFonts w:hint="eastAsia" w:ascii="宋体" w:hAnsi="宋体"/>
                <w:color w:val="auto"/>
                <w:szCs w:val="21"/>
                <w:highlight w:val="none"/>
              </w:rPr>
              <w:t>标</w:t>
            </w:r>
          </w:p>
          <w:p w14:paraId="3C34FD7A">
            <w:pPr>
              <w:jc w:val="center"/>
              <w:rPr>
                <w:rFonts w:hint="eastAsia" w:ascii="宋体" w:hAnsi="宋体"/>
                <w:color w:val="auto"/>
                <w:szCs w:val="21"/>
                <w:highlight w:val="none"/>
              </w:rPr>
            </w:pPr>
            <w:r>
              <w:rPr>
                <w:rFonts w:hint="eastAsia" w:ascii="宋体" w:hAnsi="宋体"/>
                <w:color w:val="auto"/>
                <w:szCs w:val="21"/>
                <w:highlight w:val="none"/>
              </w:rPr>
              <w:t>委</w:t>
            </w:r>
          </w:p>
          <w:p w14:paraId="15896E83">
            <w:pPr>
              <w:jc w:val="center"/>
              <w:rPr>
                <w:rFonts w:hint="eastAsia" w:ascii="宋体" w:hAnsi="宋体"/>
                <w:color w:val="auto"/>
                <w:szCs w:val="21"/>
                <w:highlight w:val="none"/>
              </w:rPr>
            </w:pPr>
            <w:r>
              <w:rPr>
                <w:rFonts w:hint="eastAsia" w:ascii="宋体" w:hAnsi="宋体"/>
                <w:color w:val="auto"/>
                <w:szCs w:val="21"/>
                <w:highlight w:val="none"/>
              </w:rPr>
              <w:t>员</w:t>
            </w:r>
          </w:p>
          <w:p w14:paraId="5460A7BB">
            <w:pPr>
              <w:jc w:val="center"/>
              <w:rPr>
                <w:rFonts w:hint="eastAsia" w:ascii="宋体" w:hAnsi="宋体"/>
                <w:color w:val="auto"/>
                <w:szCs w:val="21"/>
                <w:highlight w:val="none"/>
              </w:rPr>
            </w:pPr>
            <w:r>
              <w:rPr>
                <w:rFonts w:hint="eastAsia" w:ascii="宋体" w:hAnsi="宋体"/>
                <w:color w:val="auto"/>
                <w:szCs w:val="21"/>
                <w:highlight w:val="none"/>
              </w:rPr>
              <w:t>会</w:t>
            </w:r>
          </w:p>
          <w:p w14:paraId="2B39043A">
            <w:pPr>
              <w:jc w:val="center"/>
              <w:rPr>
                <w:rFonts w:hint="eastAsia" w:ascii="宋体" w:hAnsi="宋体"/>
                <w:color w:val="auto"/>
                <w:szCs w:val="21"/>
                <w:highlight w:val="none"/>
              </w:rPr>
            </w:pPr>
            <w:r>
              <w:rPr>
                <w:rFonts w:hint="eastAsia" w:ascii="宋体" w:hAnsi="宋体"/>
                <w:color w:val="auto"/>
                <w:szCs w:val="21"/>
                <w:highlight w:val="none"/>
              </w:rPr>
              <w:t>全</w:t>
            </w:r>
          </w:p>
          <w:p w14:paraId="66F71BDC">
            <w:pPr>
              <w:jc w:val="center"/>
              <w:rPr>
                <w:rFonts w:hint="eastAsia" w:ascii="宋体" w:hAnsi="宋体"/>
                <w:color w:val="auto"/>
                <w:szCs w:val="21"/>
                <w:highlight w:val="none"/>
              </w:rPr>
            </w:pPr>
            <w:r>
              <w:rPr>
                <w:rFonts w:hint="eastAsia" w:ascii="宋体" w:hAnsi="宋体"/>
                <w:color w:val="auto"/>
                <w:szCs w:val="21"/>
                <w:highlight w:val="none"/>
              </w:rPr>
              <w:t>体</w:t>
            </w:r>
          </w:p>
          <w:p w14:paraId="35E11DC1">
            <w:pPr>
              <w:jc w:val="center"/>
              <w:rPr>
                <w:rFonts w:hint="eastAsia" w:ascii="宋体" w:hAnsi="宋体"/>
                <w:color w:val="auto"/>
                <w:szCs w:val="21"/>
                <w:highlight w:val="none"/>
              </w:rPr>
            </w:pPr>
            <w:r>
              <w:rPr>
                <w:rFonts w:hint="eastAsia" w:ascii="宋体" w:hAnsi="宋体"/>
                <w:color w:val="auto"/>
                <w:szCs w:val="21"/>
                <w:highlight w:val="none"/>
              </w:rPr>
              <w:t>成</w:t>
            </w:r>
          </w:p>
          <w:p w14:paraId="4F0CF5CF">
            <w:pPr>
              <w:jc w:val="center"/>
              <w:rPr>
                <w:rFonts w:hint="eastAsia" w:ascii="宋体" w:hAnsi="宋体"/>
                <w:color w:val="auto"/>
                <w:szCs w:val="21"/>
                <w:highlight w:val="none"/>
              </w:rPr>
            </w:pPr>
            <w:r>
              <w:rPr>
                <w:rFonts w:hint="eastAsia" w:ascii="宋体" w:hAnsi="宋体"/>
                <w:color w:val="auto"/>
                <w:szCs w:val="21"/>
                <w:highlight w:val="none"/>
              </w:rPr>
              <w:t>员</w:t>
            </w:r>
          </w:p>
          <w:p w14:paraId="4ADE174C">
            <w:pPr>
              <w:jc w:val="center"/>
              <w:rPr>
                <w:rFonts w:hint="eastAsia" w:ascii="宋体" w:hAnsi="宋体"/>
                <w:color w:val="auto"/>
                <w:szCs w:val="21"/>
                <w:highlight w:val="none"/>
              </w:rPr>
            </w:pPr>
            <w:r>
              <w:rPr>
                <w:rFonts w:hint="eastAsia" w:ascii="宋体" w:hAnsi="宋体"/>
                <w:color w:val="auto"/>
                <w:szCs w:val="21"/>
                <w:highlight w:val="none"/>
              </w:rPr>
              <w:t>签</w:t>
            </w:r>
          </w:p>
          <w:p w14:paraId="44113759">
            <w:pPr>
              <w:jc w:val="center"/>
              <w:rPr>
                <w:rFonts w:ascii="宋体" w:hAnsi="宋体"/>
                <w:color w:val="auto"/>
                <w:szCs w:val="21"/>
                <w:highlight w:val="none"/>
              </w:rPr>
            </w:pPr>
            <w:r>
              <w:rPr>
                <w:rFonts w:hint="eastAsia" w:ascii="宋体" w:hAnsi="宋体"/>
                <w:color w:val="auto"/>
                <w:szCs w:val="21"/>
                <w:highlight w:val="none"/>
              </w:rPr>
              <w:t>名</w:t>
            </w:r>
          </w:p>
        </w:tc>
        <w:tc>
          <w:tcPr>
            <w:tcW w:w="7532" w:type="dxa"/>
            <w:tcBorders>
              <w:top w:val="single" w:color="auto" w:sz="4" w:space="0"/>
              <w:left w:val="single" w:color="auto" w:sz="4" w:space="0"/>
              <w:bottom w:val="single" w:color="auto" w:sz="4" w:space="0"/>
              <w:right w:val="single" w:color="auto" w:sz="4" w:space="0"/>
            </w:tcBorders>
            <w:noWrap w:val="0"/>
            <w:vAlign w:val="bottom"/>
          </w:tcPr>
          <w:p w14:paraId="1263933F">
            <w:pPr>
              <w:wordWrap w:val="0"/>
              <w:spacing w:after="120" w:afterLines="50"/>
              <w:jc w:val="right"/>
              <w:rPr>
                <w:rFonts w:ascii="宋体" w:hAnsi="宋体"/>
                <w:color w:val="auto"/>
                <w:szCs w:val="21"/>
                <w:highlight w:val="none"/>
              </w:rPr>
            </w:pPr>
            <w:r>
              <w:rPr>
                <w:rFonts w:hint="eastAsia" w:ascii="宋体" w:hAnsi="宋体"/>
                <w:color w:val="auto"/>
                <w:szCs w:val="21"/>
                <w:highlight w:val="none"/>
              </w:rPr>
              <w:t xml:space="preserve">年   月   日       </w:t>
            </w:r>
          </w:p>
        </w:tc>
      </w:tr>
    </w:tbl>
    <w:p w14:paraId="58B43726">
      <w:pPr>
        <w:spacing w:before="120" w:beforeLines="50" w:after="120" w:afterLines="50"/>
        <w:jc w:val="center"/>
        <w:rPr>
          <w:rFonts w:hint="eastAsia" w:ascii="黑体" w:hAnsi="宋体" w:eastAsia="黑体"/>
          <w:color w:val="auto"/>
          <w:sz w:val="32"/>
          <w:szCs w:val="32"/>
          <w:highlight w:val="none"/>
        </w:rPr>
      </w:pPr>
    </w:p>
    <w:p w14:paraId="05FC4A3C">
      <w:pPr>
        <w:spacing w:line="420" w:lineRule="exact"/>
        <w:jc w:val="center"/>
        <w:rPr>
          <w:rFonts w:hint="eastAsia" w:ascii="楷体_GB2312" w:hAnsi="Times New Roman" w:eastAsia="楷体_GB2312"/>
          <w:color w:val="auto"/>
          <w:szCs w:val="24"/>
          <w:highlight w:val="none"/>
        </w:rPr>
      </w:pPr>
    </w:p>
    <w:p w14:paraId="0439FBC4">
      <w:pPr>
        <w:pStyle w:val="33"/>
        <w:rPr>
          <w:rFonts w:hint="eastAsia" w:ascii="Times New Roman"/>
          <w:color w:val="auto"/>
          <w:highlight w:val="none"/>
        </w:rPr>
      </w:pPr>
      <w:bookmarkStart w:id="785" w:name="_Toc7624"/>
      <w:bookmarkStart w:id="786" w:name="_Toc28531852"/>
      <w:r>
        <w:rPr>
          <w:rFonts w:hint="eastAsia"/>
          <w:color w:val="auto"/>
          <w:highlight w:val="none"/>
        </w:rPr>
        <w:t>附表</w:t>
      </w:r>
      <w:r>
        <w:rPr>
          <w:color w:val="auto"/>
          <w:highlight w:val="none"/>
        </w:rPr>
        <w:t>C-1</w:t>
      </w:r>
      <w:r>
        <w:rPr>
          <w:rFonts w:hint="eastAsia"/>
          <w:color w:val="auto"/>
          <w:highlight w:val="none"/>
        </w:rPr>
        <w:t>：清标报告</w:t>
      </w:r>
      <w:r>
        <w:rPr>
          <w:color w:val="auto"/>
          <w:highlight w:val="none"/>
        </w:rPr>
        <w:t>-</w:t>
      </w:r>
      <w:r>
        <w:rPr>
          <w:rFonts w:hint="eastAsia"/>
          <w:color w:val="auto"/>
          <w:highlight w:val="none"/>
        </w:rPr>
        <w:t>分部分项工程和单价措施项目符合性检查</w:t>
      </w:r>
      <w:bookmarkEnd w:id="785"/>
      <w:bookmarkEnd w:id="786"/>
    </w:p>
    <w:p w14:paraId="28E1F354">
      <w:pPr>
        <w:spacing w:before="240" w:beforeLines="100" w:after="240" w:afterLines="100"/>
        <w:jc w:val="center"/>
        <w:rPr>
          <w:rFonts w:ascii="黑体" w:eastAsia="黑体"/>
          <w:color w:val="auto"/>
          <w:sz w:val="32"/>
          <w:szCs w:val="32"/>
          <w:highlight w:val="none"/>
        </w:rPr>
      </w:pPr>
    </w:p>
    <w:p w14:paraId="612EA4B0">
      <w:pPr>
        <w:spacing w:before="240" w:beforeLines="100" w:after="240" w:afterLines="10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清标报告-分部分项工程和单价措施项目符合性检查</w:t>
      </w:r>
    </w:p>
    <w:p w14:paraId="3A8131A6">
      <w:pPr>
        <w:rPr>
          <w:rFonts w:hint="eastAsia" w:ascii="宋体" w:hAnsi="宋体"/>
          <w:color w:val="auto"/>
          <w:szCs w:val="21"/>
          <w:highlight w:val="none"/>
        </w:rPr>
      </w:pPr>
      <w:r>
        <w:rPr>
          <w:rFonts w:hint="eastAsia" w:ascii="宋体" w:hAnsi="宋体"/>
          <w:color w:val="auto"/>
          <w:szCs w:val="21"/>
          <w:highlight w:val="none"/>
        </w:rPr>
        <w:t>投标人名称：</w:t>
      </w:r>
    </w:p>
    <w:p w14:paraId="2DF333CE">
      <w:pPr>
        <w:spacing w:line="420" w:lineRule="exact"/>
        <w:jc w:val="center"/>
        <w:rPr>
          <w:rFonts w:hint="eastAsia" w:ascii="楷体_GB2312" w:hAnsi="Times New Roman" w:eastAsia="楷体_GB2312"/>
          <w:color w:val="auto"/>
          <w:szCs w:val="24"/>
          <w:highlight w:val="none"/>
        </w:rPr>
      </w:pPr>
    </w:p>
    <w:tbl>
      <w:tblPr>
        <w:tblStyle w:val="15"/>
        <w:tblW w:w="8840"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982"/>
        <w:gridCol w:w="982"/>
        <w:gridCol w:w="983"/>
        <w:gridCol w:w="982"/>
        <w:gridCol w:w="982"/>
        <w:gridCol w:w="983"/>
        <w:gridCol w:w="982"/>
        <w:gridCol w:w="982"/>
      </w:tblGrid>
      <w:tr w14:paraId="3862EEE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2946" w:type="dxa"/>
            <w:gridSpan w:val="3"/>
            <w:tcBorders>
              <w:top w:val="single" w:color="auto" w:sz="6" w:space="0"/>
              <w:left w:val="single" w:color="auto" w:sz="6" w:space="0"/>
              <w:bottom w:val="single" w:color="auto" w:sz="4" w:space="0"/>
              <w:right w:val="single" w:color="auto" w:sz="4" w:space="0"/>
            </w:tcBorders>
            <w:noWrap w:val="0"/>
            <w:vAlign w:val="center"/>
          </w:tcPr>
          <w:p w14:paraId="58DBC43B">
            <w:pPr>
              <w:jc w:val="center"/>
              <w:rPr>
                <w:color w:val="auto"/>
                <w:sz w:val="20"/>
                <w:szCs w:val="20"/>
                <w:highlight w:val="none"/>
              </w:rPr>
            </w:pPr>
            <w:r>
              <w:rPr>
                <w:rFonts w:hint="eastAsia"/>
                <w:color w:val="auto"/>
                <w:sz w:val="20"/>
                <w:szCs w:val="20"/>
                <w:highlight w:val="none"/>
              </w:rPr>
              <w:t>单位工程名称</w:t>
            </w:r>
          </w:p>
        </w:tc>
        <w:tc>
          <w:tcPr>
            <w:tcW w:w="5894" w:type="dxa"/>
            <w:gridSpan w:val="6"/>
            <w:tcBorders>
              <w:top w:val="single" w:color="auto" w:sz="6" w:space="0"/>
              <w:left w:val="single" w:color="auto" w:sz="6" w:space="0"/>
              <w:bottom w:val="single" w:color="auto" w:sz="4" w:space="0"/>
              <w:right w:val="single" w:color="auto" w:sz="6" w:space="0"/>
            </w:tcBorders>
            <w:noWrap w:val="0"/>
            <w:vAlign w:val="center"/>
          </w:tcPr>
          <w:p w14:paraId="16C1A9DF">
            <w:pPr>
              <w:jc w:val="center"/>
              <w:rPr>
                <w:color w:val="auto"/>
                <w:sz w:val="20"/>
                <w:szCs w:val="20"/>
                <w:highlight w:val="none"/>
              </w:rPr>
            </w:pPr>
          </w:p>
        </w:tc>
      </w:tr>
      <w:tr w14:paraId="29914AA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8840" w:type="dxa"/>
            <w:gridSpan w:val="9"/>
            <w:tcBorders>
              <w:top w:val="single" w:color="auto" w:sz="4" w:space="0"/>
              <w:left w:val="single" w:color="auto" w:sz="6" w:space="0"/>
              <w:bottom w:val="single" w:color="auto" w:sz="4" w:space="0"/>
              <w:right w:val="single" w:color="auto" w:sz="6" w:space="0"/>
            </w:tcBorders>
            <w:noWrap w:val="0"/>
            <w:vAlign w:val="center"/>
          </w:tcPr>
          <w:p w14:paraId="2AAE3762">
            <w:pPr>
              <w:jc w:val="center"/>
              <w:rPr>
                <w:color w:val="auto"/>
                <w:sz w:val="20"/>
                <w:szCs w:val="20"/>
                <w:highlight w:val="none"/>
              </w:rPr>
            </w:pPr>
            <w:r>
              <w:rPr>
                <w:rFonts w:hint="eastAsia"/>
                <w:b/>
                <w:color w:val="auto"/>
                <w:sz w:val="20"/>
                <w:szCs w:val="20"/>
                <w:highlight w:val="none"/>
              </w:rPr>
              <w:t>一、分部分项工程和单价措施项目符合性检查</w:t>
            </w:r>
          </w:p>
        </w:tc>
      </w:tr>
      <w:tr w14:paraId="334B22C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7B1B3BCE">
            <w:pPr>
              <w:jc w:val="center"/>
              <w:rPr>
                <w:color w:val="auto"/>
                <w:sz w:val="20"/>
                <w:szCs w:val="20"/>
                <w:highlight w:val="none"/>
              </w:rPr>
            </w:pPr>
            <w:r>
              <w:rPr>
                <w:rFonts w:hint="eastAsia"/>
                <w:color w:val="auto"/>
                <w:sz w:val="20"/>
                <w:szCs w:val="20"/>
                <w:highlight w:val="none"/>
              </w:rPr>
              <w:t>项目名称或编号</w:t>
            </w:r>
          </w:p>
        </w:tc>
        <w:tc>
          <w:tcPr>
            <w:tcW w:w="982" w:type="dxa"/>
            <w:tcBorders>
              <w:top w:val="single" w:color="auto" w:sz="4" w:space="0"/>
              <w:left w:val="single" w:color="auto" w:sz="4" w:space="0"/>
              <w:bottom w:val="single" w:color="auto" w:sz="4" w:space="0"/>
              <w:right w:val="single" w:color="auto" w:sz="6" w:space="0"/>
            </w:tcBorders>
            <w:noWrap w:val="0"/>
            <w:vAlign w:val="center"/>
          </w:tcPr>
          <w:p w14:paraId="13CDD060">
            <w:pPr>
              <w:jc w:val="center"/>
              <w:rPr>
                <w:color w:val="auto"/>
                <w:sz w:val="20"/>
                <w:szCs w:val="20"/>
                <w:highlight w:val="none"/>
              </w:rPr>
            </w:pPr>
            <w:r>
              <w:rPr>
                <w:rFonts w:hint="eastAsia"/>
                <w:color w:val="auto"/>
                <w:sz w:val="20"/>
                <w:szCs w:val="20"/>
                <w:highlight w:val="none"/>
              </w:rPr>
              <w:t>项目编码错误</w:t>
            </w:r>
          </w:p>
        </w:tc>
        <w:tc>
          <w:tcPr>
            <w:tcW w:w="982" w:type="dxa"/>
            <w:tcBorders>
              <w:top w:val="single" w:color="auto" w:sz="4" w:space="0"/>
              <w:left w:val="single" w:color="auto" w:sz="6" w:space="0"/>
              <w:bottom w:val="single" w:color="auto" w:sz="4" w:space="0"/>
              <w:right w:val="single" w:color="auto" w:sz="4" w:space="0"/>
            </w:tcBorders>
            <w:noWrap w:val="0"/>
            <w:vAlign w:val="center"/>
          </w:tcPr>
          <w:p w14:paraId="23C38C66">
            <w:pPr>
              <w:jc w:val="center"/>
              <w:rPr>
                <w:color w:val="auto"/>
                <w:sz w:val="20"/>
                <w:szCs w:val="20"/>
                <w:highlight w:val="none"/>
              </w:rPr>
            </w:pPr>
            <w:r>
              <w:rPr>
                <w:rFonts w:hint="eastAsia"/>
                <w:color w:val="auto"/>
                <w:sz w:val="20"/>
                <w:szCs w:val="20"/>
                <w:highlight w:val="none"/>
              </w:rPr>
              <w:t>项目名称错误</w:t>
            </w:r>
          </w:p>
        </w:tc>
        <w:tc>
          <w:tcPr>
            <w:tcW w:w="983" w:type="dxa"/>
            <w:tcBorders>
              <w:top w:val="single" w:color="auto" w:sz="4" w:space="0"/>
              <w:left w:val="single" w:color="auto" w:sz="6" w:space="0"/>
              <w:bottom w:val="single" w:color="auto" w:sz="4" w:space="0"/>
              <w:right w:val="single" w:color="auto" w:sz="4" w:space="0"/>
            </w:tcBorders>
            <w:noWrap w:val="0"/>
            <w:vAlign w:val="center"/>
          </w:tcPr>
          <w:p w14:paraId="75EB7B4B">
            <w:pPr>
              <w:jc w:val="center"/>
              <w:rPr>
                <w:color w:val="auto"/>
                <w:sz w:val="20"/>
                <w:szCs w:val="20"/>
                <w:highlight w:val="none"/>
              </w:rPr>
            </w:pPr>
            <w:r>
              <w:rPr>
                <w:rFonts w:hint="eastAsia"/>
                <w:color w:val="auto"/>
                <w:sz w:val="20"/>
                <w:szCs w:val="20"/>
                <w:highlight w:val="none"/>
              </w:rPr>
              <w:t>项目特征描述错误</w:t>
            </w:r>
          </w:p>
        </w:tc>
        <w:tc>
          <w:tcPr>
            <w:tcW w:w="982" w:type="dxa"/>
            <w:tcBorders>
              <w:top w:val="single" w:color="auto" w:sz="4" w:space="0"/>
              <w:left w:val="single" w:color="auto" w:sz="4" w:space="0"/>
              <w:bottom w:val="single" w:color="auto" w:sz="4" w:space="0"/>
              <w:right w:val="single" w:color="auto" w:sz="6" w:space="0"/>
            </w:tcBorders>
            <w:noWrap w:val="0"/>
            <w:vAlign w:val="center"/>
          </w:tcPr>
          <w:p w14:paraId="1C932381">
            <w:pPr>
              <w:jc w:val="center"/>
              <w:rPr>
                <w:color w:val="auto"/>
                <w:sz w:val="20"/>
                <w:szCs w:val="20"/>
                <w:highlight w:val="none"/>
              </w:rPr>
            </w:pPr>
            <w:r>
              <w:rPr>
                <w:rFonts w:hint="eastAsia"/>
                <w:color w:val="auto"/>
                <w:sz w:val="20"/>
                <w:szCs w:val="20"/>
                <w:highlight w:val="none"/>
              </w:rPr>
              <w:t>计量单位错误</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4B8E1818">
            <w:pPr>
              <w:jc w:val="center"/>
              <w:rPr>
                <w:color w:val="auto"/>
                <w:sz w:val="20"/>
                <w:szCs w:val="20"/>
                <w:highlight w:val="none"/>
              </w:rPr>
            </w:pPr>
            <w:r>
              <w:rPr>
                <w:rFonts w:hint="eastAsia"/>
                <w:color w:val="auto"/>
                <w:sz w:val="20"/>
                <w:szCs w:val="20"/>
                <w:highlight w:val="none"/>
              </w:rPr>
              <w:t>工程量</w:t>
            </w:r>
          </w:p>
          <w:p w14:paraId="095A686A">
            <w:pPr>
              <w:jc w:val="center"/>
              <w:rPr>
                <w:color w:val="auto"/>
                <w:sz w:val="20"/>
                <w:szCs w:val="20"/>
                <w:highlight w:val="none"/>
              </w:rPr>
            </w:pPr>
            <w:r>
              <w:rPr>
                <w:rFonts w:hint="eastAsia"/>
                <w:color w:val="auto"/>
                <w:sz w:val="20"/>
                <w:szCs w:val="20"/>
                <w:highlight w:val="none"/>
              </w:rPr>
              <w:t>错误</w:t>
            </w:r>
          </w:p>
        </w:tc>
        <w:tc>
          <w:tcPr>
            <w:tcW w:w="983" w:type="dxa"/>
            <w:tcBorders>
              <w:top w:val="single" w:color="auto" w:sz="4" w:space="0"/>
              <w:left w:val="single" w:color="auto" w:sz="4" w:space="0"/>
              <w:bottom w:val="single" w:color="auto" w:sz="4" w:space="0"/>
              <w:right w:val="single" w:color="auto" w:sz="6" w:space="0"/>
            </w:tcBorders>
            <w:noWrap w:val="0"/>
            <w:vAlign w:val="center"/>
          </w:tcPr>
          <w:p w14:paraId="45D4AB6D">
            <w:pPr>
              <w:jc w:val="center"/>
              <w:rPr>
                <w:color w:val="auto"/>
                <w:sz w:val="20"/>
                <w:szCs w:val="20"/>
                <w:highlight w:val="none"/>
              </w:rPr>
            </w:pPr>
            <w:r>
              <w:rPr>
                <w:rFonts w:hint="eastAsia"/>
                <w:color w:val="auto"/>
                <w:sz w:val="20"/>
                <w:szCs w:val="20"/>
                <w:highlight w:val="none"/>
              </w:rPr>
              <w:t>未填报</w:t>
            </w:r>
          </w:p>
        </w:tc>
        <w:tc>
          <w:tcPr>
            <w:tcW w:w="982" w:type="dxa"/>
            <w:tcBorders>
              <w:top w:val="single" w:color="auto" w:sz="4" w:space="0"/>
              <w:left w:val="single" w:color="auto" w:sz="4" w:space="0"/>
              <w:bottom w:val="single" w:color="auto" w:sz="4" w:space="0"/>
              <w:right w:val="single" w:color="auto" w:sz="6" w:space="0"/>
            </w:tcBorders>
            <w:noWrap w:val="0"/>
            <w:vAlign w:val="center"/>
          </w:tcPr>
          <w:p w14:paraId="5C6DE5DD">
            <w:pPr>
              <w:jc w:val="center"/>
              <w:rPr>
                <w:color w:val="auto"/>
                <w:sz w:val="20"/>
                <w:szCs w:val="20"/>
                <w:highlight w:val="none"/>
              </w:rPr>
            </w:pPr>
            <w:r>
              <w:rPr>
                <w:rFonts w:hint="eastAsia"/>
                <w:color w:val="auto"/>
                <w:sz w:val="20"/>
                <w:szCs w:val="20"/>
                <w:highlight w:val="none"/>
              </w:rPr>
              <w:t>多项</w:t>
            </w:r>
          </w:p>
        </w:tc>
        <w:tc>
          <w:tcPr>
            <w:tcW w:w="982" w:type="dxa"/>
            <w:tcBorders>
              <w:top w:val="single" w:color="auto" w:sz="4" w:space="0"/>
              <w:left w:val="single" w:color="auto" w:sz="4" w:space="0"/>
              <w:bottom w:val="single" w:color="auto" w:sz="4" w:space="0"/>
              <w:right w:val="single" w:color="auto" w:sz="6" w:space="0"/>
            </w:tcBorders>
            <w:noWrap w:val="0"/>
            <w:vAlign w:val="center"/>
          </w:tcPr>
          <w:p w14:paraId="3B01952C">
            <w:pPr>
              <w:jc w:val="center"/>
              <w:rPr>
                <w:color w:val="auto"/>
                <w:sz w:val="20"/>
                <w:szCs w:val="20"/>
                <w:highlight w:val="none"/>
              </w:rPr>
            </w:pPr>
            <w:r>
              <w:rPr>
                <w:rFonts w:hint="eastAsia"/>
                <w:color w:val="auto"/>
                <w:sz w:val="20"/>
                <w:szCs w:val="20"/>
                <w:highlight w:val="none"/>
              </w:rPr>
              <w:t>单价</w:t>
            </w:r>
          </w:p>
          <w:p w14:paraId="74927323">
            <w:pPr>
              <w:jc w:val="center"/>
              <w:rPr>
                <w:color w:val="auto"/>
                <w:sz w:val="20"/>
                <w:szCs w:val="20"/>
                <w:highlight w:val="none"/>
              </w:rPr>
            </w:pPr>
            <w:r>
              <w:rPr>
                <w:rFonts w:hint="eastAsia"/>
                <w:color w:val="auto"/>
                <w:sz w:val="20"/>
                <w:szCs w:val="20"/>
                <w:highlight w:val="none"/>
              </w:rPr>
              <w:t>一致性</w:t>
            </w:r>
          </w:p>
        </w:tc>
      </w:tr>
      <w:tr w14:paraId="57D9F21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615CA2B1">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3E4CED0">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1337F0E9">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03727420">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13279874">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2C30C064">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671F1CA4">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089B05A9">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6CB93A00">
            <w:pPr>
              <w:jc w:val="center"/>
              <w:rPr>
                <w:color w:val="auto"/>
                <w:szCs w:val="21"/>
                <w:highlight w:val="none"/>
              </w:rPr>
            </w:pPr>
          </w:p>
        </w:tc>
      </w:tr>
      <w:tr w14:paraId="74CF4FB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564C4D26">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27AFD778">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0F65B54D">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48D89E03">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41CA153A">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29EC86A5">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7E90BB24">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D8D9A99">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6BB2D7C6">
            <w:pPr>
              <w:jc w:val="center"/>
              <w:rPr>
                <w:color w:val="auto"/>
                <w:szCs w:val="21"/>
                <w:highlight w:val="none"/>
              </w:rPr>
            </w:pPr>
          </w:p>
        </w:tc>
      </w:tr>
      <w:tr w14:paraId="7E152D6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3F87CFD2">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2E0396CB">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1213359D">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55F57FD8">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D89FE2B">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19539686">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35462C70">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414CC3D7">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18ABC683">
            <w:pPr>
              <w:jc w:val="center"/>
              <w:rPr>
                <w:color w:val="auto"/>
                <w:szCs w:val="21"/>
                <w:highlight w:val="none"/>
              </w:rPr>
            </w:pPr>
          </w:p>
        </w:tc>
      </w:tr>
      <w:tr w14:paraId="72FF815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2DC91B31">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FA3AB67">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564BB1B7">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40D383FC">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D2E89E5">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0E0CA504">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4FF09D48">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86FD38B">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12CA8F7">
            <w:pPr>
              <w:jc w:val="center"/>
              <w:rPr>
                <w:color w:val="auto"/>
                <w:szCs w:val="21"/>
                <w:highlight w:val="none"/>
              </w:rPr>
            </w:pPr>
          </w:p>
        </w:tc>
      </w:tr>
      <w:tr w14:paraId="4654CCB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689D1546">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D84C86B">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6B32AB9B">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36A97A16">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4AEB263">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6FED64AE">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736D9187">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68C09834">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AB7F308">
            <w:pPr>
              <w:jc w:val="center"/>
              <w:rPr>
                <w:color w:val="auto"/>
                <w:szCs w:val="21"/>
                <w:highlight w:val="none"/>
              </w:rPr>
            </w:pPr>
          </w:p>
        </w:tc>
      </w:tr>
      <w:tr w14:paraId="2C80A0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2F6F7ED3">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CB80A0B">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77B9962C">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34125BFF">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FBEE4B1">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55C37FFB">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2F7B0C7C">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9FC5E98">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D1D9225">
            <w:pPr>
              <w:jc w:val="center"/>
              <w:rPr>
                <w:color w:val="auto"/>
                <w:szCs w:val="21"/>
                <w:highlight w:val="none"/>
              </w:rPr>
            </w:pPr>
          </w:p>
        </w:tc>
      </w:tr>
      <w:tr w14:paraId="7007D80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663FEEED">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32766DF">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6FBEA4C5">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2D4A5082">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5E40D5C">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6ACAF9ED">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797AD243">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29A46F5">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A24D105">
            <w:pPr>
              <w:jc w:val="center"/>
              <w:rPr>
                <w:color w:val="auto"/>
                <w:szCs w:val="21"/>
                <w:highlight w:val="none"/>
              </w:rPr>
            </w:pPr>
          </w:p>
        </w:tc>
      </w:tr>
      <w:tr w14:paraId="28C082C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1A69FBA1">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93A2E67">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27BC1AD9">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10ADCFFF">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DF86156">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280D3239">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61CB02D3">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272E716">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2E6133FC">
            <w:pPr>
              <w:jc w:val="center"/>
              <w:rPr>
                <w:color w:val="auto"/>
                <w:szCs w:val="21"/>
                <w:highlight w:val="none"/>
              </w:rPr>
            </w:pPr>
          </w:p>
        </w:tc>
      </w:tr>
      <w:tr w14:paraId="3581365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34FD4503">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4D4222A7">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4E77FCC3">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5402E79D">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086A3B3">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593A7B38">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20EFC5D2">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4073CD75">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8FB824D">
            <w:pPr>
              <w:jc w:val="center"/>
              <w:rPr>
                <w:color w:val="auto"/>
                <w:szCs w:val="21"/>
                <w:highlight w:val="none"/>
              </w:rPr>
            </w:pPr>
          </w:p>
        </w:tc>
      </w:tr>
      <w:tr w14:paraId="043F5F0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3CAB3464">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8DDE8DE">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763AB96E">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3445FF23">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D55B407">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0EAB3469">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20C7B62C">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AA6233E">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7F3237AC">
            <w:pPr>
              <w:jc w:val="center"/>
              <w:rPr>
                <w:color w:val="auto"/>
                <w:szCs w:val="21"/>
                <w:highlight w:val="none"/>
              </w:rPr>
            </w:pPr>
          </w:p>
        </w:tc>
      </w:tr>
      <w:tr w14:paraId="5C55DC6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710B9ABE">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178C3819">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3E2F92B1">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606B01A6">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0983A4D6">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479BB561">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47E1216B">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1C24DDA9">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6C4D72EC">
            <w:pPr>
              <w:jc w:val="center"/>
              <w:rPr>
                <w:color w:val="auto"/>
                <w:szCs w:val="21"/>
                <w:highlight w:val="none"/>
              </w:rPr>
            </w:pPr>
          </w:p>
        </w:tc>
      </w:tr>
      <w:tr w14:paraId="6CC1708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4" w:space="0"/>
              <w:right w:val="single" w:color="auto" w:sz="4" w:space="0"/>
            </w:tcBorders>
            <w:noWrap w:val="0"/>
            <w:vAlign w:val="center"/>
          </w:tcPr>
          <w:p w14:paraId="7B757F22">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5B569F3E">
            <w:pPr>
              <w:jc w:val="center"/>
              <w:rPr>
                <w:color w:val="auto"/>
                <w:szCs w:val="21"/>
                <w:highlight w:val="none"/>
              </w:rPr>
            </w:pPr>
          </w:p>
        </w:tc>
        <w:tc>
          <w:tcPr>
            <w:tcW w:w="982" w:type="dxa"/>
            <w:tcBorders>
              <w:top w:val="single" w:color="auto" w:sz="4" w:space="0"/>
              <w:left w:val="single" w:color="auto" w:sz="6" w:space="0"/>
              <w:bottom w:val="single" w:color="auto" w:sz="4" w:space="0"/>
              <w:right w:val="single" w:color="auto" w:sz="4" w:space="0"/>
            </w:tcBorders>
            <w:noWrap w:val="0"/>
            <w:vAlign w:val="center"/>
          </w:tcPr>
          <w:p w14:paraId="6EF0D350">
            <w:pPr>
              <w:jc w:val="center"/>
              <w:rPr>
                <w:color w:val="auto"/>
                <w:szCs w:val="21"/>
                <w:highlight w:val="none"/>
              </w:rPr>
            </w:pPr>
          </w:p>
        </w:tc>
        <w:tc>
          <w:tcPr>
            <w:tcW w:w="983" w:type="dxa"/>
            <w:tcBorders>
              <w:top w:val="single" w:color="auto" w:sz="4" w:space="0"/>
              <w:left w:val="single" w:color="auto" w:sz="6" w:space="0"/>
              <w:bottom w:val="single" w:color="auto" w:sz="4" w:space="0"/>
              <w:right w:val="single" w:color="auto" w:sz="4" w:space="0"/>
            </w:tcBorders>
            <w:noWrap w:val="0"/>
            <w:vAlign w:val="center"/>
          </w:tcPr>
          <w:p w14:paraId="78D342EE">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31EB6302">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4175A8F2">
            <w:pPr>
              <w:jc w:val="center"/>
              <w:rPr>
                <w:color w:val="auto"/>
                <w:szCs w:val="21"/>
                <w:highlight w:val="none"/>
              </w:rPr>
            </w:pPr>
          </w:p>
        </w:tc>
        <w:tc>
          <w:tcPr>
            <w:tcW w:w="983" w:type="dxa"/>
            <w:tcBorders>
              <w:top w:val="single" w:color="auto" w:sz="4" w:space="0"/>
              <w:left w:val="single" w:color="auto" w:sz="4" w:space="0"/>
              <w:bottom w:val="single" w:color="auto" w:sz="4" w:space="0"/>
              <w:right w:val="single" w:color="auto" w:sz="6" w:space="0"/>
            </w:tcBorders>
            <w:noWrap w:val="0"/>
            <w:vAlign w:val="center"/>
          </w:tcPr>
          <w:p w14:paraId="2830AC1F">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444C12E1">
            <w:pPr>
              <w:jc w:val="center"/>
              <w:rPr>
                <w:color w:val="auto"/>
                <w:szCs w:val="21"/>
                <w:highlight w:val="none"/>
              </w:rPr>
            </w:pPr>
          </w:p>
        </w:tc>
        <w:tc>
          <w:tcPr>
            <w:tcW w:w="982" w:type="dxa"/>
            <w:tcBorders>
              <w:top w:val="single" w:color="auto" w:sz="4" w:space="0"/>
              <w:left w:val="single" w:color="auto" w:sz="4" w:space="0"/>
              <w:bottom w:val="single" w:color="auto" w:sz="4" w:space="0"/>
              <w:right w:val="single" w:color="auto" w:sz="6" w:space="0"/>
            </w:tcBorders>
            <w:noWrap w:val="0"/>
            <w:vAlign w:val="center"/>
          </w:tcPr>
          <w:p w14:paraId="46A9F61B">
            <w:pPr>
              <w:jc w:val="center"/>
              <w:rPr>
                <w:color w:val="auto"/>
                <w:szCs w:val="21"/>
                <w:highlight w:val="none"/>
              </w:rPr>
            </w:pPr>
          </w:p>
        </w:tc>
      </w:tr>
      <w:tr w14:paraId="317FF53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tcBorders>
              <w:top w:val="single" w:color="auto" w:sz="4" w:space="0"/>
              <w:left w:val="single" w:color="auto" w:sz="6" w:space="0"/>
              <w:bottom w:val="single" w:color="auto" w:sz="6" w:space="0"/>
              <w:right w:val="single" w:color="auto" w:sz="4" w:space="0"/>
            </w:tcBorders>
            <w:noWrap w:val="0"/>
            <w:vAlign w:val="center"/>
          </w:tcPr>
          <w:p w14:paraId="529826F1">
            <w:pPr>
              <w:jc w:val="center"/>
              <w:rPr>
                <w:rFonts w:ascii="黑体" w:eastAsia="黑体"/>
                <w:color w:val="auto"/>
                <w:szCs w:val="21"/>
                <w:highlight w:val="none"/>
              </w:rPr>
            </w:pPr>
          </w:p>
        </w:tc>
        <w:tc>
          <w:tcPr>
            <w:tcW w:w="982" w:type="dxa"/>
            <w:tcBorders>
              <w:top w:val="single" w:color="auto" w:sz="4" w:space="0"/>
              <w:left w:val="single" w:color="auto" w:sz="4" w:space="0"/>
              <w:bottom w:val="single" w:color="auto" w:sz="6" w:space="0"/>
              <w:right w:val="single" w:color="auto" w:sz="6" w:space="0"/>
            </w:tcBorders>
            <w:noWrap w:val="0"/>
            <w:vAlign w:val="center"/>
          </w:tcPr>
          <w:p w14:paraId="5E4412C5">
            <w:pPr>
              <w:jc w:val="center"/>
              <w:rPr>
                <w:color w:val="auto"/>
                <w:szCs w:val="21"/>
                <w:highlight w:val="none"/>
              </w:rPr>
            </w:pPr>
          </w:p>
        </w:tc>
        <w:tc>
          <w:tcPr>
            <w:tcW w:w="982" w:type="dxa"/>
            <w:tcBorders>
              <w:top w:val="single" w:color="auto" w:sz="4" w:space="0"/>
              <w:left w:val="single" w:color="auto" w:sz="6" w:space="0"/>
              <w:bottom w:val="single" w:color="auto" w:sz="6" w:space="0"/>
              <w:right w:val="single" w:color="auto" w:sz="4" w:space="0"/>
            </w:tcBorders>
            <w:noWrap w:val="0"/>
            <w:vAlign w:val="center"/>
          </w:tcPr>
          <w:p w14:paraId="42E35534">
            <w:pPr>
              <w:jc w:val="center"/>
              <w:rPr>
                <w:color w:val="auto"/>
                <w:szCs w:val="21"/>
                <w:highlight w:val="none"/>
              </w:rPr>
            </w:pPr>
          </w:p>
        </w:tc>
        <w:tc>
          <w:tcPr>
            <w:tcW w:w="983" w:type="dxa"/>
            <w:tcBorders>
              <w:top w:val="single" w:color="auto" w:sz="4" w:space="0"/>
              <w:left w:val="single" w:color="auto" w:sz="6" w:space="0"/>
              <w:bottom w:val="single" w:color="auto" w:sz="6" w:space="0"/>
              <w:right w:val="single" w:color="auto" w:sz="4" w:space="0"/>
            </w:tcBorders>
            <w:noWrap w:val="0"/>
            <w:vAlign w:val="center"/>
          </w:tcPr>
          <w:p w14:paraId="6CF74137">
            <w:pPr>
              <w:jc w:val="center"/>
              <w:rPr>
                <w:color w:val="auto"/>
                <w:szCs w:val="21"/>
                <w:highlight w:val="none"/>
              </w:rPr>
            </w:pPr>
          </w:p>
        </w:tc>
        <w:tc>
          <w:tcPr>
            <w:tcW w:w="982" w:type="dxa"/>
            <w:tcBorders>
              <w:top w:val="single" w:color="auto" w:sz="4" w:space="0"/>
              <w:left w:val="single" w:color="auto" w:sz="4" w:space="0"/>
              <w:bottom w:val="single" w:color="auto" w:sz="6" w:space="0"/>
              <w:right w:val="single" w:color="auto" w:sz="6" w:space="0"/>
            </w:tcBorders>
            <w:noWrap w:val="0"/>
            <w:vAlign w:val="center"/>
          </w:tcPr>
          <w:p w14:paraId="1E45FD60">
            <w:pPr>
              <w:jc w:val="center"/>
              <w:rPr>
                <w:color w:val="auto"/>
                <w:szCs w:val="21"/>
                <w:highlight w:val="none"/>
              </w:rPr>
            </w:pPr>
          </w:p>
        </w:tc>
        <w:tc>
          <w:tcPr>
            <w:tcW w:w="982" w:type="dxa"/>
            <w:tcBorders>
              <w:top w:val="single" w:color="auto" w:sz="4" w:space="0"/>
              <w:left w:val="single" w:color="auto" w:sz="4" w:space="0"/>
              <w:bottom w:val="single" w:color="auto" w:sz="6" w:space="0"/>
              <w:right w:val="single" w:color="auto" w:sz="4" w:space="0"/>
            </w:tcBorders>
            <w:noWrap w:val="0"/>
            <w:vAlign w:val="center"/>
          </w:tcPr>
          <w:p w14:paraId="35A93FBE">
            <w:pPr>
              <w:jc w:val="center"/>
              <w:rPr>
                <w:color w:val="auto"/>
                <w:szCs w:val="21"/>
                <w:highlight w:val="none"/>
              </w:rPr>
            </w:pPr>
          </w:p>
        </w:tc>
        <w:tc>
          <w:tcPr>
            <w:tcW w:w="983" w:type="dxa"/>
            <w:tcBorders>
              <w:top w:val="single" w:color="auto" w:sz="4" w:space="0"/>
              <w:left w:val="single" w:color="auto" w:sz="4" w:space="0"/>
              <w:bottom w:val="single" w:color="auto" w:sz="6" w:space="0"/>
              <w:right w:val="single" w:color="auto" w:sz="6" w:space="0"/>
            </w:tcBorders>
            <w:noWrap w:val="0"/>
            <w:vAlign w:val="center"/>
          </w:tcPr>
          <w:p w14:paraId="41587079">
            <w:pPr>
              <w:jc w:val="center"/>
              <w:rPr>
                <w:color w:val="auto"/>
                <w:szCs w:val="21"/>
                <w:highlight w:val="none"/>
              </w:rPr>
            </w:pPr>
          </w:p>
        </w:tc>
        <w:tc>
          <w:tcPr>
            <w:tcW w:w="982" w:type="dxa"/>
            <w:tcBorders>
              <w:top w:val="single" w:color="auto" w:sz="4" w:space="0"/>
              <w:left w:val="single" w:color="auto" w:sz="4" w:space="0"/>
              <w:bottom w:val="single" w:color="auto" w:sz="6" w:space="0"/>
              <w:right w:val="single" w:color="auto" w:sz="6" w:space="0"/>
            </w:tcBorders>
            <w:noWrap w:val="0"/>
            <w:vAlign w:val="center"/>
          </w:tcPr>
          <w:p w14:paraId="76FEE10A">
            <w:pPr>
              <w:jc w:val="center"/>
              <w:rPr>
                <w:color w:val="auto"/>
                <w:szCs w:val="21"/>
                <w:highlight w:val="none"/>
              </w:rPr>
            </w:pPr>
          </w:p>
        </w:tc>
        <w:tc>
          <w:tcPr>
            <w:tcW w:w="982" w:type="dxa"/>
            <w:tcBorders>
              <w:top w:val="single" w:color="auto" w:sz="4" w:space="0"/>
              <w:left w:val="single" w:color="auto" w:sz="4" w:space="0"/>
              <w:bottom w:val="single" w:color="auto" w:sz="6" w:space="0"/>
              <w:right w:val="single" w:color="auto" w:sz="6" w:space="0"/>
            </w:tcBorders>
            <w:noWrap w:val="0"/>
            <w:vAlign w:val="center"/>
          </w:tcPr>
          <w:p w14:paraId="6DB20621">
            <w:pPr>
              <w:jc w:val="center"/>
              <w:rPr>
                <w:color w:val="auto"/>
                <w:szCs w:val="21"/>
                <w:highlight w:val="none"/>
              </w:rPr>
            </w:pPr>
          </w:p>
        </w:tc>
      </w:tr>
    </w:tbl>
    <w:p w14:paraId="18550738">
      <w:pPr>
        <w:spacing w:line="420" w:lineRule="exact"/>
        <w:jc w:val="center"/>
        <w:rPr>
          <w:rFonts w:hint="eastAsia" w:ascii="楷体_GB2312" w:hAnsi="Times New Roman" w:eastAsia="楷体_GB2312"/>
          <w:color w:val="auto"/>
          <w:highlight w:val="none"/>
        </w:rPr>
      </w:pPr>
    </w:p>
    <w:p w14:paraId="3BAF7819">
      <w:pPr>
        <w:spacing w:line="420" w:lineRule="exact"/>
        <w:rPr>
          <w:rFonts w:hint="eastAsia" w:ascii="宋体" w:hAnsi="宋体"/>
          <w:color w:val="auto"/>
          <w:szCs w:val="21"/>
          <w:highlight w:val="none"/>
        </w:rPr>
      </w:pPr>
      <w:r>
        <w:rPr>
          <w:rFonts w:hint="eastAsia" w:ascii="宋体" w:hAnsi="宋体"/>
          <w:color w:val="auto"/>
          <w:szCs w:val="21"/>
          <w:highlight w:val="none"/>
        </w:rPr>
        <w:t>评标委员会成员签名：                                     日期:     年     月     日</w:t>
      </w:r>
    </w:p>
    <w:p w14:paraId="1E5DB88F">
      <w:pPr>
        <w:rPr>
          <w:rFonts w:hint="eastAsia" w:ascii="Times New Roman" w:hAnsi="Times New Roman"/>
          <w:color w:val="auto"/>
          <w:szCs w:val="24"/>
          <w:highlight w:val="none"/>
        </w:rPr>
      </w:pPr>
    </w:p>
    <w:p w14:paraId="6757362B">
      <w:pPr>
        <w:rPr>
          <w:color w:val="auto"/>
          <w:highlight w:val="none"/>
        </w:rPr>
      </w:pPr>
    </w:p>
    <w:p w14:paraId="487113DE">
      <w:pPr>
        <w:rPr>
          <w:color w:val="auto"/>
          <w:highlight w:val="none"/>
        </w:rPr>
      </w:pPr>
    </w:p>
    <w:p w14:paraId="2352B7A1">
      <w:pPr>
        <w:ind w:left="420" w:hanging="420" w:hangingChars="200"/>
        <w:rPr>
          <w:color w:val="auto"/>
          <w:highlight w:val="none"/>
        </w:rPr>
      </w:pPr>
      <w:r>
        <w:rPr>
          <w:rFonts w:hint="eastAsia"/>
          <w:color w:val="auto"/>
          <w:highlight w:val="none"/>
        </w:rPr>
        <w:t>注：“单价一致性”是指已标价清单中相应材料设备与材料（工程设备）暂估或发包人提供材料和工程设备单价是否一致。</w:t>
      </w:r>
    </w:p>
    <w:p w14:paraId="22F8C9B6">
      <w:pPr>
        <w:pStyle w:val="33"/>
        <w:rPr>
          <w:color w:val="auto"/>
          <w:highlight w:val="none"/>
        </w:rPr>
      </w:pPr>
      <w:bookmarkStart w:id="787" w:name="_Toc28531853"/>
      <w:bookmarkStart w:id="788" w:name="_Toc11685"/>
      <w:r>
        <w:rPr>
          <w:rFonts w:hint="eastAsia"/>
          <w:color w:val="auto"/>
          <w:highlight w:val="none"/>
        </w:rPr>
        <w:t>附表</w:t>
      </w:r>
      <w:r>
        <w:rPr>
          <w:color w:val="auto"/>
          <w:highlight w:val="none"/>
        </w:rPr>
        <w:t>C-2</w:t>
      </w:r>
      <w:r>
        <w:rPr>
          <w:rFonts w:hint="eastAsia"/>
          <w:color w:val="auto"/>
          <w:highlight w:val="none"/>
        </w:rPr>
        <w:t>：清标报告</w:t>
      </w:r>
      <w:r>
        <w:rPr>
          <w:color w:val="auto"/>
          <w:highlight w:val="none"/>
        </w:rPr>
        <w:t>-</w:t>
      </w:r>
      <w:r>
        <w:rPr>
          <w:rFonts w:hint="eastAsia"/>
          <w:color w:val="auto"/>
          <w:highlight w:val="none"/>
        </w:rPr>
        <w:t>总价措施项目符合性检查</w:t>
      </w:r>
      <w:bookmarkEnd w:id="787"/>
      <w:bookmarkEnd w:id="788"/>
    </w:p>
    <w:p w14:paraId="3B1B2A7C">
      <w:pPr>
        <w:spacing w:before="240" w:beforeLines="100" w:after="240" w:afterLines="100"/>
        <w:jc w:val="center"/>
        <w:rPr>
          <w:rFonts w:ascii="黑体" w:eastAsia="黑体"/>
          <w:color w:val="auto"/>
          <w:sz w:val="32"/>
          <w:szCs w:val="32"/>
          <w:highlight w:val="none"/>
        </w:rPr>
      </w:pPr>
    </w:p>
    <w:p w14:paraId="7C23D01F">
      <w:pPr>
        <w:spacing w:line="420" w:lineRule="exact"/>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清标报告-总价措施项目符合性检查</w:t>
      </w:r>
    </w:p>
    <w:p w14:paraId="65265E51">
      <w:pPr>
        <w:rPr>
          <w:rFonts w:hint="eastAsia" w:ascii="宋体" w:hAnsi="宋体"/>
          <w:color w:val="auto"/>
          <w:szCs w:val="21"/>
          <w:highlight w:val="none"/>
        </w:rPr>
      </w:pPr>
      <w:r>
        <w:rPr>
          <w:rFonts w:hint="eastAsia" w:ascii="宋体" w:hAnsi="宋体"/>
          <w:color w:val="auto"/>
          <w:szCs w:val="21"/>
          <w:highlight w:val="none"/>
        </w:rPr>
        <w:t>投标人名称：</w:t>
      </w:r>
    </w:p>
    <w:p w14:paraId="39EB936C">
      <w:pPr>
        <w:spacing w:line="420" w:lineRule="exact"/>
        <w:jc w:val="center"/>
        <w:rPr>
          <w:rFonts w:hint="eastAsia" w:ascii="楷体_GB2312" w:hAnsi="Times New Roman" w:eastAsia="楷体_GB2312"/>
          <w:color w:val="auto"/>
          <w:szCs w:val="24"/>
          <w:highlight w:val="none"/>
        </w:rPr>
      </w:pPr>
    </w:p>
    <w:tbl>
      <w:tblPr>
        <w:tblStyle w:val="15"/>
        <w:tblW w:w="8786"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098"/>
        <w:gridCol w:w="1098"/>
        <w:gridCol w:w="1099"/>
        <w:gridCol w:w="1098"/>
        <w:gridCol w:w="1098"/>
        <w:gridCol w:w="1098"/>
        <w:gridCol w:w="1099"/>
      </w:tblGrid>
      <w:tr w14:paraId="1E9EB2D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3294" w:type="dxa"/>
            <w:gridSpan w:val="3"/>
            <w:tcBorders>
              <w:top w:val="single" w:color="auto" w:sz="6" w:space="0"/>
              <w:left w:val="single" w:color="auto" w:sz="6" w:space="0"/>
              <w:bottom w:val="single" w:color="auto" w:sz="4" w:space="0"/>
              <w:right w:val="single" w:color="auto" w:sz="4" w:space="0"/>
            </w:tcBorders>
            <w:noWrap w:val="0"/>
            <w:vAlign w:val="center"/>
          </w:tcPr>
          <w:p w14:paraId="134A3779">
            <w:pPr>
              <w:jc w:val="center"/>
              <w:rPr>
                <w:color w:val="auto"/>
                <w:sz w:val="20"/>
                <w:szCs w:val="20"/>
                <w:highlight w:val="none"/>
              </w:rPr>
            </w:pPr>
            <w:r>
              <w:rPr>
                <w:rFonts w:hint="eastAsia"/>
                <w:color w:val="auto"/>
                <w:sz w:val="20"/>
                <w:szCs w:val="20"/>
                <w:highlight w:val="none"/>
              </w:rPr>
              <w:t>单位工程名称</w:t>
            </w:r>
          </w:p>
        </w:tc>
        <w:tc>
          <w:tcPr>
            <w:tcW w:w="5492" w:type="dxa"/>
            <w:gridSpan w:val="5"/>
            <w:tcBorders>
              <w:top w:val="single" w:color="auto" w:sz="6" w:space="0"/>
              <w:left w:val="single" w:color="auto" w:sz="6" w:space="0"/>
              <w:bottom w:val="single" w:color="auto" w:sz="4" w:space="0"/>
              <w:right w:val="single" w:color="auto" w:sz="6" w:space="0"/>
            </w:tcBorders>
            <w:noWrap w:val="0"/>
            <w:vAlign w:val="center"/>
          </w:tcPr>
          <w:p w14:paraId="53743F2F">
            <w:pPr>
              <w:jc w:val="center"/>
              <w:rPr>
                <w:color w:val="auto"/>
                <w:szCs w:val="21"/>
                <w:highlight w:val="none"/>
              </w:rPr>
            </w:pPr>
          </w:p>
        </w:tc>
      </w:tr>
      <w:tr w14:paraId="07A4D98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8786" w:type="dxa"/>
            <w:gridSpan w:val="8"/>
            <w:tcBorders>
              <w:top w:val="single" w:color="auto" w:sz="4" w:space="0"/>
              <w:left w:val="single" w:color="auto" w:sz="6" w:space="0"/>
              <w:bottom w:val="single" w:color="auto" w:sz="4" w:space="0"/>
              <w:right w:val="single" w:color="auto" w:sz="6" w:space="0"/>
            </w:tcBorders>
            <w:noWrap w:val="0"/>
            <w:vAlign w:val="center"/>
          </w:tcPr>
          <w:p w14:paraId="55BF2676">
            <w:pPr>
              <w:jc w:val="center"/>
              <w:rPr>
                <w:color w:val="auto"/>
                <w:szCs w:val="21"/>
                <w:highlight w:val="none"/>
              </w:rPr>
            </w:pPr>
            <w:r>
              <w:rPr>
                <w:rFonts w:hint="eastAsia"/>
                <w:b/>
                <w:color w:val="auto"/>
                <w:sz w:val="20"/>
                <w:szCs w:val="20"/>
                <w:highlight w:val="none"/>
              </w:rPr>
              <w:t>二、总价措施项目符合性检查</w:t>
            </w:r>
          </w:p>
        </w:tc>
      </w:tr>
      <w:tr w14:paraId="318BEAA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298E433C">
            <w:pPr>
              <w:jc w:val="center"/>
              <w:rPr>
                <w:color w:val="auto"/>
                <w:sz w:val="20"/>
                <w:szCs w:val="20"/>
                <w:highlight w:val="none"/>
              </w:rPr>
            </w:pPr>
            <w:r>
              <w:rPr>
                <w:rFonts w:hint="eastAsia"/>
                <w:color w:val="auto"/>
                <w:sz w:val="20"/>
                <w:szCs w:val="20"/>
                <w:highlight w:val="none"/>
              </w:rPr>
              <w:t>项目名称或编号</w:t>
            </w:r>
          </w:p>
        </w:tc>
        <w:tc>
          <w:tcPr>
            <w:tcW w:w="1098" w:type="dxa"/>
            <w:tcBorders>
              <w:top w:val="single" w:color="auto" w:sz="4" w:space="0"/>
              <w:left w:val="single" w:color="auto" w:sz="4" w:space="0"/>
              <w:bottom w:val="single" w:color="auto" w:sz="4" w:space="0"/>
              <w:right w:val="single" w:color="auto" w:sz="6" w:space="0"/>
            </w:tcBorders>
            <w:noWrap w:val="0"/>
            <w:vAlign w:val="center"/>
          </w:tcPr>
          <w:p w14:paraId="2029B0B6">
            <w:pPr>
              <w:jc w:val="center"/>
              <w:rPr>
                <w:color w:val="auto"/>
                <w:sz w:val="20"/>
                <w:szCs w:val="20"/>
                <w:highlight w:val="none"/>
              </w:rPr>
            </w:pPr>
            <w:r>
              <w:rPr>
                <w:rFonts w:hint="eastAsia"/>
                <w:color w:val="auto"/>
                <w:sz w:val="20"/>
                <w:szCs w:val="20"/>
                <w:highlight w:val="none"/>
              </w:rPr>
              <w:t>项目编码错误</w:t>
            </w:r>
          </w:p>
        </w:tc>
        <w:tc>
          <w:tcPr>
            <w:tcW w:w="1098" w:type="dxa"/>
            <w:tcBorders>
              <w:top w:val="single" w:color="auto" w:sz="4" w:space="0"/>
              <w:left w:val="single" w:color="auto" w:sz="6" w:space="0"/>
              <w:bottom w:val="single" w:color="auto" w:sz="4" w:space="0"/>
              <w:right w:val="single" w:color="auto" w:sz="4" w:space="0"/>
            </w:tcBorders>
            <w:noWrap w:val="0"/>
            <w:vAlign w:val="center"/>
          </w:tcPr>
          <w:p w14:paraId="3291CDA9">
            <w:pPr>
              <w:jc w:val="center"/>
              <w:rPr>
                <w:color w:val="auto"/>
                <w:sz w:val="20"/>
                <w:szCs w:val="20"/>
                <w:highlight w:val="none"/>
              </w:rPr>
            </w:pPr>
            <w:r>
              <w:rPr>
                <w:rFonts w:hint="eastAsia"/>
                <w:color w:val="auto"/>
                <w:sz w:val="20"/>
                <w:szCs w:val="20"/>
                <w:highlight w:val="none"/>
              </w:rPr>
              <w:t>项目名称错误</w:t>
            </w:r>
          </w:p>
        </w:tc>
        <w:tc>
          <w:tcPr>
            <w:tcW w:w="1099" w:type="dxa"/>
            <w:tcBorders>
              <w:top w:val="single" w:color="auto" w:sz="4" w:space="0"/>
              <w:left w:val="single" w:color="auto" w:sz="6" w:space="0"/>
              <w:bottom w:val="single" w:color="auto" w:sz="4" w:space="0"/>
              <w:right w:val="single" w:color="auto" w:sz="4" w:space="0"/>
            </w:tcBorders>
            <w:noWrap w:val="0"/>
            <w:vAlign w:val="center"/>
          </w:tcPr>
          <w:p w14:paraId="292A75B6">
            <w:pPr>
              <w:jc w:val="center"/>
              <w:rPr>
                <w:color w:val="auto"/>
                <w:szCs w:val="24"/>
                <w:highlight w:val="none"/>
              </w:rPr>
            </w:pPr>
            <w:r>
              <w:rPr>
                <w:rFonts w:hint="eastAsia"/>
                <w:color w:val="auto"/>
                <w:highlight w:val="none"/>
              </w:rPr>
              <w:t>计算基础</w:t>
            </w:r>
            <w:r>
              <w:rPr>
                <w:rFonts w:hint="eastAsia"/>
                <w:color w:val="auto"/>
                <w:sz w:val="20"/>
                <w:szCs w:val="20"/>
                <w:highlight w:val="none"/>
              </w:rPr>
              <w:t>错误</w:t>
            </w:r>
          </w:p>
        </w:tc>
        <w:tc>
          <w:tcPr>
            <w:tcW w:w="1098" w:type="dxa"/>
            <w:tcBorders>
              <w:top w:val="single" w:color="auto" w:sz="4" w:space="0"/>
              <w:left w:val="single" w:color="auto" w:sz="4" w:space="0"/>
              <w:bottom w:val="single" w:color="auto" w:sz="4" w:space="0"/>
              <w:right w:val="single" w:color="auto" w:sz="6" w:space="0"/>
            </w:tcBorders>
            <w:noWrap w:val="0"/>
            <w:vAlign w:val="center"/>
          </w:tcPr>
          <w:p w14:paraId="49345124">
            <w:pPr>
              <w:jc w:val="center"/>
              <w:rPr>
                <w:color w:val="auto"/>
                <w:sz w:val="20"/>
                <w:szCs w:val="20"/>
                <w:highlight w:val="none"/>
              </w:rPr>
            </w:pPr>
            <w:r>
              <w:rPr>
                <w:rFonts w:hint="eastAsia"/>
                <w:color w:val="auto"/>
                <w:highlight w:val="none"/>
              </w:rPr>
              <w:t>费率</w:t>
            </w:r>
            <w:r>
              <w:rPr>
                <w:color w:val="auto"/>
                <w:highlight w:val="none"/>
              </w:rPr>
              <w:t>(</w:t>
            </w:r>
            <w:r>
              <w:rPr>
                <w:rFonts w:hint="eastAsia"/>
                <w:color w:val="auto"/>
                <w:highlight w:val="none"/>
              </w:rPr>
              <w:t>％</w:t>
            </w:r>
            <w:r>
              <w:rPr>
                <w:color w:val="auto"/>
                <w:highlight w:val="none"/>
              </w:rPr>
              <w:t>)</w:t>
            </w:r>
          </w:p>
          <w:p w14:paraId="3025EBEE">
            <w:pPr>
              <w:jc w:val="center"/>
              <w:rPr>
                <w:color w:val="auto"/>
                <w:szCs w:val="24"/>
                <w:highlight w:val="none"/>
              </w:rPr>
            </w:pPr>
            <w:r>
              <w:rPr>
                <w:rFonts w:hint="eastAsia"/>
                <w:color w:val="auto"/>
                <w:sz w:val="20"/>
                <w:szCs w:val="20"/>
                <w:highlight w:val="none"/>
              </w:rPr>
              <w:t>错误</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8DCA44F">
            <w:pPr>
              <w:jc w:val="center"/>
              <w:rPr>
                <w:color w:val="auto"/>
                <w:sz w:val="20"/>
                <w:szCs w:val="20"/>
                <w:highlight w:val="none"/>
              </w:rPr>
            </w:pPr>
            <w:r>
              <w:rPr>
                <w:rFonts w:hint="eastAsia"/>
                <w:color w:val="auto"/>
                <w:sz w:val="20"/>
                <w:szCs w:val="20"/>
                <w:highlight w:val="none"/>
              </w:rPr>
              <w:t>未填报</w:t>
            </w:r>
          </w:p>
        </w:tc>
        <w:tc>
          <w:tcPr>
            <w:tcW w:w="1098" w:type="dxa"/>
            <w:tcBorders>
              <w:top w:val="single" w:color="auto" w:sz="4" w:space="0"/>
              <w:left w:val="single" w:color="auto" w:sz="4" w:space="0"/>
              <w:bottom w:val="single" w:color="auto" w:sz="4" w:space="0"/>
              <w:right w:val="single" w:color="auto" w:sz="6" w:space="0"/>
            </w:tcBorders>
            <w:noWrap w:val="0"/>
            <w:vAlign w:val="center"/>
          </w:tcPr>
          <w:p w14:paraId="7B619BCD">
            <w:pPr>
              <w:jc w:val="center"/>
              <w:rPr>
                <w:color w:val="auto"/>
                <w:sz w:val="20"/>
                <w:szCs w:val="20"/>
                <w:highlight w:val="none"/>
              </w:rPr>
            </w:pPr>
            <w:r>
              <w:rPr>
                <w:rFonts w:hint="eastAsia"/>
                <w:color w:val="auto"/>
                <w:sz w:val="20"/>
                <w:szCs w:val="20"/>
                <w:highlight w:val="none"/>
              </w:rPr>
              <w:t>多项</w:t>
            </w:r>
          </w:p>
        </w:tc>
        <w:tc>
          <w:tcPr>
            <w:tcW w:w="1099" w:type="dxa"/>
            <w:tcBorders>
              <w:top w:val="single" w:color="auto" w:sz="4" w:space="0"/>
              <w:left w:val="single" w:color="auto" w:sz="4" w:space="0"/>
              <w:bottom w:val="single" w:color="auto" w:sz="4" w:space="0"/>
              <w:right w:val="single" w:color="auto" w:sz="6" w:space="0"/>
            </w:tcBorders>
            <w:noWrap w:val="0"/>
            <w:vAlign w:val="center"/>
          </w:tcPr>
          <w:p w14:paraId="6DEC70FB">
            <w:pPr>
              <w:jc w:val="center"/>
              <w:rPr>
                <w:color w:val="auto"/>
                <w:szCs w:val="21"/>
                <w:highlight w:val="none"/>
              </w:rPr>
            </w:pPr>
          </w:p>
        </w:tc>
      </w:tr>
      <w:tr w14:paraId="7AC4E50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5766433E">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6E0778FB">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4D89A903">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2D237F06">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2BDDF0AA">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1C251545">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13B830E5">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2F5CD266">
            <w:pPr>
              <w:jc w:val="center"/>
              <w:rPr>
                <w:color w:val="auto"/>
                <w:szCs w:val="21"/>
                <w:highlight w:val="none"/>
              </w:rPr>
            </w:pPr>
          </w:p>
        </w:tc>
      </w:tr>
      <w:tr w14:paraId="28BCA8C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71879B86">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297F8A57">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6AD9F8B5">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5A85ECB2">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35A4ABF4">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18C6F454">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4965ED0A">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22AEDC5D">
            <w:pPr>
              <w:jc w:val="center"/>
              <w:rPr>
                <w:color w:val="auto"/>
                <w:szCs w:val="21"/>
                <w:highlight w:val="none"/>
              </w:rPr>
            </w:pPr>
          </w:p>
        </w:tc>
      </w:tr>
      <w:tr w14:paraId="211F86E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52724FE8">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1F68F694">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76409415">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22453894">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48133C3D">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4E1F593F">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247F074F">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1F6E1490">
            <w:pPr>
              <w:jc w:val="center"/>
              <w:rPr>
                <w:color w:val="auto"/>
                <w:szCs w:val="21"/>
                <w:highlight w:val="none"/>
              </w:rPr>
            </w:pPr>
          </w:p>
        </w:tc>
      </w:tr>
      <w:tr w14:paraId="34A7F89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031095ED">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01565881">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53D0B09F">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7FE5B85A">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1CCC8D0F">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48C0373E">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2F667F5B">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3E26B49C">
            <w:pPr>
              <w:jc w:val="center"/>
              <w:rPr>
                <w:color w:val="auto"/>
                <w:szCs w:val="21"/>
                <w:highlight w:val="none"/>
              </w:rPr>
            </w:pPr>
          </w:p>
        </w:tc>
      </w:tr>
      <w:tr w14:paraId="2523D71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2C56E221">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18F13301">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50221678">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673076DC">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43AF2A62">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04ACE96">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16547D49">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027E43FA">
            <w:pPr>
              <w:jc w:val="center"/>
              <w:rPr>
                <w:color w:val="auto"/>
                <w:szCs w:val="21"/>
                <w:highlight w:val="none"/>
              </w:rPr>
            </w:pPr>
          </w:p>
        </w:tc>
      </w:tr>
      <w:tr w14:paraId="6DC5602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26A405FC">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6C611F53">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7FEE8649">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5DFC22FA">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7025BB72">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D39A350">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518603C6">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2A0145B3">
            <w:pPr>
              <w:jc w:val="center"/>
              <w:rPr>
                <w:color w:val="auto"/>
                <w:szCs w:val="21"/>
                <w:highlight w:val="none"/>
              </w:rPr>
            </w:pPr>
          </w:p>
        </w:tc>
      </w:tr>
      <w:tr w14:paraId="46BC90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5DDA0AB5">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435A6AEE">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6CA81776">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1D206693">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4A9DAF68">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24602674">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4B1FFAF4">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5D597EF1">
            <w:pPr>
              <w:jc w:val="center"/>
              <w:rPr>
                <w:color w:val="auto"/>
                <w:szCs w:val="21"/>
                <w:highlight w:val="none"/>
              </w:rPr>
            </w:pPr>
          </w:p>
        </w:tc>
      </w:tr>
      <w:tr w14:paraId="17A4B1E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7CF65EE4">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0AB29576">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1ED9E05C">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64B8290F">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15FA482B">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6E5B5A4">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321DDA3C">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2767826B">
            <w:pPr>
              <w:jc w:val="center"/>
              <w:rPr>
                <w:color w:val="auto"/>
                <w:szCs w:val="21"/>
                <w:highlight w:val="none"/>
              </w:rPr>
            </w:pPr>
          </w:p>
        </w:tc>
      </w:tr>
      <w:tr w14:paraId="7AF849F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tcBorders>
              <w:top w:val="single" w:color="auto" w:sz="4" w:space="0"/>
              <w:left w:val="single" w:color="auto" w:sz="6" w:space="0"/>
              <w:bottom w:val="single" w:color="auto" w:sz="4" w:space="0"/>
              <w:right w:val="single" w:color="auto" w:sz="4" w:space="0"/>
            </w:tcBorders>
            <w:noWrap w:val="0"/>
            <w:vAlign w:val="center"/>
          </w:tcPr>
          <w:p w14:paraId="229F316F">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0E939EA5">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4" w:space="0"/>
              <w:right w:val="single" w:color="auto" w:sz="4" w:space="0"/>
            </w:tcBorders>
            <w:noWrap w:val="0"/>
            <w:vAlign w:val="center"/>
          </w:tcPr>
          <w:p w14:paraId="6EE5D30B">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4" w:space="0"/>
              <w:right w:val="single" w:color="auto" w:sz="4" w:space="0"/>
            </w:tcBorders>
            <w:noWrap w:val="0"/>
            <w:vAlign w:val="center"/>
          </w:tcPr>
          <w:p w14:paraId="69C61A0B">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3E443367">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0A5C437">
            <w:pPr>
              <w:jc w:val="center"/>
              <w:rPr>
                <w:color w:val="auto"/>
                <w:szCs w:val="21"/>
                <w:highlight w:val="none"/>
              </w:rPr>
            </w:pPr>
          </w:p>
        </w:tc>
        <w:tc>
          <w:tcPr>
            <w:tcW w:w="1098" w:type="dxa"/>
            <w:tcBorders>
              <w:top w:val="single" w:color="auto" w:sz="4" w:space="0"/>
              <w:left w:val="single" w:color="auto" w:sz="4" w:space="0"/>
              <w:bottom w:val="single" w:color="auto" w:sz="4" w:space="0"/>
              <w:right w:val="single" w:color="auto" w:sz="6" w:space="0"/>
            </w:tcBorders>
            <w:noWrap w:val="0"/>
            <w:vAlign w:val="center"/>
          </w:tcPr>
          <w:p w14:paraId="7C12A4A9">
            <w:pPr>
              <w:jc w:val="center"/>
              <w:rPr>
                <w:color w:val="auto"/>
                <w:szCs w:val="21"/>
                <w:highlight w:val="none"/>
              </w:rPr>
            </w:pPr>
          </w:p>
        </w:tc>
        <w:tc>
          <w:tcPr>
            <w:tcW w:w="1099" w:type="dxa"/>
            <w:tcBorders>
              <w:top w:val="single" w:color="auto" w:sz="4" w:space="0"/>
              <w:left w:val="single" w:color="auto" w:sz="4" w:space="0"/>
              <w:bottom w:val="single" w:color="auto" w:sz="4" w:space="0"/>
              <w:right w:val="single" w:color="auto" w:sz="6" w:space="0"/>
            </w:tcBorders>
            <w:noWrap w:val="0"/>
            <w:vAlign w:val="center"/>
          </w:tcPr>
          <w:p w14:paraId="117AE04B">
            <w:pPr>
              <w:jc w:val="center"/>
              <w:rPr>
                <w:color w:val="auto"/>
                <w:szCs w:val="21"/>
                <w:highlight w:val="none"/>
              </w:rPr>
            </w:pPr>
          </w:p>
        </w:tc>
      </w:tr>
      <w:tr w14:paraId="2DB704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098" w:type="dxa"/>
            <w:tcBorders>
              <w:top w:val="single" w:color="auto" w:sz="4" w:space="0"/>
              <w:left w:val="single" w:color="auto" w:sz="6" w:space="0"/>
              <w:bottom w:val="single" w:color="auto" w:sz="6" w:space="0"/>
              <w:right w:val="single" w:color="auto" w:sz="4" w:space="0"/>
            </w:tcBorders>
            <w:noWrap w:val="0"/>
            <w:vAlign w:val="center"/>
          </w:tcPr>
          <w:p w14:paraId="1E58ACF9">
            <w:pPr>
              <w:jc w:val="center"/>
              <w:rPr>
                <w:rFonts w:ascii="黑体" w:eastAsia="黑体"/>
                <w:color w:val="auto"/>
                <w:szCs w:val="21"/>
                <w:highlight w:val="none"/>
              </w:rPr>
            </w:pPr>
          </w:p>
        </w:tc>
        <w:tc>
          <w:tcPr>
            <w:tcW w:w="1098" w:type="dxa"/>
            <w:tcBorders>
              <w:top w:val="single" w:color="auto" w:sz="4" w:space="0"/>
              <w:left w:val="single" w:color="auto" w:sz="4" w:space="0"/>
              <w:bottom w:val="single" w:color="auto" w:sz="6" w:space="0"/>
              <w:right w:val="single" w:color="auto" w:sz="6" w:space="0"/>
            </w:tcBorders>
            <w:noWrap w:val="0"/>
            <w:vAlign w:val="center"/>
          </w:tcPr>
          <w:p w14:paraId="1CEEC71B">
            <w:pPr>
              <w:ind w:firstLine="210" w:firstLineChars="100"/>
              <w:jc w:val="center"/>
              <w:rPr>
                <w:color w:val="auto"/>
                <w:szCs w:val="21"/>
                <w:highlight w:val="none"/>
              </w:rPr>
            </w:pPr>
          </w:p>
        </w:tc>
        <w:tc>
          <w:tcPr>
            <w:tcW w:w="1098" w:type="dxa"/>
            <w:tcBorders>
              <w:top w:val="single" w:color="auto" w:sz="4" w:space="0"/>
              <w:left w:val="single" w:color="auto" w:sz="6" w:space="0"/>
              <w:bottom w:val="single" w:color="auto" w:sz="6" w:space="0"/>
              <w:right w:val="single" w:color="auto" w:sz="4" w:space="0"/>
            </w:tcBorders>
            <w:noWrap w:val="0"/>
            <w:vAlign w:val="center"/>
          </w:tcPr>
          <w:p w14:paraId="30C2BAA1">
            <w:pPr>
              <w:ind w:firstLine="210" w:firstLineChars="100"/>
              <w:jc w:val="center"/>
              <w:rPr>
                <w:color w:val="auto"/>
                <w:szCs w:val="21"/>
                <w:highlight w:val="none"/>
              </w:rPr>
            </w:pPr>
          </w:p>
        </w:tc>
        <w:tc>
          <w:tcPr>
            <w:tcW w:w="1099" w:type="dxa"/>
            <w:tcBorders>
              <w:top w:val="single" w:color="auto" w:sz="4" w:space="0"/>
              <w:left w:val="single" w:color="auto" w:sz="6" w:space="0"/>
              <w:bottom w:val="single" w:color="auto" w:sz="6" w:space="0"/>
              <w:right w:val="single" w:color="auto" w:sz="4" w:space="0"/>
            </w:tcBorders>
            <w:noWrap w:val="0"/>
            <w:vAlign w:val="center"/>
          </w:tcPr>
          <w:p w14:paraId="6B9B7E11">
            <w:pPr>
              <w:ind w:firstLine="210" w:firstLineChars="100"/>
              <w:jc w:val="center"/>
              <w:rPr>
                <w:color w:val="auto"/>
                <w:szCs w:val="21"/>
                <w:highlight w:val="none"/>
              </w:rPr>
            </w:pPr>
          </w:p>
        </w:tc>
        <w:tc>
          <w:tcPr>
            <w:tcW w:w="1098" w:type="dxa"/>
            <w:tcBorders>
              <w:top w:val="single" w:color="auto" w:sz="4" w:space="0"/>
              <w:left w:val="single" w:color="auto" w:sz="4" w:space="0"/>
              <w:bottom w:val="single" w:color="auto" w:sz="6" w:space="0"/>
              <w:right w:val="single" w:color="auto" w:sz="6" w:space="0"/>
            </w:tcBorders>
            <w:noWrap w:val="0"/>
            <w:vAlign w:val="center"/>
          </w:tcPr>
          <w:p w14:paraId="2F01E5DF">
            <w:pPr>
              <w:jc w:val="center"/>
              <w:rPr>
                <w:color w:val="auto"/>
                <w:szCs w:val="21"/>
                <w:highlight w:val="none"/>
              </w:rPr>
            </w:pPr>
          </w:p>
        </w:tc>
        <w:tc>
          <w:tcPr>
            <w:tcW w:w="1098" w:type="dxa"/>
            <w:tcBorders>
              <w:top w:val="single" w:color="auto" w:sz="4" w:space="0"/>
              <w:left w:val="single" w:color="auto" w:sz="4" w:space="0"/>
              <w:bottom w:val="single" w:color="auto" w:sz="6" w:space="0"/>
              <w:right w:val="single" w:color="auto" w:sz="4" w:space="0"/>
            </w:tcBorders>
            <w:noWrap w:val="0"/>
            <w:vAlign w:val="center"/>
          </w:tcPr>
          <w:p w14:paraId="55A8EC2F">
            <w:pPr>
              <w:jc w:val="center"/>
              <w:rPr>
                <w:color w:val="auto"/>
                <w:szCs w:val="21"/>
                <w:highlight w:val="none"/>
              </w:rPr>
            </w:pPr>
          </w:p>
        </w:tc>
        <w:tc>
          <w:tcPr>
            <w:tcW w:w="1098" w:type="dxa"/>
            <w:tcBorders>
              <w:top w:val="single" w:color="auto" w:sz="4" w:space="0"/>
              <w:left w:val="single" w:color="auto" w:sz="4" w:space="0"/>
              <w:bottom w:val="single" w:color="auto" w:sz="6" w:space="0"/>
              <w:right w:val="single" w:color="auto" w:sz="6" w:space="0"/>
            </w:tcBorders>
            <w:noWrap w:val="0"/>
            <w:vAlign w:val="center"/>
          </w:tcPr>
          <w:p w14:paraId="7D4C8A17">
            <w:pPr>
              <w:jc w:val="center"/>
              <w:rPr>
                <w:color w:val="auto"/>
                <w:szCs w:val="21"/>
                <w:highlight w:val="none"/>
              </w:rPr>
            </w:pPr>
          </w:p>
        </w:tc>
        <w:tc>
          <w:tcPr>
            <w:tcW w:w="1099" w:type="dxa"/>
            <w:tcBorders>
              <w:top w:val="single" w:color="auto" w:sz="4" w:space="0"/>
              <w:left w:val="single" w:color="auto" w:sz="4" w:space="0"/>
              <w:bottom w:val="single" w:color="auto" w:sz="6" w:space="0"/>
              <w:right w:val="single" w:color="auto" w:sz="6" w:space="0"/>
            </w:tcBorders>
            <w:noWrap w:val="0"/>
            <w:vAlign w:val="center"/>
          </w:tcPr>
          <w:p w14:paraId="271E5526">
            <w:pPr>
              <w:jc w:val="center"/>
              <w:rPr>
                <w:color w:val="auto"/>
                <w:szCs w:val="21"/>
                <w:highlight w:val="none"/>
              </w:rPr>
            </w:pPr>
          </w:p>
        </w:tc>
      </w:tr>
    </w:tbl>
    <w:p w14:paraId="00EB0660">
      <w:pPr>
        <w:spacing w:line="420" w:lineRule="exact"/>
        <w:jc w:val="center"/>
        <w:rPr>
          <w:rFonts w:hint="eastAsia" w:ascii="楷体_GB2312" w:hAnsi="Times New Roman" w:eastAsia="楷体_GB2312"/>
          <w:color w:val="auto"/>
          <w:highlight w:val="none"/>
        </w:rPr>
      </w:pPr>
    </w:p>
    <w:p w14:paraId="734AA53C">
      <w:pPr>
        <w:rPr>
          <w:rFonts w:hint="eastAsia" w:ascii="Times New Roman"/>
          <w:color w:val="auto"/>
          <w:highlight w:val="none"/>
        </w:rPr>
      </w:pPr>
    </w:p>
    <w:p w14:paraId="65FE5D61">
      <w:pPr>
        <w:spacing w:line="420" w:lineRule="exact"/>
        <w:rPr>
          <w:rFonts w:ascii="宋体" w:hAnsi="宋体"/>
          <w:color w:val="auto"/>
          <w:szCs w:val="21"/>
          <w:highlight w:val="none"/>
        </w:rPr>
      </w:pPr>
      <w:r>
        <w:rPr>
          <w:rFonts w:hint="eastAsia" w:ascii="宋体" w:hAnsi="宋体"/>
          <w:color w:val="auto"/>
          <w:szCs w:val="21"/>
          <w:highlight w:val="none"/>
        </w:rPr>
        <w:t>评标委员会成员签名：                                     日期:     年     月     日</w:t>
      </w:r>
    </w:p>
    <w:p w14:paraId="16699377">
      <w:pPr>
        <w:rPr>
          <w:rFonts w:hint="eastAsia" w:ascii="Times New Roman" w:hAnsi="Times New Roman"/>
          <w:color w:val="auto"/>
          <w:szCs w:val="24"/>
          <w:highlight w:val="none"/>
        </w:rPr>
      </w:pPr>
    </w:p>
    <w:p w14:paraId="17F21AD9">
      <w:pPr>
        <w:rPr>
          <w:color w:val="auto"/>
          <w:highlight w:val="none"/>
        </w:rPr>
      </w:pPr>
    </w:p>
    <w:p w14:paraId="6ACB03C0">
      <w:pPr>
        <w:rPr>
          <w:color w:val="auto"/>
          <w:highlight w:val="none"/>
        </w:rPr>
      </w:pPr>
    </w:p>
    <w:p w14:paraId="0C9486C4">
      <w:pPr>
        <w:rPr>
          <w:color w:val="auto"/>
          <w:highlight w:val="none"/>
        </w:rPr>
      </w:pPr>
    </w:p>
    <w:p w14:paraId="1CA0CFF9">
      <w:pPr>
        <w:rPr>
          <w:color w:val="auto"/>
          <w:highlight w:val="none"/>
        </w:rPr>
      </w:pPr>
    </w:p>
    <w:p w14:paraId="59FC9A4C">
      <w:pPr>
        <w:rPr>
          <w:color w:val="auto"/>
          <w:highlight w:val="none"/>
        </w:rPr>
      </w:pPr>
    </w:p>
    <w:p w14:paraId="2E4A4EB3">
      <w:pPr>
        <w:rPr>
          <w:color w:val="auto"/>
          <w:highlight w:val="none"/>
        </w:rPr>
      </w:pPr>
    </w:p>
    <w:p w14:paraId="02EF02B1">
      <w:pPr>
        <w:rPr>
          <w:color w:val="auto"/>
          <w:highlight w:val="none"/>
        </w:rPr>
      </w:pPr>
    </w:p>
    <w:p w14:paraId="3BF67A44">
      <w:pPr>
        <w:rPr>
          <w:color w:val="auto"/>
          <w:highlight w:val="none"/>
        </w:rPr>
      </w:pPr>
    </w:p>
    <w:p w14:paraId="42739625">
      <w:pPr>
        <w:rPr>
          <w:color w:val="auto"/>
          <w:highlight w:val="none"/>
        </w:rPr>
      </w:pPr>
      <w:r>
        <w:rPr>
          <w:rFonts w:hint="eastAsia"/>
          <w:color w:val="auto"/>
          <w:highlight w:val="none"/>
        </w:rPr>
        <w:t>注：“费率</w:t>
      </w:r>
      <w:r>
        <w:rPr>
          <w:color w:val="auto"/>
          <w:highlight w:val="none"/>
        </w:rPr>
        <w:t>(</w:t>
      </w:r>
      <w:r>
        <w:rPr>
          <w:rFonts w:hint="eastAsia"/>
          <w:color w:val="auto"/>
          <w:highlight w:val="none"/>
        </w:rPr>
        <w:t>％</w:t>
      </w:r>
      <w:r>
        <w:rPr>
          <w:color w:val="auto"/>
          <w:highlight w:val="none"/>
        </w:rPr>
        <w:t>)</w:t>
      </w:r>
      <w:r>
        <w:rPr>
          <w:color w:val="auto"/>
          <w:sz w:val="20"/>
          <w:szCs w:val="20"/>
          <w:highlight w:val="none"/>
        </w:rPr>
        <w:t xml:space="preserve"> </w:t>
      </w:r>
      <w:r>
        <w:rPr>
          <w:rFonts w:hint="eastAsia"/>
          <w:color w:val="auto"/>
          <w:sz w:val="20"/>
          <w:szCs w:val="20"/>
          <w:highlight w:val="none"/>
        </w:rPr>
        <w:t>错误</w:t>
      </w:r>
      <w:r>
        <w:rPr>
          <w:rFonts w:hint="eastAsia"/>
          <w:color w:val="auto"/>
          <w:highlight w:val="none"/>
        </w:rPr>
        <w:t>”是指仅检查安全文明施工费的取费费率是否有错误。</w:t>
      </w:r>
    </w:p>
    <w:p w14:paraId="7FBFE540">
      <w:pPr>
        <w:rPr>
          <w:color w:val="auto"/>
          <w:highlight w:val="none"/>
        </w:rPr>
      </w:pPr>
    </w:p>
    <w:p w14:paraId="459C6345">
      <w:pPr>
        <w:rPr>
          <w:rFonts w:ascii="黑体" w:eastAsia="黑体"/>
          <w:color w:val="auto"/>
          <w:szCs w:val="21"/>
          <w:highlight w:val="none"/>
        </w:rPr>
      </w:pPr>
    </w:p>
    <w:p w14:paraId="409FE4C0">
      <w:pPr>
        <w:rPr>
          <w:rFonts w:hint="eastAsia" w:ascii="黑体" w:eastAsia="黑体"/>
          <w:color w:val="auto"/>
          <w:szCs w:val="21"/>
          <w:highlight w:val="none"/>
        </w:rPr>
      </w:pPr>
    </w:p>
    <w:p w14:paraId="70C0DD43">
      <w:pPr>
        <w:pStyle w:val="33"/>
        <w:rPr>
          <w:rFonts w:hint="eastAsia" w:ascii="Times New Roman"/>
          <w:color w:val="auto"/>
          <w:highlight w:val="none"/>
        </w:rPr>
      </w:pPr>
      <w:bookmarkStart w:id="789" w:name="_Toc17521"/>
      <w:bookmarkStart w:id="790" w:name="_Toc28531854"/>
      <w:r>
        <w:rPr>
          <w:rFonts w:hint="eastAsia"/>
          <w:color w:val="auto"/>
          <w:highlight w:val="none"/>
        </w:rPr>
        <w:t>附表</w:t>
      </w:r>
      <w:r>
        <w:rPr>
          <w:color w:val="auto"/>
          <w:highlight w:val="none"/>
        </w:rPr>
        <w:t>C-3</w:t>
      </w:r>
      <w:r>
        <w:rPr>
          <w:rFonts w:hint="eastAsia"/>
          <w:color w:val="auto"/>
          <w:highlight w:val="none"/>
        </w:rPr>
        <w:t>：清标报告</w:t>
      </w:r>
      <w:r>
        <w:rPr>
          <w:color w:val="auto"/>
          <w:highlight w:val="none"/>
        </w:rPr>
        <w:t>-</w:t>
      </w:r>
      <w:r>
        <w:rPr>
          <w:rFonts w:hint="eastAsia"/>
          <w:color w:val="auto"/>
          <w:highlight w:val="none"/>
        </w:rPr>
        <w:t>其他项目符合性检查</w:t>
      </w:r>
      <w:bookmarkEnd w:id="789"/>
      <w:bookmarkEnd w:id="790"/>
    </w:p>
    <w:p w14:paraId="4D23279D">
      <w:pPr>
        <w:rPr>
          <w:rFonts w:ascii="黑体" w:eastAsia="黑体"/>
          <w:color w:val="auto"/>
          <w:szCs w:val="21"/>
          <w:highlight w:val="none"/>
        </w:rPr>
      </w:pPr>
    </w:p>
    <w:p w14:paraId="43B4BC38">
      <w:pPr>
        <w:spacing w:before="240" w:beforeLines="100" w:after="240" w:afterLines="10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清标报告-其他项目符合性检查</w:t>
      </w:r>
    </w:p>
    <w:p w14:paraId="001E16C9">
      <w:pPr>
        <w:rPr>
          <w:rFonts w:hint="eastAsia" w:ascii="宋体" w:hAnsi="宋体"/>
          <w:color w:val="auto"/>
          <w:szCs w:val="21"/>
          <w:highlight w:val="none"/>
        </w:rPr>
      </w:pPr>
      <w:r>
        <w:rPr>
          <w:rFonts w:hint="eastAsia" w:ascii="宋体" w:hAnsi="宋体"/>
          <w:color w:val="auto"/>
          <w:szCs w:val="21"/>
          <w:highlight w:val="none"/>
        </w:rPr>
        <w:t>投标人名称：</w:t>
      </w:r>
    </w:p>
    <w:p w14:paraId="00F20408">
      <w:pPr>
        <w:spacing w:line="420" w:lineRule="exact"/>
        <w:jc w:val="center"/>
        <w:rPr>
          <w:rFonts w:hint="eastAsia" w:ascii="楷体_GB2312" w:hAnsi="Times New Roman" w:eastAsia="楷体_GB2312"/>
          <w:color w:val="auto"/>
          <w:szCs w:val="24"/>
          <w:highlight w:val="none"/>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48CE799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3747" w:type="dxa"/>
            <w:gridSpan w:val="3"/>
            <w:tcBorders>
              <w:top w:val="single" w:color="auto" w:sz="6" w:space="0"/>
              <w:left w:val="single" w:color="auto" w:sz="6" w:space="0"/>
              <w:bottom w:val="single" w:color="auto" w:sz="4" w:space="0"/>
              <w:right w:val="single" w:color="auto" w:sz="4" w:space="0"/>
            </w:tcBorders>
            <w:noWrap w:val="0"/>
            <w:vAlign w:val="center"/>
          </w:tcPr>
          <w:p w14:paraId="4FC909F4">
            <w:pPr>
              <w:jc w:val="center"/>
              <w:rPr>
                <w:color w:val="auto"/>
                <w:sz w:val="20"/>
                <w:szCs w:val="20"/>
                <w:highlight w:val="none"/>
              </w:rPr>
            </w:pPr>
            <w:r>
              <w:rPr>
                <w:rFonts w:hint="eastAsia"/>
                <w:color w:val="auto"/>
                <w:sz w:val="20"/>
                <w:szCs w:val="20"/>
                <w:highlight w:val="none"/>
              </w:rPr>
              <w:t>单位工程名称</w:t>
            </w:r>
          </w:p>
        </w:tc>
        <w:tc>
          <w:tcPr>
            <w:tcW w:w="5001" w:type="dxa"/>
            <w:gridSpan w:val="4"/>
            <w:tcBorders>
              <w:top w:val="single" w:color="auto" w:sz="6" w:space="0"/>
              <w:left w:val="single" w:color="auto" w:sz="4" w:space="0"/>
              <w:bottom w:val="single" w:color="auto" w:sz="4" w:space="0"/>
              <w:right w:val="single" w:color="auto" w:sz="6" w:space="0"/>
            </w:tcBorders>
            <w:noWrap w:val="0"/>
            <w:vAlign w:val="center"/>
          </w:tcPr>
          <w:p w14:paraId="63861EDB">
            <w:pPr>
              <w:jc w:val="center"/>
              <w:rPr>
                <w:color w:val="auto"/>
                <w:sz w:val="20"/>
                <w:szCs w:val="20"/>
                <w:highlight w:val="none"/>
              </w:rPr>
            </w:pPr>
          </w:p>
        </w:tc>
      </w:tr>
      <w:tr w14:paraId="493B695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748" w:type="dxa"/>
            <w:gridSpan w:val="7"/>
            <w:tcBorders>
              <w:top w:val="single" w:color="auto" w:sz="6" w:space="0"/>
              <w:left w:val="single" w:color="auto" w:sz="6" w:space="0"/>
              <w:bottom w:val="single" w:color="auto" w:sz="4" w:space="0"/>
              <w:right w:val="single" w:color="auto" w:sz="6" w:space="0"/>
            </w:tcBorders>
            <w:noWrap w:val="0"/>
            <w:vAlign w:val="center"/>
          </w:tcPr>
          <w:p w14:paraId="43A58B36">
            <w:pPr>
              <w:jc w:val="center"/>
              <w:rPr>
                <w:b/>
                <w:color w:val="auto"/>
                <w:sz w:val="20"/>
                <w:szCs w:val="20"/>
                <w:highlight w:val="none"/>
              </w:rPr>
            </w:pPr>
            <w:r>
              <w:rPr>
                <w:rFonts w:hint="eastAsia"/>
                <w:b/>
                <w:color w:val="auto"/>
                <w:sz w:val="20"/>
                <w:szCs w:val="20"/>
                <w:highlight w:val="none"/>
              </w:rPr>
              <w:t>三、其他项目符合性检查</w:t>
            </w:r>
          </w:p>
        </w:tc>
      </w:tr>
      <w:tr w14:paraId="2BD585E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09365908">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66D98679">
            <w:pPr>
              <w:jc w:val="center"/>
              <w:rPr>
                <w:color w:val="auto"/>
                <w:sz w:val="20"/>
                <w:szCs w:val="20"/>
                <w:highlight w:val="none"/>
              </w:rPr>
            </w:pPr>
            <w:r>
              <w:rPr>
                <w:rFonts w:hint="eastAsia"/>
                <w:color w:val="auto"/>
                <w:sz w:val="20"/>
                <w:szCs w:val="20"/>
                <w:highlight w:val="none"/>
              </w:rPr>
              <w:t>项目名称</w:t>
            </w:r>
          </w:p>
          <w:p w14:paraId="12A204BB">
            <w:pPr>
              <w:jc w:val="center"/>
              <w:rPr>
                <w:color w:val="auto"/>
                <w:sz w:val="20"/>
                <w:szCs w:val="20"/>
                <w:highlight w:val="none"/>
              </w:rPr>
            </w:pPr>
            <w:r>
              <w:rPr>
                <w:rFonts w:hint="eastAsia"/>
                <w:color w:val="auto"/>
                <w:sz w:val="20"/>
                <w:szCs w:val="20"/>
                <w:highlight w:val="none"/>
              </w:rPr>
              <w:t>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12995836">
            <w:pPr>
              <w:jc w:val="center"/>
              <w:rPr>
                <w:color w:val="auto"/>
                <w:sz w:val="20"/>
                <w:szCs w:val="20"/>
                <w:highlight w:val="none"/>
              </w:rPr>
            </w:pPr>
            <w:r>
              <w:rPr>
                <w:rFonts w:hint="eastAsia"/>
                <w:color w:val="auto"/>
                <w:sz w:val="20"/>
                <w:szCs w:val="20"/>
                <w:highlight w:val="none"/>
              </w:rPr>
              <w:t>金额</w:t>
            </w:r>
          </w:p>
          <w:p w14:paraId="3D1E6D1B">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270DAB8A">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B94C8F7">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4F455352">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148AD8E8">
            <w:pPr>
              <w:jc w:val="center"/>
              <w:rPr>
                <w:color w:val="auto"/>
                <w:sz w:val="20"/>
                <w:szCs w:val="20"/>
                <w:highlight w:val="none"/>
              </w:rPr>
            </w:pPr>
          </w:p>
        </w:tc>
      </w:tr>
      <w:tr w14:paraId="125DA76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04B2E90E">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480544F1">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172D4C93">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2933FF7B">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B20426D">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03B0B341">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EB725BF">
            <w:pPr>
              <w:jc w:val="center"/>
              <w:rPr>
                <w:color w:val="auto"/>
                <w:sz w:val="20"/>
                <w:szCs w:val="20"/>
                <w:highlight w:val="none"/>
              </w:rPr>
            </w:pPr>
          </w:p>
        </w:tc>
      </w:tr>
      <w:tr w14:paraId="3F49BAD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tcBorders>
              <w:top w:val="single" w:color="auto" w:sz="4" w:space="0"/>
              <w:left w:val="single" w:color="auto" w:sz="6" w:space="0"/>
              <w:bottom w:val="single" w:color="auto" w:sz="4" w:space="0"/>
              <w:right w:val="single" w:color="auto" w:sz="6" w:space="0"/>
            </w:tcBorders>
            <w:noWrap w:val="0"/>
            <w:vAlign w:val="center"/>
          </w:tcPr>
          <w:p w14:paraId="1DEAC46D">
            <w:pPr>
              <w:jc w:val="center"/>
              <w:rPr>
                <w:b/>
                <w:color w:val="auto"/>
                <w:sz w:val="20"/>
                <w:szCs w:val="20"/>
                <w:highlight w:val="none"/>
              </w:rPr>
            </w:pPr>
            <w:r>
              <w:rPr>
                <w:rFonts w:hint="eastAsia"/>
                <w:b/>
                <w:color w:val="auto"/>
                <w:sz w:val="20"/>
                <w:szCs w:val="20"/>
                <w:highlight w:val="none"/>
              </w:rPr>
              <w:t>暂列金额</w:t>
            </w:r>
          </w:p>
        </w:tc>
      </w:tr>
      <w:tr w14:paraId="5EBFD08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00A247B">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400B9C7D">
            <w:pPr>
              <w:jc w:val="center"/>
              <w:rPr>
                <w:color w:val="auto"/>
                <w:sz w:val="20"/>
                <w:szCs w:val="20"/>
                <w:highlight w:val="none"/>
              </w:rPr>
            </w:pPr>
            <w:r>
              <w:rPr>
                <w:rFonts w:hint="eastAsia"/>
                <w:color w:val="auto"/>
                <w:sz w:val="20"/>
                <w:szCs w:val="20"/>
                <w:highlight w:val="none"/>
              </w:rPr>
              <w:t>项目名称</w:t>
            </w:r>
          </w:p>
          <w:p w14:paraId="4A056F85">
            <w:pPr>
              <w:jc w:val="center"/>
              <w:rPr>
                <w:color w:val="auto"/>
                <w:sz w:val="20"/>
                <w:szCs w:val="20"/>
                <w:highlight w:val="none"/>
              </w:rPr>
            </w:pPr>
            <w:r>
              <w:rPr>
                <w:rFonts w:hint="eastAsia"/>
                <w:color w:val="auto"/>
                <w:sz w:val="20"/>
                <w:szCs w:val="20"/>
                <w:highlight w:val="none"/>
              </w:rPr>
              <w:t>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1506ADAF">
            <w:pPr>
              <w:jc w:val="center"/>
              <w:rPr>
                <w:color w:val="auto"/>
                <w:sz w:val="20"/>
                <w:szCs w:val="20"/>
                <w:highlight w:val="none"/>
              </w:rPr>
            </w:pPr>
            <w:r>
              <w:rPr>
                <w:rFonts w:hint="eastAsia"/>
                <w:color w:val="auto"/>
                <w:sz w:val="20"/>
                <w:szCs w:val="20"/>
                <w:highlight w:val="none"/>
              </w:rPr>
              <w:t>计量单位</w:t>
            </w:r>
          </w:p>
          <w:p w14:paraId="1751DB65">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23BFCE67">
            <w:pPr>
              <w:jc w:val="center"/>
              <w:rPr>
                <w:color w:val="auto"/>
                <w:sz w:val="20"/>
                <w:szCs w:val="20"/>
                <w:highlight w:val="none"/>
              </w:rPr>
            </w:pPr>
            <w:r>
              <w:rPr>
                <w:rFonts w:hint="eastAsia"/>
                <w:color w:val="auto"/>
                <w:sz w:val="20"/>
                <w:szCs w:val="20"/>
                <w:highlight w:val="none"/>
              </w:rPr>
              <w:t>暂定金额</w:t>
            </w:r>
          </w:p>
          <w:p w14:paraId="13B0B8AA">
            <w:pPr>
              <w:jc w:val="center"/>
              <w:rPr>
                <w:color w:val="auto"/>
                <w:szCs w:val="21"/>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09DCB4B">
            <w:pPr>
              <w:jc w:val="center"/>
              <w:rPr>
                <w:color w:val="auto"/>
                <w:sz w:val="20"/>
                <w:szCs w:val="20"/>
                <w:highlight w:val="none"/>
              </w:rPr>
            </w:pPr>
            <w:r>
              <w:rPr>
                <w:rFonts w:hint="eastAsia"/>
                <w:color w:val="auto"/>
                <w:sz w:val="20"/>
                <w:szCs w:val="20"/>
                <w:highlight w:val="none"/>
              </w:rPr>
              <w:t>未填报</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574E153C">
            <w:pPr>
              <w:jc w:val="center"/>
              <w:rPr>
                <w:color w:val="auto"/>
                <w:szCs w:val="21"/>
                <w:highlight w:val="none"/>
              </w:rPr>
            </w:pPr>
            <w:r>
              <w:rPr>
                <w:rFonts w:hint="eastAsia"/>
                <w:color w:val="auto"/>
                <w:sz w:val="20"/>
                <w:szCs w:val="20"/>
                <w:highlight w:val="none"/>
              </w:rPr>
              <w:t>多项</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CD02EEE">
            <w:pPr>
              <w:jc w:val="center"/>
              <w:rPr>
                <w:color w:val="auto"/>
                <w:szCs w:val="21"/>
                <w:highlight w:val="none"/>
              </w:rPr>
            </w:pPr>
          </w:p>
        </w:tc>
      </w:tr>
      <w:tr w14:paraId="4CC9274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3B6DBC36">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7EA054C9">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5F29A215">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2CC1F3AE">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B0F6E2D">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667AB25E">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ABCDB46">
            <w:pPr>
              <w:jc w:val="center"/>
              <w:rPr>
                <w:color w:val="auto"/>
                <w:szCs w:val="21"/>
                <w:highlight w:val="none"/>
              </w:rPr>
            </w:pPr>
          </w:p>
        </w:tc>
      </w:tr>
      <w:tr w14:paraId="5238552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8" w:type="dxa"/>
            <w:gridSpan w:val="7"/>
            <w:tcBorders>
              <w:top w:val="single" w:color="auto" w:sz="4" w:space="0"/>
              <w:left w:val="single" w:color="auto" w:sz="6" w:space="0"/>
              <w:bottom w:val="single" w:color="auto" w:sz="4" w:space="0"/>
              <w:right w:val="single" w:color="auto" w:sz="6" w:space="0"/>
            </w:tcBorders>
            <w:noWrap w:val="0"/>
            <w:vAlign w:val="center"/>
          </w:tcPr>
          <w:p w14:paraId="722AF9AB">
            <w:pPr>
              <w:jc w:val="center"/>
              <w:rPr>
                <w:b/>
                <w:color w:val="auto"/>
                <w:sz w:val="20"/>
                <w:szCs w:val="20"/>
                <w:highlight w:val="none"/>
              </w:rPr>
            </w:pPr>
            <w:r>
              <w:rPr>
                <w:rFonts w:hint="eastAsia"/>
                <w:b/>
                <w:color w:val="auto"/>
                <w:sz w:val="20"/>
                <w:szCs w:val="20"/>
                <w:highlight w:val="none"/>
              </w:rPr>
              <w:t>材料（工程设备）暂估</w:t>
            </w:r>
          </w:p>
        </w:tc>
      </w:tr>
      <w:tr w14:paraId="6757E07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6BD7C1A7">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1BE9FB1">
            <w:pPr>
              <w:jc w:val="center"/>
              <w:rPr>
                <w:color w:val="auto"/>
                <w:sz w:val="20"/>
                <w:szCs w:val="20"/>
                <w:highlight w:val="none"/>
              </w:rPr>
            </w:pPr>
            <w:r>
              <w:rPr>
                <w:rFonts w:hint="eastAsia"/>
                <w:color w:val="auto"/>
                <w:highlight w:val="none"/>
              </w:rPr>
              <w:t>材料（设备）名称、规格、型号</w:t>
            </w:r>
            <w:r>
              <w:rPr>
                <w:rFonts w:hint="eastAsia"/>
                <w:color w:val="auto"/>
                <w:sz w:val="20"/>
                <w:szCs w:val="20"/>
                <w:highlight w:val="none"/>
              </w:rPr>
              <w:t>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5603282C">
            <w:pPr>
              <w:jc w:val="center"/>
              <w:rPr>
                <w:color w:val="auto"/>
                <w:sz w:val="20"/>
                <w:szCs w:val="20"/>
                <w:highlight w:val="none"/>
              </w:rPr>
            </w:pPr>
            <w:r>
              <w:rPr>
                <w:rFonts w:hint="eastAsia"/>
                <w:color w:val="auto"/>
                <w:sz w:val="20"/>
                <w:szCs w:val="20"/>
                <w:highlight w:val="none"/>
              </w:rPr>
              <w:t>计量单位</w:t>
            </w:r>
          </w:p>
          <w:p w14:paraId="7D7A153C">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446A2428">
            <w:pPr>
              <w:jc w:val="center"/>
              <w:rPr>
                <w:color w:val="auto"/>
                <w:sz w:val="20"/>
                <w:szCs w:val="20"/>
                <w:highlight w:val="none"/>
              </w:rPr>
            </w:pPr>
            <w:r>
              <w:rPr>
                <w:rFonts w:hint="eastAsia"/>
                <w:color w:val="auto"/>
                <w:sz w:val="20"/>
                <w:szCs w:val="20"/>
                <w:highlight w:val="none"/>
              </w:rPr>
              <w:t>数量</w:t>
            </w:r>
          </w:p>
          <w:p w14:paraId="471000B6">
            <w:pPr>
              <w:jc w:val="center"/>
              <w:rPr>
                <w:color w:val="auto"/>
                <w:szCs w:val="21"/>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E0DE7A6">
            <w:pPr>
              <w:jc w:val="center"/>
              <w:rPr>
                <w:color w:val="auto"/>
                <w:sz w:val="20"/>
                <w:szCs w:val="20"/>
                <w:highlight w:val="none"/>
              </w:rPr>
            </w:pPr>
            <w:r>
              <w:rPr>
                <w:rFonts w:hint="eastAsia"/>
                <w:color w:val="auto"/>
                <w:sz w:val="20"/>
                <w:szCs w:val="20"/>
                <w:highlight w:val="none"/>
              </w:rPr>
              <w:t>暂估单价</w:t>
            </w:r>
          </w:p>
          <w:p w14:paraId="3FF09845">
            <w:pPr>
              <w:jc w:val="center"/>
              <w:rPr>
                <w:color w:val="auto"/>
                <w:szCs w:val="21"/>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3CC30AB6">
            <w:pPr>
              <w:jc w:val="center"/>
              <w:rPr>
                <w:color w:val="auto"/>
                <w:sz w:val="20"/>
                <w:szCs w:val="20"/>
                <w:highlight w:val="none"/>
              </w:rPr>
            </w:pPr>
            <w:r>
              <w:rPr>
                <w:rFonts w:hint="eastAsia"/>
                <w:color w:val="auto"/>
                <w:sz w:val="20"/>
                <w:szCs w:val="20"/>
                <w:highlight w:val="none"/>
              </w:rPr>
              <w:t>未填报</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35E62C8">
            <w:pPr>
              <w:jc w:val="center"/>
              <w:rPr>
                <w:color w:val="auto"/>
                <w:szCs w:val="21"/>
                <w:highlight w:val="none"/>
              </w:rPr>
            </w:pPr>
            <w:r>
              <w:rPr>
                <w:rFonts w:hint="eastAsia"/>
                <w:color w:val="auto"/>
                <w:sz w:val="20"/>
                <w:szCs w:val="20"/>
                <w:highlight w:val="none"/>
              </w:rPr>
              <w:t>多项</w:t>
            </w:r>
          </w:p>
        </w:tc>
      </w:tr>
      <w:tr w14:paraId="4CFC3E0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0796B13">
            <w:pPr>
              <w:jc w:val="center"/>
              <w:rPr>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29108D56">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029DE809">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166F1D76">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420EE4C4">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2EF53EFF">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A1F94D7">
            <w:pPr>
              <w:jc w:val="center"/>
              <w:rPr>
                <w:color w:val="auto"/>
                <w:sz w:val="20"/>
                <w:szCs w:val="20"/>
                <w:highlight w:val="none"/>
              </w:rPr>
            </w:pPr>
          </w:p>
        </w:tc>
      </w:tr>
      <w:tr w14:paraId="3CB67C0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8" w:type="dxa"/>
            <w:gridSpan w:val="7"/>
            <w:tcBorders>
              <w:top w:val="single" w:color="auto" w:sz="4" w:space="0"/>
              <w:left w:val="single" w:color="auto" w:sz="6" w:space="0"/>
              <w:bottom w:val="single" w:color="auto" w:sz="4" w:space="0"/>
              <w:right w:val="single" w:color="auto" w:sz="6" w:space="0"/>
            </w:tcBorders>
            <w:noWrap w:val="0"/>
            <w:vAlign w:val="center"/>
          </w:tcPr>
          <w:p w14:paraId="3B869CAD">
            <w:pPr>
              <w:jc w:val="center"/>
              <w:rPr>
                <w:b/>
                <w:color w:val="auto"/>
                <w:sz w:val="20"/>
                <w:szCs w:val="20"/>
                <w:highlight w:val="none"/>
              </w:rPr>
            </w:pPr>
            <w:r>
              <w:rPr>
                <w:rFonts w:hint="eastAsia"/>
                <w:b/>
                <w:color w:val="auto"/>
                <w:sz w:val="20"/>
                <w:szCs w:val="20"/>
                <w:highlight w:val="none"/>
              </w:rPr>
              <w:t>专业工程暂估</w:t>
            </w:r>
          </w:p>
        </w:tc>
      </w:tr>
      <w:tr w14:paraId="4C6DB3A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0207B76E">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48522304">
            <w:pPr>
              <w:jc w:val="center"/>
              <w:rPr>
                <w:color w:val="auto"/>
                <w:sz w:val="20"/>
                <w:szCs w:val="20"/>
                <w:highlight w:val="none"/>
              </w:rPr>
            </w:pPr>
            <w:r>
              <w:rPr>
                <w:rFonts w:hint="eastAsia"/>
                <w:color w:val="auto"/>
                <w:sz w:val="20"/>
                <w:szCs w:val="20"/>
                <w:highlight w:val="none"/>
              </w:rPr>
              <w:t>工程名称</w:t>
            </w:r>
          </w:p>
          <w:p w14:paraId="6775BC57">
            <w:pPr>
              <w:jc w:val="center"/>
              <w:rPr>
                <w:color w:val="auto"/>
                <w:sz w:val="20"/>
                <w:szCs w:val="20"/>
                <w:highlight w:val="none"/>
              </w:rPr>
            </w:pPr>
            <w:r>
              <w:rPr>
                <w:rFonts w:hint="eastAsia"/>
                <w:color w:val="auto"/>
                <w:sz w:val="20"/>
                <w:szCs w:val="20"/>
                <w:highlight w:val="none"/>
              </w:rPr>
              <w:t>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614F9E44">
            <w:pPr>
              <w:jc w:val="center"/>
              <w:rPr>
                <w:color w:val="auto"/>
                <w:sz w:val="20"/>
                <w:szCs w:val="20"/>
                <w:highlight w:val="none"/>
              </w:rPr>
            </w:pPr>
            <w:r>
              <w:rPr>
                <w:rFonts w:hint="eastAsia"/>
                <w:color w:val="auto"/>
                <w:sz w:val="20"/>
                <w:szCs w:val="20"/>
                <w:highlight w:val="none"/>
              </w:rPr>
              <w:t>工程内容</w:t>
            </w:r>
          </w:p>
          <w:p w14:paraId="224DBFC2">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1B3A873A">
            <w:pPr>
              <w:jc w:val="center"/>
              <w:rPr>
                <w:color w:val="auto"/>
                <w:sz w:val="20"/>
                <w:szCs w:val="20"/>
                <w:highlight w:val="none"/>
              </w:rPr>
            </w:pPr>
            <w:r>
              <w:rPr>
                <w:rFonts w:hint="eastAsia"/>
                <w:color w:val="auto"/>
                <w:sz w:val="20"/>
                <w:szCs w:val="20"/>
                <w:highlight w:val="none"/>
              </w:rPr>
              <w:t>暂估金额</w:t>
            </w:r>
          </w:p>
          <w:p w14:paraId="06CE94A7">
            <w:pPr>
              <w:jc w:val="center"/>
              <w:rPr>
                <w:color w:val="auto"/>
                <w:szCs w:val="21"/>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4FEBC690">
            <w:pPr>
              <w:jc w:val="center"/>
              <w:rPr>
                <w:color w:val="auto"/>
                <w:sz w:val="20"/>
                <w:szCs w:val="20"/>
                <w:highlight w:val="none"/>
              </w:rPr>
            </w:pPr>
            <w:r>
              <w:rPr>
                <w:rFonts w:hint="eastAsia"/>
                <w:color w:val="auto"/>
                <w:sz w:val="20"/>
                <w:szCs w:val="20"/>
                <w:highlight w:val="none"/>
              </w:rPr>
              <w:t>未填报</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27053971">
            <w:pPr>
              <w:jc w:val="center"/>
              <w:rPr>
                <w:color w:val="auto"/>
                <w:szCs w:val="21"/>
                <w:highlight w:val="none"/>
              </w:rPr>
            </w:pPr>
            <w:r>
              <w:rPr>
                <w:rFonts w:hint="eastAsia"/>
                <w:color w:val="auto"/>
                <w:sz w:val="20"/>
                <w:szCs w:val="20"/>
                <w:highlight w:val="none"/>
              </w:rPr>
              <w:t>多项</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75E65EA">
            <w:pPr>
              <w:jc w:val="center"/>
              <w:rPr>
                <w:color w:val="auto"/>
                <w:szCs w:val="21"/>
                <w:highlight w:val="none"/>
              </w:rPr>
            </w:pPr>
          </w:p>
        </w:tc>
      </w:tr>
      <w:tr w14:paraId="53C971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455EF365">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500DBBA4">
            <w:pPr>
              <w:ind w:firstLine="210" w:firstLineChars="100"/>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5247CD56">
            <w:pPr>
              <w:ind w:firstLine="210" w:firstLineChars="100"/>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0FA8DD89">
            <w:pPr>
              <w:ind w:firstLine="210" w:firstLineChars="100"/>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3C36007">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35FE5B99">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DC978C3">
            <w:pPr>
              <w:jc w:val="center"/>
              <w:rPr>
                <w:color w:val="auto"/>
                <w:szCs w:val="21"/>
                <w:highlight w:val="none"/>
              </w:rPr>
            </w:pPr>
          </w:p>
        </w:tc>
      </w:tr>
      <w:tr w14:paraId="62075BD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tcBorders>
              <w:top w:val="single" w:color="auto" w:sz="4" w:space="0"/>
              <w:left w:val="single" w:color="auto" w:sz="6" w:space="0"/>
              <w:bottom w:val="single" w:color="auto" w:sz="4" w:space="0"/>
              <w:right w:val="single" w:color="auto" w:sz="6" w:space="0"/>
            </w:tcBorders>
            <w:noWrap w:val="0"/>
            <w:vAlign w:val="center"/>
          </w:tcPr>
          <w:p w14:paraId="5F485B80">
            <w:pPr>
              <w:jc w:val="center"/>
              <w:rPr>
                <w:b/>
                <w:color w:val="auto"/>
                <w:sz w:val="20"/>
                <w:szCs w:val="20"/>
                <w:highlight w:val="none"/>
              </w:rPr>
            </w:pPr>
            <w:r>
              <w:rPr>
                <w:rFonts w:hint="eastAsia"/>
                <w:b/>
                <w:color w:val="auto"/>
                <w:sz w:val="20"/>
                <w:szCs w:val="20"/>
                <w:highlight w:val="none"/>
              </w:rPr>
              <w:t>计日工</w:t>
            </w:r>
          </w:p>
        </w:tc>
      </w:tr>
      <w:tr w14:paraId="0FF2755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2EC0D6C9">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9C5409A">
            <w:pPr>
              <w:jc w:val="center"/>
              <w:rPr>
                <w:color w:val="auto"/>
                <w:sz w:val="20"/>
                <w:szCs w:val="20"/>
                <w:highlight w:val="none"/>
              </w:rPr>
            </w:pPr>
            <w:r>
              <w:rPr>
                <w:rFonts w:hint="eastAsia"/>
                <w:color w:val="auto"/>
                <w:sz w:val="20"/>
                <w:szCs w:val="20"/>
                <w:highlight w:val="none"/>
              </w:rPr>
              <w:t>项目名称</w:t>
            </w:r>
          </w:p>
          <w:p w14:paraId="50D7F4D4">
            <w:pPr>
              <w:jc w:val="center"/>
              <w:rPr>
                <w:color w:val="auto"/>
                <w:sz w:val="20"/>
                <w:szCs w:val="20"/>
                <w:highlight w:val="none"/>
              </w:rPr>
            </w:pPr>
            <w:r>
              <w:rPr>
                <w:rFonts w:hint="eastAsia"/>
                <w:color w:val="auto"/>
                <w:sz w:val="20"/>
                <w:szCs w:val="20"/>
                <w:highlight w:val="none"/>
              </w:rPr>
              <w:t>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2D4DE4CA">
            <w:pPr>
              <w:jc w:val="center"/>
              <w:rPr>
                <w:color w:val="auto"/>
                <w:sz w:val="20"/>
                <w:szCs w:val="20"/>
                <w:highlight w:val="none"/>
              </w:rPr>
            </w:pPr>
            <w:r>
              <w:rPr>
                <w:rFonts w:hint="eastAsia"/>
                <w:color w:val="auto"/>
                <w:sz w:val="20"/>
                <w:szCs w:val="20"/>
                <w:highlight w:val="none"/>
              </w:rPr>
              <w:t>暂定数量</w:t>
            </w:r>
          </w:p>
          <w:p w14:paraId="029E588A">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6B02F59E">
            <w:pPr>
              <w:jc w:val="center"/>
              <w:rPr>
                <w:color w:val="auto"/>
                <w:sz w:val="20"/>
                <w:szCs w:val="20"/>
                <w:highlight w:val="none"/>
              </w:rPr>
            </w:pPr>
            <w:r>
              <w:rPr>
                <w:rFonts w:hint="eastAsia"/>
                <w:color w:val="auto"/>
                <w:sz w:val="20"/>
                <w:szCs w:val="20"/>
                <w:highlight w:val="none"/>
              </w:rPr>
              <w:t>未填报</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9CC6FC5">
            <w:pPr>
              <w:jc w:val="center"/>
              <w:rPr>
                <w:color w:val="auto"/>
                <w:szCs w:val="21"/>
                <w:highlight w:val="none"/>
              </w:rPr>
            </w:pPr>
            <w:r>
              <w:rPr>
                <w:rFonts w:hint="eastAsia"/>
                <w:color w:val="auto"/>
                <w:sz w:val="20"/>
                <w:szCs w:val="20"/>
                <w:highlight w:val="none"/>
              </w:rPr>
              <w:t>多项</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3E7FCF38">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94B9969">
            <w:pPr>
              <w:jc w:val="center"/>
              <w:rPr>
                <w:color w:val="auto"/>
                <w:szCs w:val="21"/>
                <w:highlight w:val="none"/>
              </w:rPr>
            </w:pPr>
          </w:p>
        </w:tc>
      </w:tr>
      <w:tr w14:paraId="77335D6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5F93381F">
            <w:pPr>
              <w:jc w:val="center"/>
              <w:rPr>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74BE97ED">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655C5669">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02B9EBBE">
            <w:pPr>
              <w:ind w:firstLine="210" w:firstLineChars="100"/>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C5BDC6B">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5B19D195">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5F52C9E">
            <w:pPr>
              <w:jc w:val="center"/>
              <w:rPr>
                <w:color w:val="auto"/>
                <w:szCs w:val="21"/>
                <w:highlight w:val="none"/>
              </w:rPr>
            </w:pPr>
          </w:p>
        </w:tc>
      </w:tr>
      <w:tr w14:paraId="2E14F9E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tcBorders>
              <w:top w:val="single" w:color="auto" w:sz="4" w:space="0"/>
              <w:left w:val="single" w:color="auto" w:sz="6" w:space="0"/>
              <w:bottom w:val="single" w:color="auto" w:sz="4" w:space="0"/>
              <w:right w:val="single" w:color="auto" w:sz="6" w:space="0"/>
            </w:tcBorders>
            <w:noWrap w:val="0"/>
            <w:vAlign w:val="center"/>
          </w:tcPr>
          <w:p w14:paraId="2AC5F8F4">
            <w:pPr>
              <w:jc w:val="center"/>
              <w:rPr>
                <w:color w:val="auto"/>
                <w:szCs w:val="21"/>
                <w:highlight w:val="none"/>
              </w:rPr>
            </w:pPr>
            <w:r>
              <w:rPr>
                <w:rFonts w:hint="eastAsia"/>
                <w:b/>
                <w:color w:val="auto"/>
                <w:sz w:val="20"/>
                <w:szCs w:val="20"/>
                <w:highlight w:val="none"/>
              </w:rPr>
              <w:t>总承包服务费</w:t>
            </w:r>
          </w:p>
        </w:tc>
      </w:tr>
      <w:tr w14:paraId="406810F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48459DA6">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09C1FB66">
            <w:pPr>
              <w:jc w:val="center"/>
              <w:rPr>
                <w:color w:val="auto"/>
                <w:sz w:val="20"/>
                <w:szCs w:val="20"/>
                <w:highlight w:val="none"/>
              </w:rPr>
            </w:pPr>
            <w:r>
              <w:rPr>
                <w:rFonts w:hint="eastAsia"/>
                <w:color w:val="auto"/>
                <w:sz w:val="20"/>
                <w:szCs w:val="20"/>
                <w:highlight w:val="none"/>
              </w:rPr>
              <w:t>工程名称</w:t>
            </w:r>
          </w:p>
          <w:p w14:paraId="24C01B49">
            <w:pPr>
              <w:jc w:val="center"/>
              <w:rPr>
                <w:color w:val="auto"/>
                <w:sz w:val="20"/>
                <w:szCs w:val="20"/>
                <w:highlight w:val="none"/>
              </w:rPr>
            </w:pPr>
            <w:r>
              <w:rPr>
                <w:rFonts w:hint="eastAsia"/>
                <w:color w:val="auto"/>
                <w:sz w:val="20"/>
                <w:szCs w:val="20"/>
                <w:highlight w:val="none"/>
              </w:rPr>
              <w:t>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6DC57D66">
            <w:pPr>
              <w:jc w:val="center"/>
              <w:rPr>
                <w:color w:val="auto"/>
                <w:sz w:val="20"/>
                <w:szCs w:val="20"/>
                <w:highlight w:val="none"/>
              </w:rPr>
            </w:pPr>
            <w:r>
              <w:rPr>
                <w:rFonts w:hint="eastAsia"/>
                <w:color w:val="auto"/>
                <w:sz w:val="20"/>
                <w:szCs w:val="20"/>
                <w:highlight w:val="none"/>
              </w:rPr>
              <w:t>项目价值</w:t>
            </w:r>
          </w:p>
          <w:p w14:paraId="7798A59D">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18427A14">
            <w:pPr>
              <w:jc w:val="center"/>
              <w:rPr>
                <w:color w:val="auto"/>
                <w:sz w:val="20"/>
                <w:szCs w:val="20"/>
                <w:highlight w:val="none"/>
              </w:rPr>
            </w:pPr>
            <w:r>
              <w:rPr>
                <w:rFonts w:hint="eastAsia"/>
                <w:color w:val="auto"/>
                <w:sz w:val="20"/>
                <w:szCs w:val="20"/>
                <w:highlight w:val="none"/>
              </w:rPr>
              <w:t>服务内容</w:t>
            </w:r>
          </w:p>
          <w:p w14:paraId="6851CB4F">
            <w:pPr>
              <w:jc w:val="center"/>
              <w:rPr>
                <w:color w:val="auto"/>
                <w:szCs w:val="21"/>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0E58CD7">
            <w:pPr>
              <w:jc w:val="center"/>
              <w:rPr>
                <w:color w:val="auto"/>
                <w:sz w:val="20"/>
                <w:szCs w:val="20"/>
                <w:highlight w:val="none"/>
              </w:rPr>
            </w:pPr>
            <w:r>
              <w:rPr>
                <w:rFonts w:hint="eastAsia"/>
                <w:color w:val="auto"/>
                <w:sz w:val="20"/>
                <w:szCs w:val="20"/>
                <w:highlight w:val="none"/>
              </w:rPr>
              <w:t>计算基础</w:t>
            </w:r>
          </w:p>
          <w:p w14:paraId="447E6E7D">
            <w:pPr>
              <w:jc w:val="center"/>
              <w:rPr>
                <w:color w:val="auto"/>
                <w:szCs w:val="21"/>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45DA3956">
            <w:pPr>
              <w:jc w:val="center"/>
              <w:rPr>
                <w:color w:val="auto"/>
                <w:sz w:val="20"/>
                <w:szCs w:val="20"/>
                <w:highlight w:val="none"/>
              </w:rPr>
            </w:pPr>
            <w:r>
              <w:rPr>
                <w:rFonts w:hint="eastAsia"/>
                <w:color w:val="auto"/>
                <w:sz w:val="20"/>
                <w:szCs w:val="20"/>
                <w:highlight w:val="none"/>
              </w:rPr>
              <w:t>未填报</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1BE1E3F">
            <w:pPr>
              <w:jc w:val="center"/>
              <w:rPr>
                <w:color w:val="auto"/>
                <w:szCs w:val="21"/>
                <w:highlight w:val="none"/>
              </w:rPr>
            </w:pPr>
            <w:r>
              <w:rPr>
                <w:rFonts w:hint="eastAsia"/>
                <w:color w:val="auto"/>
                <w:sz w:val="20"/>
                <w:szCs w:val="20"/>
                <w:highlight w:val="none"/>
              </w:rPr>
              <w:t>多项</w:t>
            </w:r>
          </w:p>
        </w:tc>
      </w:tr>
      <w:tr w14:paraId="3D51C1D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6" w:space="0"/>
              <w:right w:val="single" w:color="auto" w:sz="4" w:space="0"/>
            </w:tcBorders>
            <w:noWrap w:val="0"/>
            <w:vAlign w:val="center"/>
          </w:tcPr>
          <w:p w14:paraId="04E20081">
            <w:pPr>
              <w:jc w:val="center"/>
              <w:rPr>
                <w:color w:val="auto"/>
                <w:sz w:val="20"/>
                <w:szCs w:val="20"/>
                <w:highlight w:val="none"/>
              </w:rPr>
            </w:pPr>
          </w:p>
        </w:tc>
        <w:tc>
          <w:tcPr>
            <w:tcW w:w="1315" w:type="dxa"/>
            <w:tcBorders>
              <w:top w:val="single" w:color="auto" w:sz="4" w:space="0"/>
              <w:left w:val="single" w:color="auto" w:sz="4" w:space="0"/>
              <w:bottom w:val="single" w:color="auto" w:sz="6" w:space="0"/>
              <w:right w:val="single" w:color="auto" w:sz="6" w:space="0"/>
            </w:tcBorders>
            <w:noWrap w:val="0"/>
            <w:vAlign w:val="center"/>
          </w:tcPr>
          <w:p w14:paraId="40786ACF">
            <w:pPr>
              <w:jc w:val="center"/>
              <w:rPr>
                <w:color w:val="auto"/>
                <w:sz w:val="20"/>
                <w:szCs w:val="20"/>
                <w:highlight w:val="none"/>
              </w:rPr>
            </w:pPr>
          </w:p>
        </w:tc>
        <w:tc>
          <w:tcPr>
            <w:tcW w:w="1249" w:type="dxa"/>
            <w:tcBorders>
              <w:top w:val="single" w:color="auto" w:sz="4" w:space="0"/>
              <w:left w:val="single" w:color="auto" w:sz="6" w:space="0"/>
              <w:bottom w:val="single" w:color="auto" w:sz="6" w:space="0"/>
              <w:right w:val="single" w:color="auto" w:sz="4" w:space="0"/>
            </w:tcBorders>
            <w:noWrap w:val="0"/>
            <w:vAlign w:val="center"/>
          </w:tcPr>
          <w:p w14:paraId="5974A3DB">
            <w:pPr>
              <w:jc w:val="center"/>
              <w:rPr>
                <w:color w:val="auto"/>
                <w:sz w:val="20"/>
                <w:szCs w:val="20"/>
                <w:highlight w:val="none"/>
              </w:rPr>
            </w:pPr>
          </w:p>
        </w:tc>
        <w:tc>
          <w:tcPr>
            <w:tcW w:w="1251" w:type="dxa"/>
            <w:tcBorders>
              <w:top w:val="single" w:color="auto" w:sz="4" w:space="0"/>
              <w:left w:val="single" w:color="auto" w:sz="6" w:space="0"/>
              <w:bottom w:val="single" w:color="auto" w:sz="6" w:space="0"/>
              <w:right w:val="single" w:color="auto" w:sz="4" w:space="0"/>
            </w:tcBorders>
            <w:noWrap w:val="0"/>
            <w:vAlign w:val="center"/>
          </w:tcPr>
          <w:p w14:paraId="4274D2E4">
            <w:pPr>
              <w:ind w:firstLine="210" w:firstLineChars="100"/>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6" w:space="0"/>
            </w:tcBorders>
            <w:noWrap w:val="0"/>
            <w:vAlign w:val="center"/>
          </w:tcPr>
          <w:p w14:paraId="709C1514">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4" w:space="0"/>
            </w:tcBorders>
            <w:noWrap w:val="0"/>
            <w:vAlign w:val="center"/>
          </w:tcPr>
          <w:p w14:paraId="250AE424">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6" w:space="0"/>
            </w:tcBorders>
            <w:noWrap w:val="0"/>
            <w:vAlign w:val="center"/>
          </w:tcPr>
          <w:p w14:paraId="117A9AF6">
            <w:pPr>
              <w:jc w:val="center"/>
              <w:rPr>
                <w:color w:val="auto"/>
                <w:szCs w:val="21"/>
                <w:highlight w:val="none"/>
              </w:rPr>
            </w:pPr>
          </w:p>
        </w:tc>
      </w:tr>
    </w:tbl>
    <w:p w14:paraId="37322BE6">
      <w:pPr>
        <w:spacing w:line="420" w:lineRule="exact"/>
        <w:jc w:val="center"/>
        <w:rPr>
          <w:rFonts w:hint="eastAsia" w:ascii="楷体_GB2312" w:hAnsi="Times New Roman" w:eastAsia="楷体_GB2312"/>
          <w:color w:val="auto"/>
          <w:highlight w:val="none"/>
        </w:rPr>
      </w:pPr>
    </w:p>
    <w:p w14:paraId="0CFFE031">
      <w:pPr>
        <w:spacing w:line="420" w:lineRule="exact"/>
        <w:rPr>
          <w:rFonts w:hint="eastAsia" w:ascii="宋体" w:hAnsi="宋体"/>
          <w:color w:val="auto"/>
          <w:szCs w:val="21"/>
          <w:highlight w:val="none"/>
        </w:rPr>
      </w:pPr>
      <w:r>
        <w:rPr>
          <w:rFonts w:hint="eastAsia" w:ascii="宋体" w:hAnsi="宋体"/>
          <w:color w:val="auto"/>
          <w:szCs w:val="21"/>
          <w:highlight w:val="none"/>
        </w:rPr>
        <w:t>评标委员会成员签名：                                     日期:     年     月     日</w:t>
      </w:r>
    </w:p>
    <w:p w14:paraId="64B4178C">
      <w:pPr>
        <w:rPr>
          <w:rFonts w:hint="eastAsia" w:ascii="黑体" w:hAnsi="Times New Roman" w:eastAsia="黑体"/>
          <w:color w:val="auto"/>
          <w:szCs w:val="21"/>
          <w:highlight w:val="none"/>
        </w:rPr>
      </w:pPr>
    </w:p>
    <w:p w14:paraId="1185BA4F">
      <w:pPr>
        <w:pStyle w:val="33"/>
        <w:rPr>
          <w:rFonts w:hint="eastAsia" w:ascii="Times New Roman"/>
          <w:color w:val="auto"/>
          <w:highlight w:val="none"/>
        </w:rPr>
      </w:pPr>
      <w:bookmarkStart w:id="791" w:name="_Toc28531855"/>
      <w:bookmarkStart w:id="792" w:name="_Toc18902"/>
      <w:r>
        <w:rPr>
          <w:rFonts w:hint="eastAsia"/>
          <w:color w:val="auto"/>
          <w:highlight w:val="none"/>
        </w:rPr>
        <w:t>附表</w:t>
      </w:r>
      <w:r>
        <w:rPr>
          <w:color w:val="auto"/>
          <w:highlight w:val="none"/>
        </w:rPr>
        <w:t>C-4</w:t>
      </w:r>
      <w:r>
        <w:rPr>
          <w:rFonts w:hint="eastAsia"/>
          <w:color w:val="auto"/>
          <w:highlight w:val="none"/>
        </w:rPr>
        <w:t>：清标报告</w:t>
      </w:r>
      <w:r>
        <w:rPr>
          <w:color w:val="auto"/>
          <w:highlight w:val="none"/>
        </w:rPr>
        <w:t>-</w:t>
      </w:r>
      <w:r>
        <w:rPr>
          <w:rFonts w:hint="eastAsia"/>
          <w:color w:val="auto"/>
          <w:highlight w:val="none"/>
        </w:rPr>
        <w:t>规费、税金项目符合性检查</w:t>
      </w:r>
      <w:bookmarkEnd w:id="791"/>
      <w:bookmarkEnd w:id="792"/>
    </w:p>
    <w:p w14:paraId="47DA4387">
      <w:pPr>
        <w:spacing w:before="240" w:beforeLines="100" w:after="240" w:afterLines="100"/>
        <w:jc w:val="center"/>
        <w:rPr>
          <w:rFonts w:ascii="黑体" w:eastAsia="黑体"/>
          <w:color w:val="auto"/>
          <w:sz w:val="32"/>
          <w:szCs w:val="32"/>
          <w:highlight w:val="none"/>
        </w:rPr>
      </w:pPr>
    </w:p>
    <w:p w14:paraId="665B39CB">
      <w:pPr>
        <w:spacing w:before="240" w:beforeLines="100" w:after="240" w:afterLines="10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清标报告-规费、税金项目符合性检查</w:t>
      </w:r>
    </w:p>
    <w:p w14:paraId="4EDC3FEF">
      <w:pPr>
        <w:rPr>
          <w:rFonts w:hint="eastAsia" w:ascii="宋体" w:hAnsi="宋体"/>
          <w:color w:val="auto"/>
          <w:szCs w:val="21"/>
          <w:highlight w:val="none"/>
        </w:rPr>
      </w:pPr>
      <w:r>
        <w:rPr>
          <w:rFonts w:hint="eastAsia" w:ascii="宋体" w:hAnsi="宋体"/>
          <w:color w:val="auto"/>
          <w:szCs w:val="21"/>
          <w:highlight w:val="none"/>
        </w:rPr>
        <w:t>投标人名称：</w:t>
      </w:r>
    </w:p>
    <w:p w14:paraId="73977432">
      <w:pPr>
        <w:rPr>
          <w:rFonts w:hint="eastAsia" w:ascii="宋体" w:hAnsi="宋体"/>
          <w:color w:val="auto"/>
          <w:szCs w:val="21"/>
          <w:highlight w:val="none"/>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635200D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left w:val="single" w:color="auto" w:sz="6" w:space="0"/>
              <w:bottom w:val="single" w:color="auto" w:sz="4" w:space="0"/>
              <w:right w:val="single" w:color="auto" w:sz="4" w:space="0"/>
            </w:tcBorders>
            <w:noWrap w:val="0"/>
            <w:vAlign w:val="center"/>
          </w:tcPr>
          <w:p w14:paraId="62D7271E">
            <w:pPr>
              <w:jc w:val="center"/>
              <w:rPr>
                <w:color w:val="auto"/>
                <w:sz w:val="20"/>
                <w:szCs w:val="20"/>
                <w:highlight w:val="none"/>
              </w:rPr>
            </w:pPr>
            <w:r>
              <w:rPr>
                <w:rFonts w:hint="eastAsia"/>
                <w:color w:val="auto"/>
                <w:sz w:val="20"/>
                <w:szCs w:val="20"/>
                <w:highlight w:val="none"/>
              </w:rPr>
              <w:t>单位工程名称</w:t>
            </w:r>
          </w:p>
        </w:tc>
        <w:tc>
          <w:tcPr>
            <w:tcW w:w="5001" w:type="dxa"/>
            <w:gridSpan w:val="4"/>
            <w:tcBorders>
              <w:top w:val="single" w:color="auto" w:sz="6" w:space="0"/>
              <w:left w:val="single" w:color="auto" w:sz="4" w:space="0"/>
              <w:bottom w:val="single" w:color="auto" w:sz="4" w:space="0"/>
              <w:right w:val="single" w:color="auto" w:sz="6" w:space="0"/>
            </w:tcBorders>
            <w:noWrap w:val="0"/>
            <w:vAlign w:val="center"/>
          </w:tcPr>
          <w:p w14:paraId="0E949F39">
            <w:pPr>
              <w:jc w:val="center"/>
              <w:rPr>
                <w:color w:val="auto"/>
                <w:sz w:val="20"/>
                <w:szCs w:val="20"/>
                <w:highlight w:val="none"/>
              </w:rPr>
            </w:pPr>
          </w:p>
        </w:tc>
      </w:tr>
      <w:tr w14:paraId="6698C81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7"/>
            <w:tcBorders>
              <w:top w:val="single" w:color="auto" w:sz="6" w:space="0"/>
              <w:left w:val="single" w:color="auto" w:sz="6" w:space="0"/>
              <w:bottom w:val="single" w:color="auto" w:sz="4" w:space="0"/>
              <w:right w:val="single" w:color="auto" w:sz="6" w:space="0"/>
            </w:tcBorders>
            <w:noWrap w:val="0"/>
            <w:vAlign w:val="center"/>
          </w:tcPr>
          <w:p w14:paraId="185C5139">
            <w:pPr>
              <w:jc w:val="center"/>
              <w:rPr>
                <w:b/>
                <w:color w:val="auto"/>
                <w:sz w:val="20"/>
                <w:szCs w:val="20"/>
                <w:highlight w:val="none"/>
              </w:rPr>
            </w:pPr>
            <w:r>
              <w:rPr>
                <w:rFonts w:hint="eastAsia"/>
                <w:b/>
                <w:color w:val="auto"/>
                <w:sz w:val="20"/>
                <w:szCs w:val="20"/>
                <w:highlight w:val="none"/>
              </w:rPr>
              <w:t>四、规费、税金项目符合性检查</w:t>
            </w:r>
          </w:p>
        </w:tc>
      </w:tr>
      <w:tr w14:paraId="36668AD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5883FADC">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65E52F07">
            <w:pPr>
              <w:jc w:val="center"/>
              <w:rPr>
                <w:color w:val="auto"/>
                <w:sz w:val="20"/>
                <w:szCs w:val="20"/>
                <w:highlight w:val="none"/>
              </w:rPr>
            </w:pPr>
            <w:r>
              <w:rPr>
                <w:rFonts w:hint="eastAsia"/>
                <w:color w:val="auto"/>
                <w:sz w:val="20"/>
                <w:szCs w:val="20"/>
                <w:highlight w:val="none"/>
              </w:rPr>
              <w:t>项目名称</w:t>
            </w:r>
          </w:p>
          <w:p w14:paraId="18A32AF2">
            <w:pPr>
              <w:jc w:val="center"/>
              <w:rPr>
                <w:color w:val="auto"/>
                <w:sz w:val="20"/>
                <w:szCs w:val="20"/>
                <w:highlight w:val="none"/>
              </w:rPr>
            </w:pPr>
            <w:r>
              <w:rPr>
                <w:rFonts w:hint="eastAsia"/>
                <w:color w:val="auto"/>
                <w:sz w:val="20"/>
                <w:szCs w:val="20"/>
                <w:highlight w:val="none"/>
              </w:rPr>
              <w:t>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51AB2C09">
            <w:pPr>
              <w:jc w:val="center"/>
              <w:rPr>
                <w:color w:val="auto"/>
                <w:sz w:val="20"/>
                <w:szCs w:val="20"/>
                <w:highlight w:val="none"/>
              </w:rPr>
            </w:pPr>
            <w:r>
              <w:rPr>
                <w:rFonts w:hint="eastAsia"/>
                <w:color w:val="auto"/>
                <w:sz w:val="20"/>
                <w:szCs w:val="20"/>
                <w:highlight w:val="none"/>
              </w:rPr>
              <w:t>计算基础</w:t>
            </w:r>
          </w:p>
          <w:p w14:paraId="7CF46764">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5F54885A">
            <w:pPr>
              <w:jc w:val="center"/>
              <w:rPr>
                <w:color w:val="auto"/>
                <w:sz w:val="20"/>
                <w:szCs w:val="20"/>
                <w:highlight w:val="none"/>
              </w:rPr>
            </w:pPr>
            <w:r>
              <w:rPr>
                <w:rFonts w:hint="eastAsia" w:ascii="宋体" w:hAnsi="宋体"/>
                <w:color w:val="auto"/>
                <w:szCs w:val="21"/>
                <w:highlight w:val="none"/>
              </w:rPr>
              <w:t>计算基数错误</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16A048B">
            <w:pPr>
              <w:jc w:val="center"/>
              <w:rPr>
                <w:color w:val="auto"/>
                <w:sz w:val="20"/>
                <w:szCs w:val="20"/>
                <w:highlight w:val="none"/>
              </w:rPr>
            </w:pPr>
            <w:r>
              <w:rPr>
                <w:rFonts w:hint="eastAsia"/>
                <w:color w:val="auto"/>
                <w:sz w:val="20"/>
                <w:szCs w:val="20"/>
                <w:highlight w:val="none"/>
              </w:rPr>
              <w:t>费率（</w:t>
            </w:r>
            <w:r>
              <w:rPr>
                <w:color w:val="auto"/>
                <w:sz w:val="20"/>
                <w:szCs w:val="20"/>
                <w:highlight w:val="none"/>
              </w:rPr>
              <w:t>%</w:t>
            </w: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0B7F693F">
            <w:pPr>
              <w:jc w:val="center"/>
              <w:rPr>
                <w:color w:val="auto"/>
                <w:sz w:val="20"/>
                <w:szCs w:val="20"/>
                <w:highlight w:val="none"/>
              </w:rPr>
            </w:pPr>
            <w:r>
              <w:rPr>
                <w:rFonts w:hint="eastAsia"/>
                <w:color w:val="auto"/>
                <w:sz w:val="20"/>
                <w:szCs w:val="20"/>
                <w:highlight w:val="none"/>
              </w:rPr>
              <w:t>未填报</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B6B385F">
            <w:pPr>
              <w:jc w:val="center"/>
              <w:rPr>
                <w:color w:val="auto"/>
                <w:szCs w:val="21"/>
                <w:highlight w:val="none"/>
              </w:rPr>
            </w:pPr>
            <w:r>
              <w:rPr>
                <w:rFonts w:hint="eastAsia"/>
                <w:color w:val="auto"/>
                <w:sz w:val="20"/>
                <w:szCs w:val="20"/>
                <w:highlight w:val="none"/>
              </w:rPr>
              <w:t>多项</w:t>
            </w:r>
          </w:p>
        </w:tc>
      </w:tr>
      <w:tr w14:paraId="3756AA7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C9A135A">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57CE349C">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0CEE643E">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41215821">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1E0C8CC5">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227E699F">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4B615C52">
            <w:pPr>
              <w:jc w:val="center"/>
              <w:rPr>
                <w:color w:val="auto"/>
                <w:sz w:val="20"/>
                <w:szCs w:val="20"/>
                <w:highlight w:val="none"/>
              </w:rPr>
            </w:pPr>
          </w:p>
        </w:tc>
      </w:tr>
      <w:tr w14:paraId="2B8F163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AB66E92">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F805982">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5B9DC1EC">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37B046DF">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507CCC48">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613E6EC2">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922E314">
            <w:pPr>
              <w:jc w:val="center"/>
              <w:rPr>
                <w:color w:val="auto"/>
                <w:sz w:val="20"/>
                <w:szCs w:val="20"/>
                <w:highlight w:val="none"/>
              </w:rPr>
            </w:pPr>
          </w:p>
        </w:tc>
      </w:tr>
      <w:tr w14:paraId="4A723D2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45E45D2A">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27F1C4A2">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6F449CC3">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1E470B8F">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41681BC6">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084C60F7">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1BF4E87">
            <w:pPr>
              <w:jc w:val="center"/>
              <w:rPr>
                <w:color w:val="auto"/>
                <w:sz w:val="20"/>
                <w:szCs w:val="20"/>
                <w:highlight w:val="none"/>
              </w:rPr>
            </w:pPr>
          </w:p>
        </w:tc>
      </w:tr>
      <w:tr w14:paraId="4F41549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BD6831A">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283A5A7B">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0307427F">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4256D350">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3DAA314">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7F42228B">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FA78281">
            <w:pPr>
              <w:jc w:val="center"/>
              <w:rPr>
                <w:color w:val="auto"/>
                <w:sz w:val="20"/>
                <w:szCs w:val="20"/>
                <w:highlight w:val="none"/>
              </w:rPr>
            </w:pPr>
          </w:p>
        </w:tc>
      </w:tr>
      <w:tr w14:paraId="5285E80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3EF4671">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4486B9A6">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6B9410AF">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3743219D">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F8B8664">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1500D523">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6299F2E">
            <w:pPr>
              <w:jc w:val="center"/>
              <w:rPr>
                <w:color w:val="auto"/>
                <w:sz w:val="20"/>
                <w:szCs w:val="20"/>
                <w:highlight w:val="none"/>
              </w:rPr>
            </w:pPr>
          </w:p>
        </w:tc>
      </w:tr>
      <w:tr w14:paraId="6282C07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66072B25">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2604E913">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08479911">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58FC8B75">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00B32E4">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7F6D3519">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0030F6B4">
            <w:pPr>
              <w:jc w:val="center"/>
              <w:rPr>
                <w:color w:val="auto"/>
                <w:sz w:val="20"/>
                <w:szCs w:val="20"/>
                <w:highlight w:val="none"/>
              </w:rPr>
            </w:pPr>
          </w:p>
        </w:tc>
      </w:tr>
      <w:tr w14:paraId="7C2C910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0FFD01CC">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E698FD5">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0E1B10D0">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0DA723FB">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89EFA4D">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45B048F0">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5139FDD8">
            <w:pPr>
              <w:jc w:val="center"/>
              <w:rPr>
                <w:color w:val="auto"/>
                <w:sz w:val="20"/>
                <w:szCs w:val="20"/>
                <w:highlight w:val="none"/>
              </w:rPr>
            </w:pPr>
          </w:p>
        </w:tc>
      </w:tr>
      <w:tr w14:paraId="26E3BBA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6" w:space="0"/>
              <w:right w:val="single" w:color="auto" w:sz="4" w:space="0"/>
            </w:tcBorders>
            <w:noWrap w:val="0"/>
            <w:vAlign w:val="center"/>
          </w:tcPr>
          <w:p w14:paraId="2D294DD3">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6" w:space="0"/>
              <w:right w:val="single" w:color="auto" w:sz="6" w:space="0"/>
            </w:tcBorders>
            <w:noWrap w:val="0"/>
            <w:vAlign w:val="center"/>
          </w:tcPr>
          <w:p w14:paraId="59BCB887">
            <w:pPr>
              <w:jc w:val="center"/>
              <w:rPr>
                <w:color w:val="auto"/>
                <w:szCs w:val="21"/>
                <w:highlight w:val="none"/>
              </w:rPr>
            </w:pPr>
          </w:p>
        </w:tc>
        <w:tc>
          <w:tcPr>
            <w:tcW w:w="1249" w:type="dxa"/>
            <w:tcBorders>
              <w:top w:val="single" w:color="auto" w:sz="4" w:space="0"/>
              <w:left w:val="single" w:color="auto" w:sz="6" w:space="0"/>
              <w:bottom w:val="single" w:color="auto" w:sz="6" w:space="0"/>
              <w:right w:val="single" w:color="auto" w:sz="4" w:space="0"/>
            </w:tcBorders>
            <w:noWrap w:val="0"/>
            <w:vAlign w:val="center"/>
          </w:tcPr>
          <w:p w14:paraId="5419161A">
            <w:pPr>
              <w:jc w:val="center"/>
              <w:rPr>
                <w:color w:val="auto"/>
                <w:szCs w:val="21"/>
                <w:highlight w:val="none"/>
              </w:rPr>
            </w:pPr>
          </w:p>
        </w:tc>
        <w:tc>
          <w:tcPr>
            <w:tcW w:w="1251" w:type="dxa"/>
            <w:tcBorders>
              <w:top w:val="single" w:color="auto" w:sz="4" w:space="0"/>
              <w:left w:val="single" w:color="auto" w:sz="6" w:space="0"/>
              <w:bottom w:val="single" w:color="auto" w:sz="6" w:space="0"/>
              <w:right w:val="single" w:color="auto" w:sz="4" w:space="0"/>
            </w:tcBorders>
            <w:noWrap w:val="0"/>
            <w:vAlign w:val="center"/>
          </w:tcPr>
          <w:p w14:paraId="25D5D6CD">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6" w:space="0"/>
            </w:tcBorders>
            <w:noWrap w:val="0"/>
            <w:vAlign w:val="center"/>
          </w:tcPr>
          <w:p w14:paraId="4F66458E">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4" w:space="0"/>
            </w:tcBorders>
            <w:noWrap w:val="0"/>
            <w:vAlign w:val="center"/>
          </w:tcPr>
          <w:p w14:paraId="5EA5D82B">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6" w:space="0"/>
            </w:tcBorders>
            <w:noWrap w:val="0"/>
            <w:vAlign w:val="center"/>
          </w:tcPr>
          <w:p w14:paraId="06CBC3AE">
            <w:pPr>
              <w:jc w:val="center"/>
              <w:rPr>
                <w:color w:val="auto"/>
                <w:szCs w:val="21"/>
                <w:highlight w:val="none"/>
              </w:rPr>
            </w:pPr>
          </w:p>
        </w:tc>
      </w:tr>
    </w:tbl>
    <w:p w14:paraId="6A9E8831">
      <w:pPr>
        <w:spacing w:line="420" w:lineRule="exact"/>
        <w:jc w:val="center"/>
        <w:rPr>
          <w:rFonts w:hint="eastAsia" w:ascii="楷体_GB2312" w:hAnsi="Times New Roman" w:eastAsia="楷体_GB2312"/>
          <w:color w:val="auto"/>
          <w:szCs w:val="24"/>
          <w:highlight w:val="none"/>
        </w:rPr>
      </w:pPr>
    </w:p>
    <w:p w14:paraId="3E062D7B">
      <w:pPr>
        <w:spacing w:line="420" w:lineRule="exact"/>
        <w:jc w:val="center"/>
        <w:rPr>
          <w:rFonts w:hint="eastAsia" w:ascii="楷体_GB2312" w:eastAsia="楷体_GB2312"/>
          <w:color w:val="auto"/>
          <w:highlight w:val="none"/>
        </w:rPr>
      </w:pPr>
    </w:p>
    <w:p w14:paraId="5F55AC74">
      <w:pPr>
        <w:spacing w:line="420" w:lineRule="exact"/>
        <w:jc w:val="center"/>
        <w:rPr>
          <w:rFonts w:hint="eastAsia" w:ascii="楷体_GB2312" w:eastAsia="楷体_GB2312"/>
          <w:color w:val="auto"/>
          <w:highlight w:val="none"/>
        </w:rPr>
      </w:pPr>
      <w:r>
        <w:rPr>
          <w:rFonts w:hint="eastAsia" w:ascii="宋体" w:hAnsi="宋体"/>
          <w:color w:val="auto"/>
          <w:szCs w:val="21"/>
          <w:highlight w:val="none"/>
        </w:rPr>
        <w:t>评标委员会成员签名：                                     日期:     年     月     日</w:t>
      </w:r>
    </w:p>
    <w:p w14:paraId="1CD05923">
      <w:pPr>
        <w:spacing w:line="420" w:lineRule="exact"/>
        <w:rPr>
          <w:rFonts w:hint="eastAsia" w:ascii="黑体" w:eastAsia="黑体"/>
          <w:color w:val="auto"/>
          <w:szCs w:val="21"/>
          <w:highlight w:val="none"/>
        </w:rPr>
      </w:pPr>
    </w:p>
    <w:p w14:paraId="236AA660">
      <w:pPr>
        <w:spacing w:line="420" w:lineRule="exact"/>
        <w:rPr>
          <w:rFonts w:hint="eastAsia" w:ascii="楷体_GB2312" w:eastAsia="楷体_GB2312"/>
          <w:color w:val="auto"/>
          <w:szCs w:val="24"/>
          <w:highlight w:val="none"/>
        </w:rPr>
      </w:pPr>
    </w:p>
    <w:p w14:paraId="07948152">
      <w:pPr>
        <w:spacing w:line="420" w:lineRule="exact"/>
        <w:rPr>
          <w:rFonts w:hint="eastAsia" w:ascii="楷体_GB2312" w:eastAsia="楷体_GB2312"/>
          <w:color w:val="auto"/>
          <w:highlight w:val="none"/>
        </w:rPr>
      </w:pPr>
    </w:p>
    <w:p w14:paraId="4DFA9846">
      <w:pPr>
        <w:spacing w:line="420" w:lineRule="exact"/>
        <w:rPr>
          <w:rFonts w:hint="eastAsia" w:ascii="楷体_GB2312" w:eastAsia="楷体_GB2312"/>
          <w:color w:val="auto"/>
          <w:highlight w:val="none"/>
        </w:rPr>
      </w:pPr>
    </w:p>
    <w:p w14:paraId="2364EF8B">
      <w:pPr>
        <w:spacing w:line="420" w:lineRule="exact"/>
        <w:rPr>
          <w:rFonts w:hint="eastAsia" w:ascii="楷体_GB2312" w:eastAsia="楷体_GB2312"/>
          <w:color w:val="auto"/>
          <w:highlight w:val="none"/>
        </w:rPr>
      </w:pPr>
    </w:p>
    <w:p w14:paraId="0DA0A4D6">
      <w:pPr>
        <w:spacing w:line="420" w:lineRule="exact"/>
        <w:rPr>
          <w:rFonts w:hint="eastAsia" w:ascii="楷体_GB2312" w:eastAsia="楷体_GB2312"/>
          <w:color w:val="auto"/>
          <w:highlight w:val="none"/>
        </w:rPr>
      </w:pPr>
    </w:p>
    <w:p w14:paraId="0BDAD14F">
      <w:pPr>
        <w:spacing w:line="420" w:lineRule="exact"/>
        <w:rPr>
          <w:rFonts w:hint="eastAsia" w:ascii="楷体_GB2312" w:eastAsia="楷体_GB2312"/>
          <w:color w:val="auto"/>
          <w:highlight w:val="none"/>
        </w:rPr>
      </w:pPr>
    </w:p>
    <w:p w14:paraId="357146DE">
      <w:pPr>
        <w:spacing w:line="420" w:lineRule="exact"/>
        <w:rPr>
          <w:rFonts w:hint="eastAsia" w:ascii="楷体_GB2312" w:eastAsia="楷体_GB2312"/>
          <w:color w:val="auto"/>
          <w:highlight w:val="none"/>
        </w:rPr>
      </w:pPr>
    </w:p>
    <w:p w14:paraId="396AFB92">
      <w:pPr>
        <w:pStyle w:val="33"/>
        <w:rPr>
          <w:rFonts w:hint="eastAsia" w:ascii="Times New Roman"/>
          <w:color w:val="auto"/>
          <w:highlight w:val="none"/>
        </w:rPr>
      </w:pPr>
      <w:bookmarkStart w:id="793" w:name="_Toc28531856"/>
      <w:bookmarkStart w:id="794" w:name="_Toc17789"/>
      <w:r>
        <w:rPr>
          <w:rFonts w:hint="eastAsia"/>
          <w:color w:val="auto"/>
          <w:highlight w:val="none"/>
        </w:rPr>
        <w:t>附表</w:t>
      </w:r>
      <w:r>
        <w:rPr>
          <w:color w:val="auto"/>
          <w:highlight w:val="none"/>
        </w:rPr>
        <w:t>C-5</w:t>
      </w:r>
      <w:r>
        <w:rPr>
          <w:rFonts w:hint="eastAsia"/>
          <w:color w:val="auto"/>
          <w:highlight w:val="none"/>
        </w:rPr>
        <w:t>：清标报告</w:t>
      </w:r>
      <w:r>
        <w:rPr>
          <w:color w:val="auto"/>
          <w:highlight w:val="none"/>
        </w:rPr>
        <w:t>-</w:t>
      </w:r>
      <w:r>
        <w:rPr>
          <w:rFonts w:hint="eastAsia"/>
          <w:color w:val="auto"/>
          <w:highlight w:val="none"/>
        </w:rPr>
        <w:t>发包人提供材料和工程设备符合性检查</w:t>
      </w:r>
      <w:bookmarkEnd w:id="793"/>
      <w:bookmarkEnd w:id="794"/>
    </w:p>
    <w:p w14:paraId="1CB44251">
      <w:pPr>
        <w:spacing w:before="240" w:beforeLines="100" w:after="240" w:afterLines="100"/>
        <w:jc w:val="center"/>
        <w:rPr>
          <w:rFonts w:ascii="黑体" w:eastAsia="黑体"/>
          <w:color w:val="auto"/>
          <w:sz w:val="32"/>
          <w:szCs w:val="32"/>
          <w:highlight w:val="none"/>
        </w:rPr>
      </w:pPr>
    </w:p>
    <w:p w14:paraId="091F484F">
      <w:pPr>
        <w:spacing w:before="240" w:beforeLines="100" w:after="240" w:afterLines="10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清标报告-发包人提供材料和工程设备符合性检查</w:t>
      </w:r>
    </w:p>
    <w:p w14:paraId="5519149F">
      <w:pPr>
        <w:rPr>
          <w:rFonts w:hint="eastAsia" w:ascii="宋体" w:hAnsi="宋体"/>
          <w:color w:val="auto"/>
          <w:szCs w:val="21"/>
          <w:highlight w:val="none"/>
        </w:rPr>
      </w:pPr>
      <w:r>
        <w:rPr>
          <w:rFonts w:hint="eastAsia" w:ascii="宋体" w:hAnsi="宋体"/>
          <w:color w:val="auto"/>
          <w:szCs w:val="21"/>
          <w:highlight w:val="none"/>
        </w:rPr>
        <w:t>投标人名称：</w:t>
      </w:r>
    </w:p>
    <w:p w14:paraId="58577A75">
      <w:pPr>
        <w:spacing w:line="420" w:lineRule="exact"/>
        <w:jc w:val="center"/>
        <w:rPr>
          <w:rFonts w:hint="eastAsia" w:ascii="楷体_GB2312" w:hAnsi="Times New Roman" w:eastAsia="楷体_GB2312"/>
          <w:color w:val="auto"/>
          <w:szCs w:val="24"/>
          <w:highlight w:val="none"/>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42B1B63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left w:val="single" w:color="auto" w:sz="6" w:space="0"/>
              <w:bottom w:val="single" w:color="auto" w:sz="4" w:space="0"/>
              <w:right w:val="single" w:color="auto" w:sz="4" w:space="0"/>
            </w:tcBorders>
            <w:noWrap w:val="0"/>
            <w:vAlign w:val="center"/>
          </w:tcPr>
          <w:p w14:paraId="7A58FF35">
            <w:pPr>
              <w:jc w:val="center"/>
              <w:rPr>
                <w:color w:val="auto"/>
                <w:sz w:val="20"/>
                <w:szCs w:val="20"/>
                <w:highlight w:val="none"/>
              </w:rPr>
            </w:pPr>
            <w:r>
              <w:rPr>
                <w:rFonts w:hint="eastAsia"/>
                <w:color w:val="auto"/>
                <w:sz w:val="20"/>
                <w:szCs w:val="20"/>
                <w:highlight w:val="none"/>
              </w:rPr>
              <w:t>建设项目名称</w:t>
            </w:r>
          </w:p>
        </w:tc>
        <w:tc>
          <w:tcPr>
            <w:tcW w:w="5001" w:type="dxa"/>
            <w:gridSpan w:val="4"/>
            <w:tcBorders>
              <w:top w:val="single" w:color="auto" w:sz="6" w:space="0"/>
              <w:left w:val="single" w:color="auto" w:sz="4" w:space="0"/>
              <w:bottom w:val="single" w:color="auto" w:sz="4" w:space="0"/>
              <w:right w:val="single" w:color="auto" w:sz="6" w:space="0"/>
            </w:tcBorders>
            <w:noWrap w:val="0"/>
            <w:vAlign w:val="center"/>
          </w:tcPr>
          <w:p w14:paraId="6D956862">
            <w:pPr>
              <w:jc w:val="center"/>
              <w:rPr>
                <w:color w:val="auto"/>
                <w:sz w:val="20"/>
                <w:szCs w:val="20"/>
                <w:highlight w:val="none"/>
              </w:rPr>
            </w:pPr>
          </w:p>
        </w:tc>
      </w:tr>
      <w:tr w14:paraId="00B1C10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7"/>
            <w:tcBorders>
              <w:top w:val="single" w:color="auto" w:sz="6" w:space="0"/>
              <w:left w:val="single" w:color="auto" w:sz="6" w:space="0"/>
              <w:bottom w:val="single" w:color="auto" w:sz="4" w:space="0"/>
              <w:right w:val="single" w:color="auto" w:sz="6" w:space="0"/>
            </w:tcBorders>
            <w:noWrap w:val="0"/>
            <w:vAlign w:val="center"/>
          </w:tcPr>
          <w:p w14:paraId="68D47C29">
            <w:pPr>
              <w:jc w:val="center"/>
              <w:rPr>
                <w:b/>
                <w:color w:val="auto"/>
                <w:sz w:val="20"/>
                <w:szCs w:val="20"/>
                <w:highlight w:val="none"/>
              </w:rPr>
            </w:pPr>
            <w:r>
              <w:rPr>
                <w:rFonts w:hint="eastAsia"/>
                <w:b/>
                <w:color w:val="auto"/>
                <w:sz w:val="20"/>
                <w:szCs w:val="20"/>
                <w:highlight w:val="none"/>
              </w:rPr>
              <w:t>五、发包人提供材料和工程设备符合性检查</w:t>
            </w:r>
          </w:p>
        </w:tc>
      </w:tr>
      <w:tr w14:paraId="3870D28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25E285CA">
            <w:pPr>
              <w:jc w:val="center"/>
              <w:rPr>
                <w:color w:val="auto"/>
                <w:sz w:val="20"/>
                <w:szCs w:val="20"/>
                <w:highlight w:val="none"/>
              </w:rPr>
            </w:pPr>
            <w:r>
              <w:rPr>
                <w:rFonts w:hint="eastAsia"/>
                <w:color w:val="auto"/>
                <w:sz w:val="20"/>
                <w:szCs w:val="20"/>
                <w:highlight w:val="none"/>
              </w:rPr>
              <w:t>项目名称</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61DEFC21">
            <w:pPr>
              <w:jc w:val="center"/>
              <w:rPr>
                <w:color w:val="auto"/>
                <w:sz w:val="20"/>
                <w:szCs w:val="20"/>
                <w:highlight w:val="none"/>
              </w:rPr>
            </w:pPr>
            <w:r>
              <w:rPr>
                <w:rFonts w:hint="eastAsia"/>
                <w:color w:val="auto"/>
                <w:sz w:val="20"/>
                <w:szCs w:val="20"/>
                <w:highlight w:val="none"/>
              </w:rPr>
              <w:t>材料（工程设备）名称、规格、型号错误</w:t>
            </w: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0DD6472">
            <w:pPr>
              <w:jc w:val="center"/>
              <w:rPr>
                <w:color w:val="auto"/>
                <w:sz w:val="20"/>
                <w:szCs w:val="20"/>
                <w:highlight w:val="none"/>
              </w:rPr>
            </w:pPr>
            <w:r>
              <w:rPr>
                <w:rFonts w:hint="eastAsia"/>
                <w:color w:val="auto"/>
                <w:sz w:val="20"/>
                <w:szCs w:val="20"/>
                <w:highlight w:val="none"/>
              </w:rPr>
              <w:t>单位</w:t>
            </w:r>
          </w:p>
          <w:p w14:paraId="1AC8B5F2">
            <w:pPr>
              <w:jc w:val="center"/>
              <w:rPr>
                <w:color w:val="auto"/>
                <w:sz w:val="20"/>
                <w:szCs w:val="20"/>
                <w:highlight w:val="none"/>
              </w:rPr>
            </w:pPr>
            <w:r>
              <w:rPr>
                <w:rFonts w:hint="eastAsia"/>
                <w:color w:val="auto"/>
                <w:sz w:val="20"/>
                <w:szCs w:val="20"/>
                <w:highlight w:val="none"/>
              </w:rPr>
              <w:t>错误</w:t>
            </w:r>
          </w:p>
        </w:tc>
        <w:tc>
          <w:tcPr>
            <w:tcW w:w="1251" w:type="dxa"/>
            <w:tcBorders>
              <w:top w:val="single" w:color="auto" w:sz="4" w:space="0"/>
              <w:left w:val="single" w:color="auto" w:sz="6" w:space="0"/>
              <w:bottom w:val="single" w:color="auto" w:sz="4" w:space="0"/>
              <w:right w:val="single" w:color="auto" w:sz="4" w:space="0"/>
            </w:tcBorders>
            <w:noWrap w:val="0"/>
            <w:vAlign w:val="center"/>
          </w:tcPr>
          <w:p w14:paraId="5CB26FE0">
            <w:pPr>
              <w:jc w:val="center"/>
              <w:rPr>
                <w:color w:val="auto"/>
                <w:sz w:val="20"/>
                <w:szCs w:val="20"/>
                <w:highlight w:val="none"/>
              </w:rPr>
            </w:pPr>
            <w:r>
              <w:rPr>
                <w:rFonts w:hint="eastAsia"/>
                <w:color w:val="auto"/>
                <w:sz w:val="20"/>
                <w:szCs w:val="20"/>
                <w:highlight w:val="none"/>
              </w:rPr>
              <w:t>数量</w:t>
            </w:r>
          </w:p>
          <w:p w14:paraId="5ECE6AFB">
            <w:pPr>
              <w:jc w:val="center"/>
              <w:rPr>
                <w:color w:val="auto"/>
                <w:sz w:val="20"/>
                <w:szCs w:val="20"/>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8636FBB">
            <w:pPr>
              <w:jc w:val="center"/>
              <w:rPr>
                <w:color w:val="auto"/>
                <w:sz w:val="20"/>
                <w:szCs w:val="20"/>
                <w:highlight w:val="none"/>
              </w:rPr>
            </w:pPr>
            <w:r>
              <w:rPr>
                <w:rFonts w:hint="eastAsia"/>
                <w:color w:val="auto"/>
                <w:sz w:val="20"/>
                <w:szCs w:val="20"/>
                <w:highlight w:val="none"/>
              </w:rPr>
              <w:t>单价</w:t>
            </w:r>
          </w:p>
          <w:p w14:paraId="5DDCF134">
            <w:pPr>
              <w:jc w:val="center"/>
              <w:rPr>
                <w:color w:val="auto"/>
                <w:sz w:val="20"/>
                <w:szCs w:val="20"/>
                <w:highlight w:val="none"/>
              </w:rPr>
            </w:pPr>
            <w:r>
              <w:rPr>
                <w:rFonts w:hint="eastAsia"/>
                <w:color w:val="auto"/>
                <w:sz w:val="20"/>
                <w:szCs w:val="20"/>
                <w:highlight w:val="none"/>
              </w:rPr>
              <w:t>错误</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1D74C1A2">
            <w:pPr>
              <w:jc w:val="center"/>
              <w:rPr>
                <w:color w:val="auto"/>
                <w:sz w:val="20"/>
                <w:szCs w:val="20"/>
                <w:highlight w:val="none"/>
              </w:rPr>
            </w:pPr>
            <w:r>
              <w:rPr>
                <w:rFonts w:hint="eastAsia"/>
                <w:color w:val="auto"/>
                <w:sz w:val="20"/>
                <w:szCs w:val="20"/>
                <w:highlight w:val="none"/>
              </w:rPr>
              <w:t>未填报</w:t>
            </w: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834D14D">
            <w:pPr>
              <w:jc w:val="center"/>
              <w:rPr>
                <w:color w:val="auto"/>
                <w:szCs w:val="21"/>
                <w:highlight w:val="none"/>
              </w:rPr>
            </w:pPr>
            <w:r>
              <w:rPr>
                <w:rFonts w:hint="eastAsia"/>
                <w:color w:val="auto"/>
                <w:sz w:val="20"/>
                <w:szCs w:val="20"/>
                <w:highlight w:val="none"/>
              </w:rPr>
              <w:t>多项</w:t>
            </w:r>
          </w:p>
        </w:tc>
      </w:tr>
      <w:tr w14:paraId="19F3989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7E5DC02D">
            <w:pPr>
              <w:jc w:val="center"/>
              <w:rPr>
                <w:rFonts w:ascii="黑体" w:eastAsia="黑体"/>
                <w:color w:val="auto"/>
                <w:sz w:val="20"/>
                <w:szCs w:val="20"/>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18638A1B">
            <w:pPr>
              <w:jc w:val="center"/>
              <w:rPr>
                <w:color w:val="auto"/>
                <w:sz w:val="20"/>
                <w:szCs w:val="20"/>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63F38D9">
            <w:pPr>
              <w:jc w:val="center"/>
              <w:rPr>
                <w:color w:val="auto"/>
                <w:sz w:val="20"/>
                <w:szCs w:val="20"/>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7AF9A23F">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BAC7408">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78A5C0CF">
            <w:pPr>
              <w:jc w:val="center"/>
              <w:rPr>
                <w:color w:val="auto"/>
                <w:sz w:val="20"/>
                <w:szCs w:val="20"/>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4BD318DE">
            <w:pPr>
              <w:jc w:val="center"/>
              <w:rPr>
                <w:color w:val="auto"/>
                <w:sz w:val="20"/>
                <w:szCs w:val="20"/>
                <w:highlight w:val="none"/>
              </w:rPr>
            </w:pPr>
          </w:p>
        </w:tc>
      </w:tr>
      <w:tr w14:paraId="56933A8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054C553">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5130D8DF">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583CCF84">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5926E498">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1EEB499">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501049F1">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4F415E80">
            <w:pPr>
              <w:jc w:val="center"/>
              <w:rPr>
                <w:color w:val="auto"/>
                <w:szCs w:val="21"/>
                <w:highlight w:val="none"/>
              </w:rPr>
            </w:pPr>
          </w:p>
        </w:tc>
      </w:tr>
      <w:tr w14:paraId="4038DE3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0D66924A">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5336697A">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C465392">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7F76C3EF">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3D72230">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1059BA0D">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51435E67">
            <w:pPr>
              <w:jc w:val="center"/>
              <w:rPr>
                <w:color w:val="auto"/>
                <w:szCs w:val="21"/>
                <w:highlight w:val="none"/>
              </w:rPr>
            </w:pPr>
          </w:p>
        </w:tc>
      </w:tr>
      <w:tr w14:paraId="542B591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51A0A1B5">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5340B22D">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39CDADB">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7B8AA57A">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B982CB7">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5EAEF13C">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965599B">
            <w:pPr>
              <w:jc w:val="center"/>
              <w:rPr>
                <w:color w:val="auto"/>
                <w:szCs w:val="21"/>
                <w:highlight w:val="none"/>
              </w:rPr>
            </w:pPr>
          </w:p>
        </w:tc>
      </w:tr>
      <w:tr w14:paraId="32418B6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EF5D746">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63AB5CDB">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D0CDB3E">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28B43721">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DBAD2B1">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50DE2832">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7E2CAEA">
            <w:pPr>
              <w:jc w:val="center"/>
              <w:rPr>
                <w:color w:val="auto"/>
                <w:szCs w:val="21"/>
                <w:highlight w:val="none"/>
              </w:rPr>
            </w:pPr>
          </w:p>
        </w:tc>
      </w:tr>
      <w:tr w14:paraId="7CDF9F1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1279A595">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5FE30066">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F01B4E5">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09D24CD6">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C1DDF2A">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0519B8BB">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04148D4">
            <w:pPr>
              <w:jc w:val="center"/>
              <w:rPr>
                <w:color w:val="auto"/>
                <w:szCs w:val="21"/>
                <w:highlight w:val="none"/>
              </w:rPr>
            </w:pPr>
          </w:p>
        </w:tc>
      </w:tr>
      <w:tr w14:paraId="262AB27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7C7024DD">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9EF1041">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00B30231">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68917153">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5066267A">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163CC2C1">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30C5EA75">
            <w:pPr>
              <w:jc w:val="center"/>
              <w:rPr>
                <w:color w:val="auto"/>
                <w:szCs w:val="21"/>
                <w:highlight w:val="none"/>
              </w:rPr>
            </w:pPr>
          </w:p>
        </w:tc>
      </w:tr>
      <w:tr w14:paraId="663A1C2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0C45832B">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035A121">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ED33C13">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77344A21">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74FF3808">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544DD5E6">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BCFE0D1">
            <w:pPr>
              <w:jc w:val="center"/>
              <w:rPr>
                <w:color w:val="auto"/>
                <w:szCs w:val="21"/>
                <w:highlight w:val="none"/>
              </w:rPr>
            </w:pPr>
          </w:p>
        </w:tc>
      </w:tr>
      <w:tr w14:paraId="36F76AF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3E65501C">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67849CF1">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54A091E9">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41801812">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46CCB801">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7752BA71">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6E6C73A2">
            <w:pPr>
              <w:jc w:val="center"/>
              <w:rPr>
                <w:color w:val="auto"/>
                <w:szCs w:val="21"/>
                <w:highlight w:val="none"/>
              </w:rPr>
            </w:pPr>
          </w:p>
        </w:tc>
      </w:tr>
      <w:tr w14:paraId="44457EE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4" w:space="0"/>
              <w:right w:val="single" w:color="auto" w:sz="4" w:space="0"/>
            </w:tcBorders>
            <w:noWrap w:val="0"/>
            <w:vAlign w:val="center"/>
          </w:tcPr>
          <w:p w14:paraId="7215B843">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0124FBC9">
            <w:pPr>
              <w:jc w:val="center"/>
              <w:rPr>
                <w:color w:val="auto"/>
                <w:szCs w:val="21"/>
                <w:highlight w:val="none"/>
              </w:rPr>
            </w:pPr>
          </w:p>
        </w:tc>
        <w:tc>
          <w:tcPr>
            <w:tcW w:w="1249" w:type="dxa"/>
            <w:tcBorders>
              <w:top w:val="single" w:color="auto" w:sz="4" w:space="0"/>
              <w:left w:val="single" w:color="auto" w:sz="6" w:space="0"/>
              <w:bottom w:val="single" w:color="auto" w:sz="4" w:space="0"/>
              <w:right w:val="single" w:color="auto" w:sz="4" w:space="0"/>
            </w:tcBorders>
            <w:noWrap w:val="0"/>
            <w:vAlign w:val="center"/>
          </w:tcPr>
          <w:p w14:paraId="76D788EF">
            <w:pPr>
              <w:jc w:val="center"/>
              <w:rPr>
                <w:color w:val="auto"/>
                <w:szCs w:val="21"/>
                <w:highlight w:val="none"/>
              </w:rPr>
            </w:pPr>
          </w:p>
        </w:tc>
        <w:tc>
          <w:tcPr>
            <w:tcW w:w="1251" w:type="dxa"/>
            <w:tcBorders>
              <w:top w:val="single" w:color="auto" w:sz="4" w:space="0"/>
              <w:left w:val="single" w:color="auto" w:sz="6" w:space="0"/>
              <w:bottom w:val="single" w:color="auto" w:sz="4" w:space="0"/>
              <w:right w:val="single" w:color="auto" w:sz="4" w:space="0"/>
            </w:tcBorders>
            <w:noWrap w:val="0"/>
            <w:vAlign w:val="center"/>
          </w:tcPr>
          <w:p w14:paraId="210411D7">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275C88B0">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22D1913D">
            <w:pPr>
              <w:jc w:val="center"/>
              <w:rPr>
                <w:color w:val="auto"/>
                <w:szCs w:val="21"/>
                <w:highlight w:val="none"/>
              </w:rPr>
            </w:pPr>
          </w:p>
        </w:tc>
        <w:tc>
          <w:tcPr>
            <w:tcW w:w="1250" w:type="dxa"/>
            <w:tcBorders>
              <w:top w:val="single" w:color="auto" w:sz="4" w:space="0"/>
              <w:left w:val="single" w:color="auto" w:sz="4" w:space="0"/>
              <w:bottom w:val="single" w:color="auto" w:sz="4" w:space="0"/>
              <w:right w:val="single" w:color="auto" w:sz="6" w:space="0"/>
            </w:tcBorders>
            <w:noWrap w:val="0"/>
            <w:vAlign w:val="center"/>
          </w:tcPr>
          <w:p w14:paraId="18858BDB">
            <w:pPr>
              <w:jc w:val="center"/>
              <w:rPr>
                <w:color w:val="auto"/>
                <w:szCs w:val="21"/>
                <w:highlight w:val="none"/>
              </w:rPr>
            </w:pPr>
          </w:p>
        </w:tc>
      </w:tr>
      <w:tr w14:paraId="0EF7719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tcBorders>
              <w:top w:val="single" w:color="auto" w:sz="4" w:space="0"/>
              <w:left w:val="single" w:color="auto" w:sz="6" w:space="0"/>
              <w:bottom w:val="single" w:color="auto" w:sz="6" w:space="0"/>
              <w:right w:val="single" w:color="auto" w:sz="4" w:space="0"/>
            </w:tcBorders>
            <w:noWrap w:val="0"/>
            <w:vAlign w:val="center"/>
          </w:tcPr>
          <w:p w14:paraId="33A8CCB0">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6" w:space="0"/>
              <w:right w:val="single" w:color="auto" w:sz="6" w:space="0"/>
            </w:tcBorders>
            <w:noWrap w:val="0"/>
            <w:vAlign w:val="center"/>
          </w:tcPr>
          <w:p w14:paraId="48B986E2">
            <w:pPr>
              <w:jc w:val="center"/>
              <w:rPr>
                <w:color w:val="auto"/>
                <w:szCs w:val="21"/>
                <w:highlight w:val="none"/>
              </w:rPr>
            </w:pPr>
          </w:p>
        </w:tc>
        <w:tc>
          <w:tcPr>
            <w:tcW w:w="1249" w:type="dxa"/>
            <w:tcBorders>
              <w:top w:val="single" w:color="auto" w:sz="4" w:space="0"/>
              <w:left w:val="single" w:color="auto" w:sz="6" w:space="0"/>
              <w:bottom w:val="single" w:color="auto" w:sz="6" w:space="0"/>
              <w:right w:val="single" w:color="auto" w:sz="4" w:space="0"/>
            </w:tcBorders>
            <w:noWrap w:val="0"/>
            <w:vAlign w:val="center"/>
          </w:tcPr>
          <w:p w14:paraId="77EEDF43">
            <w:pPr>
              <w:jc w:val="center"/>
              <w:rPr>
                <w:color w:val="auto"/>
                <w:szCs w:val="21"/>
                <w:highlight w:val="none"/>
              </w:rPr>
            </w:pPr>
          </w:p>
        </w:tc>
        <w:tc>
          <w:tcPr>
            <w:tcW w:w="1251" w:type="dxa"/>
            <w:tcBorders>
              <w:top w:val="single" w:color="auto" w:sz="4" w:space="0"/>
              <w:left w:val="single" w:color="auto" w:sz="6" w:space="0"/>
              <w:bottom w:val="single" w:color="auto" w:sz="6" w:space="0"/>
              <w:right w:val="single" w:color="auto" w:sz="4" w:space="0"/>
            </w:tcBorders>
            <w:noWrap w:val="0"/>
            <w:vAlign w:val="center"/>
          </w:tcPr>
          <w:p w14:paraId="725625D0">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6" w:space="0"/>
            </w:tcBorders>
            <w:noWrap w:val="0"/>
            <w:vAlign w:val="center"/>
          </w:tcPr>
          <w:p w14:paraId="6A583DAF">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4" w:space="0"/>
            </w:tcBorders>
            <w:noWrap w:val="0"/>
            <w:vAlign w:val="center"/>
          </w:tcPr>
          <w:p w14:paraId="5029133E">
            <w:pPr>
              <w:jc w:val="center"/>
              <w:rPr>
                <w:color w:val="auto"/>
                <w:szCs w:val="21"/>
                <w:highlight w:val="none"/>
              </w:rPr>
            </w:pPr>
          </w:p>
        </w:tc>
        <w:tc>
          <w:tcPr>
            <w:tcW w:w="1250" w:type="dxa"/>
            <w:tcBorders>
              <w:top w:val="single" w:color="auto" w:sz="4" w:space="0"/>
              <w:left w:val="single" w:color="auto" w:sz="4" w:space="0"/>
              <w:bottom w:val="single" w:color="auto" w:sz="6" w:space="0"/>
              <w:right w:val="single" w:color="auto" w:sz="6" w:space="0"/>
            </w:tcBorders>
            <w:noWrap w:val="0"/>
            <w:vAlign w:val="center"/>
          </w:tcPr>
          <w:p w14:paraId="5583B5D4">
            <w:pPr>
              <w:jc w:val="center"/>
              <w:rPr>
                <w:color w:val="auto"/>
                <w:szCs w:val="21"/>
                <w:highlight w:val="none"/>
              </w:rPr>
            </w:pPr>
          </w:p>
        </w:tc>
      </w:tr>
    </w:tbl>
    <w:p w14:paraId="7B63353E">
      <w:pPr>
        <w:spacing w:line="420" w:lineRule="exact"/>
        <w:jc w:val="center"/>
        <w:rPr>
          <w:rFonts w:hint="eastAsia" w:ascii="楷体_GB2312" w:hAnsi="Times New Roman" w:eastAsia="楷体_GB2312"/>
          <w:color w:val="auto"/>
          <w:highlight w:val="none"/>
        </w:rPr>
      </w:pPr>
    </w:p>
    <w:p w14:paraId="24697326">
      <w:pPr>
        <w:spacing w:line="420" w:lineRule="exact"/>
        <w:jc w:val="center"/>
        <w:rPr>
          <w:rFonts w:hint="eastAsia" w:ascii="楷体_GB2312" w:eastAsia="楷体_GB2312"/>
          <w:color w:val="auto"/>
          <w:highlight w:val="none"/>
        </w:rPr>
      </w:pPr>
    </w:p>
    <w:p w14:paraId="1893A347">
      <w:pPr>
        <w:spacing w:line="420" w:lineRule="exact"/>
        <w:jc w:val="center"/>
        <w:rPr>
          <w:rFonts w:hint="eastAsia" w:ascii="楷体_GB2312" w:eastAsia="楷体_GB2312"/>
          <w:color w:val="auto"/>
          <w:highlight w:val="none"/>
        </w:rPr>
      </w:pPr>
      <w:r>
        <w:rPr>
          <w:rFonts w:hint="eastAsia" w:ascii="宋体" w:hAnsi="宋体"/>
          <w:color w:val="auto"/>
          <w:szCs w:val="21"/>
          <w:highlight w:val="none"/>
        </w:rPr>
        <w:t>评标委员会成员签名：                                     日期:     年     月     日</w:t>
      </w:r>
    </w:p>
    <w:p w14:paraId="52057397">
      <w:pPr>
        <w:spacing w:line="420" w:lineRule="exact"/>
        <w:jc w:val="center"/>
        <w:rPr>
          <w:rFonts w:hint="eastAsia" w:ascii="楷体_GB2312" w:eastAsia="楷体_GB2312"/>
          <w:color w:val="auto"/>
          <w:highlight w:val="none"/>
        </w:rPr>
      </w:pPr>
    </w:p>
    <w:p w14:paraId="34E80366">
      <w:pPr>
        <w:spacing w:line="420" w:lineRule="exact"/>
        <w:jc w:val="center"/>
        <w:rPr>
          <w:rFonts w:hint="eastAsia" w:ascii="楷体_GB2312" w:eastAsia="楷体_GB2312"/>
          <w:color w:val="auto"/>
          <w:highlight w:val="none"/>
        </w:rPr>
      </w:pPr>
    </w:p>
    <w:p w14:paraId="04CEA597">
      <w:pPr>
        <w:spacing w:line="420" w:lineRule="exact"/>
        <w:jc w:val="center"/>
        <w:rPr>
          <w:rFonts w:hint="eastAsia" w:ascii="楷体_GB2312" w:eastAsia="楷体_GB2312"/>
          <w:color w:val="auto"/>
          <w:highlight w:val="none"/>
        </w:rPr>
      </w:pPr>
    </w:p>
    <w:p w14:paraId="5733FFEF">
      <w:pPr>
        <w:spacing w:line="420" w:lineRule="exact"/>
        <w:jc w:val="center"/>
        <w:rPr>
          <w:rFonts w:hint="eastAsia" w:ascii="楷体_GB2312" w:eastAsia="楷体_GB2312"/>
          <w:color w:val="auto"/>
          <w:highlight w:val="none"/>
        </w:rPr>
      </w:pPr>
    </w:p>
    <w:p w14:paraId="16A034AB">
      <w:pPr>
        <w:pStyle w:val="33"/>
        <w:rPr>
          <w:rFonts w:hint="eastAsia" w:ascii="Times New Roman"/>
          <w:color w:val="auto"/>
          <w:highlight w:val="none"/>
        </w:rPr>
      </w:pPr>
      <w:bookmarkStart w:id="795" w:name="_Toc13171"/>
      <w:bookmarkStart w:id="796" w:name="_Toc28531857"/>
      <w:r>
        <w:rPr>
          <w:rFonts w:hint="eastAsia"/>
          <w:color w:val="auto"/>
          <w:highlight w:val="none"/>
        </w:rPr>
        <w:t>附表</w:t>
      </w:r>
      <w:r>
        <w:rPr>
          <w:color w:val="auto"/>
          <w:highlight w:val="none"/>
        </w:rPr>
        <w:t>C-6</w:t>
      </w:r>
      <w:r>
        <w:rPr>
          <w:rFonts w:hint="eastAsia"/>
          <w:color w:val="auto"/>
          <w:highlight w:val="none"/>
        </w:rPr>
        <w:t>：清标报告</w:t>
      </w:r>
      <w:r>
        <w:rPr>
          <w:color w:val="auto"/>
          <w:highlight w:val="none"/>
        </w:rPr>
        <w:t>-</w:t>
      </w:r>
      <w:r>
        <w:rPr>
          <w:rFonts w:hint="eastAsia"/>
          <w:color w:val="auto"/>
          <w:highlight w:val="none"/>
        </w:rPr>
        <w:t>算术错误检查</w:t>
      </w:r>
      <w:bookmarkEnd w:id="795"/>
      <w:bookmarkEnd w:id="796"/>
    </w:p>
    <w:p w14:paraId="0EA91812">
      <w:pPr>
        <w:spacing w:before="240" w:beforeLines="100" w:after="240" w:afterLines="100"/>
        <w:jc w:val="center"/>
        <w:rPr>
          <w:rFonts w:ascii="黑体" w:eastAsia="黑体"/>
          <w:color w:val="auto"/>
          <w:szCs w:val="21"/>
          <w:highlight w:val="none"/>
        </w:rPr>
      </w:pPr>
    </w:p>
    <w:p w14:paraId="71817C1D">
      <w:pPr>
        <w:spacing w:before="240" w:beforeLines="100" w:after="240" w:afterLines="10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清标报告-算术错误检查</w:t>
      </w:r>
    </w:p>
    <w:p w14:paraId="4E230EB1">
      <w:pPr>
        <w:rPr>
          <w:rFonts w:hint="eastAsia" w:ascii="宋体" w:hAnsi="宋体"/>
          <w:color w:val="auto"/>
          <w:szCs w:val="21"/>
          <w:highlight w:val="none"/>
        </w:rPr>
      </w:pPr>
      <w:r>
        <w:rPr>
          <w:rFonts w:hint="eastAsia" w:ascii="宋体" w:hAnsi="宋体"/>
          <w:color w:val="auto"/>
          <w:szCs w:val="21"/>
          <w:highlight w:val="none"/>
        </w:rPr>
        <w:t>投标人名称：</w:t>
      </w:r>
    </w:p>
    <w:p w14:paraId="4AA3F2BB">
      <w:pPr>
        <w:spacing w:line="420" w:lineRule="exact"/>
        <w:jc w:val="center"/>
        <w:rPr>
          <w:rFonts w:hint="eastAsia" w:ascii="楷体_GB2312" w:hAnsi="Times New Roman" w:eastAsia="楷体_GB2312"/>
          <w:color w:val="auto"/>
          <w:szCs w:val="24"/>
          <w:highlight w:val="none"/>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723"/>
        <w:gridCol w:w="1170"/>
        <w:gridCol w:w="854"/>
        <w:gridCol w:w="317"/>
        <w:gridCol w:w="1171"/>
        <w:gridCol w:w="1171"/>
        <w:gridCol w:w="1171"/>
        <w:gridCol w:w="1171"/>
      </w:tblGrid>
      <w:tr w14:paraId="6B4B6CF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left w:val="single" w:color="auto" w:sz="6" w:space="0"/>
              <w:bottom w:val="single" w:color="auto" w:sz="4" w:space="0"/>
              <w:right w:val="single" w:color="auto" w:sz="4" w:space="0"/>
            </w:tcBorders>
            <w:noWrap w:val="0"/>
            <w:vAlign w:val="center"/>
          </w:tcPr>
          <w:p w14:paraId="30925AFA">
            <w:pPr>
              <w:jc w:val="center"/>
              <w:rPr>
                <w:color w:val="auto"/>
                <w:sz w:val="20"/>
                <w:szCs w:val="20"/>
                <w:highlight w:val="none"/>
              </w:rPr>
            </w:pPr>
            <w:r>
              <w:rPr>
                <w:rFonts w:hint="eastAsia"/>
                <w:color w:val="auto"/>
                <w:sz w:val="20"/>
                <w:szCs w:val="20"/>
                <w:highlight w:val="none"/>
              </w:rPr>
              <w:t>建设项目名称</w:t>
            </w:r>
          </w:p>
        </w:tc>
        <w:tc>
          <w:tcPr>
            <w:tcW w:w="5001" w:type="dxa"/>
            <w:gridSpan w:val="5"/>
            <w:tcBorders>
              <w:top w:val="single" w:color="auto" w:sz="6" w:space="0"/>
              <w:left w:val="single" w:color="auto" w:sz="4" w:space="0"/>
              <w:bottom w:val="single" w:color="auto" w:sz="4" w:space="0"/>
              <w:right w:val="single" w:color="auto" w:sz="6" w:space="0"/>
            </w:tcBorders>
            <w:noWrap w:val="0"/>
            <w:vAlign w:val="center"/>
          </w:tcPr>
          <w:p w14:paraId="6F2595B6">
            <w:pPr>
              <w:jc w:val="center"/>
              <w:rPr>
                <w:color w:val="auto"/>
                <w:sz w:val="20"/>
                <w:szCs w:val="20"/>
                <w:highlight w:val="none"/>
              </w:rPr>
            </w:pPr>
          </w:p>
        </w:tc>
      </w:tr>
      <w:tr w14:paraId="1A4AC19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8"/>
            <w:tcBorders>
              <w:top w:val="single" w:color="auto" w:sz="6" w:space="0"/>
              <w:left w:val="single" w:color="auto" w:sz="6" w:space="0"/>
              <w:bottom w:val="single" w:color="auto" w:sz="4" w:space="0"/>
              <w:right w:val="single" w:color="auto" w:sz="6" w:space="0"/>
            </w:tcBorders>
            <w:noWrap w:val="0"/>
            <w:vAlign w:val="center"/>
          </w:tcPr>
          <w:p w14:paraId="67862770">
            <w:pPr>
              <w:jc w:val="center"/>
              <w:rPr>
                <w:b/>
                <w:color w:val="auto"/>
                <w:sz w:val="20"/>
                <w:szCs w:val="20"/>
                <w:highlight w:val="none"/>
              </w:rPr>
            </w:pPr>
            <w:r>
              <w:rPr>
                <w:rFonts w:hint="eastAsia"/>
                <w:b/>
                <w:color w:val="auto"/>
                <w:sz w:val="20"/>
                <w:szCs w:val="20"/>
                <w:highlight w:val="none"/>
              </w:rPr>
              <w:t>六、算术错误检查</w:t>
            </w:r>
          </w:p>
        </w:tc>
      </w:tr>
      <w:tr w14:paraId="50216B8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tcBorders>
              <w:top w:val="single" w:color="auto" w:sz="4" w:space="0"/>
              <w:left w:val="single" w:color="auto" w:sz="6" w:space="0"/>
              <w:bottom w:val="single" w:color="auto" w:sz="4" w:space="0"/>
              <w:right w:val="single" w:color="auto" w:sz="4" w:space="0"/>
            </w:tcBorders>
            <w:noWrap w:val="0"/>
            <w:vAlign w:val="center"/>
          </w:tcPr>
          <w:p w14:paraId="3149806D">
            <w:pPr>
              <w:jc w:val="center"/>
              <w:rPr>
                <w:color w:val="auto"/>
                <w:sz w:val="20"/>
                <w:szCs w:val="20"/>
                <w:highlight w:val="none"/>
              </w:rPr>
            </w:pPr>
            <w:r>
              <w:rPr>
                <w:rFonts w:hint="eastAsia"/>
                <w:color w:val="auto"/>
                <w:sz w:val="20"/>
                <w:szCs w:val="20"/>
                <w:highlight w:val="none"/>
              </w:rPr>
              <w:t>项目编码或</w:t>
            </w:r>
          </w:p>
          <w:p w14:paraId="0AD1AD62">
            <w:pPr>
              <w:jc w:val="center"/>
              <w:rPr>
                <w:color w:val="auto"/>
                <w:sz w:val="20"/>
                <w:szCs w:val="20"/>
                <w:highlight w:val="none"/>
              </w:rPr>
            </w:pPr>
            <w:r>
              <w:rPr>
                <w:rFonts w:hint="eastAsia"/>
                <w:color w:val="auto"/>
                <w:sz w:val="20"/>
                <w:szCs w:val="20"/>
                <w:highlight w:val="none"/>
              </w:rPr>
              <w:t>项目名称或</w:t>
            </w:r>
          </w:p>
          <w:p w14:paraId="4C981D17">
            <w:pPr>
              <w:jc w:val="center"/>
              <w:rPr>
                <w:color w:val="auto"/>
                <w:sz w:val="20"/>
                <w:szCs w:val="20"/>
                <w:highlight w:val="none"/>
              </w:rPr>
            </w:pPr>
            <w:r>
              <w:rPr>
                <w:rFonts w:hint="eastAsia"/>
                <w:color w:val="auto"/>
                <w:sz w:val="20"/>
                <w:szCs w:val="20"/>
                <w:highlight w:val="none"/>
              </w:rPr>
              <w:t>单位工程名称或单项工程名称或表格名称</w:t>
            </w:r>
          </w:p>
        </w:tc>
        <w:tc>
          <w:tcPr>
            <w:tcW w:w="1170" w:type="dxa"/>
            <w:tcBorders>
              <w:top w:val="single" w:color="auto" w:sz="4" w:space="0"/>
              <w:left w:val="single" w:color="auto" w:sz="4" w:space="0"/>
              <w:bottom w:val="single" w:color="auto" w:sz="4" w:space="0"/>
              <w:right w:val="single" w:color="auto" w:sz="6" w:space="0"/>
            </w:tcBorders>
            <w:noWrap w:val="0"/>
            <w:vAlign w:val="center"/>
          </w:tcPr>
          <w:p w14:paraId="227EE5FB">
            <w:pPr>
              <w:jc w:val="center"/>
              <w:rPr>
                <w:color w:val="auto"/>
                <w:sz w:val="20"/>
                <w:szCs w:val="20"/>
                <w:highlight w:val="none"/>
              </w:rPr>
            </w:pPr>
            <w:r>
              <w:rPr>
                <w:rFonts w:hint="eastAsia"/>
                <w:color w:val="auto"/>
                <w:sz w:val="20"/>
                <w:szCs w:val="20"/>
                <w:highlight w:val="none"/>
              </w:rPr>
              <w:t>人工费</w:t>
            </w:r>
            <w:r>
              <w:rPr>
                <w:color w:val="auto"/>
                <w:sz w:val="20"/>
                <w:szCs w:val="20"/>
                <w:highlight w:val="none"/>
              </w:rPr>
              <w:t>+</w:t>
            </w:r>
            <w:r>
              <w:rPr>
                <w:rFonts w:hint="eastAsia"/>
                <w:color w:val="auto"/>
                <w:sz w:val="20"/>
                <w:szCs w:val="20"/>
                <w:highlight w:val="none"/>
              </w:rPr>
              <w:t>材料费</w:t>
            </w:r>
            <w:r>
              <w:rPr>
                <w:color w:val="auto"/>
                <w:sz w:val="20"/>
                <w:szCs w:val="20"/>
                <w:highlight w:val="none"/>
              </w:rPr>
              <w:t>+</w:t>
            </w:r>
            <w:r>
              <w:rPr>
                <w:rFonts w:hint="eastAsia"/>
                <w:color w:val="auto"/>
                <w:sz w:val="20"/>
                <w:szCs w:val="20"/>
                <w:highlight w:val="none"/>
              </w:rPr>
              <w:t>机械费</w:t>
            </w:r>
            <w:r>
              <w:rPr>
                <w:color w:val="auto"/>
                <w:sz w:val="20"/>
                <w:szCs w:val="20"/>
                <w:highlight w:val="none"/>
              </w:rPr>
              <w:t>+</w:t>
            </w:r>
            <w:r>
              <w:rPr>
                <w:rFonts w:hint="eastAsia"/>
                <w:color w:val="auto"/>
                <w:sz w:val="20"/>
                <w:szCs w:val="20"/>
                <w:highlight w:val="none"/>
              </w:rPr>
              <w:t>管理费</w:t>
            </w:r>
            <w:r>
              <w:rPr>
                <w:color w:val="auto"/>
                <w:sz w:val="20"/>
                <w:szCs w:val="20"/>
                <w:highlight w:val="none"/>
              </w:rPr>
              <w:t>+</w:t>
            </w:r>
            <w:r>
              <w:rPr>
                <w:rFonts w:hint="eastAsia"/>
                <w:color w:val="auto"/>
                <w:sz w:val="20"/>
                <w:szCs w:val="20"/>
                <w:highlight w:val="none"/>
              </w:rPr>
              <w:t>利润不等于综合单价</w:t>
            </w:r>
          </w:p>
        </w:tc>
        <w:tc>
          <w:tcPr>
            <w:tcW w:w="1171" w:type="dxa"/>
            <w:gridSpan w:val="2"/>
            <w:tcBorders>
              <w:top w:val="single" w:color="auto" w:sz="4" w:space="0"/>
              <w:left w:val="single" w:color="auto" w:sz="6" w:space="0"/>
              <w:bottom w:val="single" w:color="auto" w:sz="4" w:space="0"/>
              <w:right w:val="single" w:color="auto" w:sz="4" w:space="0"/>
            </w:tcBorders>
            <w:noWrap w:val="0"/>
            <w:vAlign w:val="center"/>
          </w:tcPr>
          <w:p w14:paraId="28D17D0A">
            <w:pPr>
              <w:jc w:val="center"/>
              <w:rPr>
                <w:color w:val="auto"/>
                <w:sz w:val="20"/>
                <w:szCs w:val="20"/>
                <w:highlight w:val="none"/>
              </w:rPr>
            </w:pPr>
            <w:r>
              <w:rPr>
                <w:rFonts w:hint="eastAsia"/>
                <w:color w:val="auto"/>
                <w:sz w:val="20"/>
                <w:szCs w:val="20"/>
                <w:highlight w:val="none"/>
              </w:rPr>
              <w:t>综合单价×数量不等于总价</w:t>
            </w:r>
          </w:p>
        </w:tc>
        <w:tc>
          <w:tcPr>
            <w:tcW w:w="1171" w:type="dxa"/>
            <w:tcBorders>
              <w:top w:val="single" w:color="auto" w:sz="4" w:space="0"/>
              <w:left w:val="single" w:color="auto" w:sz="6" w:space="0"/>
              <w:bottom w:val="single" w:color="auto" w:sz="4" w:space="0"/>
              <w:right w:val="single" w:color="auto" w:sz="4" w:space="0"/>
            </w:tcBorders>
            <w:noWrap w:val="0"/>
            <w:vAlign w:val="center"/>
          </w:tcPr>
          <w:p w14:paraId="6DCD0ABF">
            <w:pPr>
              <w:jc w:val="center"/>
              <w:rPr>
                <w:color w:val="auto"/>
                <w:sz w:val="20"/>
                <w:szCs w:val="20"/>
                <w:highlight w:val="none"/>
              </w:rPr>
            </w:pPr>
            <w:r>
              <w:rPr>
                <w:rFonts w:hint="eastAsia"/>
                <w:color w:val="auto"/>
                <w:sz w:val="20"/>
                <w:szCs w:val="20"/>
                <w:highlight w:val="none"/>
              </w:rPr>
              <w:t>各项费用分项之和不等于各项费用总价</w:t>
            </w:r>
          </w:p>
        </w:tc>
        <w:tc>
          <w:tcPr>
            <w:tcW w:w="1171" w:type="dxa"/>
            <w:tcBorders>
              <w:top w:val="single" w:color="auto" w:sz="4" w:space="0"/>
              <w:left w:val="single" w:color="auto" w:sz="4" w:space="0"/>
              <w:bottom w:val="single" w:color="auto" w:sz="4" w:space="0"/>
              <w:right w:val="single" w:color="auto" w:sz="6" w:space="0"/>
            </w:tcBorders>
            <w:noWrap w:val="0"/>
            <w:vAlign w:val="center"/>
          </w:tcPr>
          <w:p w14:paraId="1EF08F15">
            <w:pPr>
              <w:jc w:val="center"/>
              <w:rPr>
                <w:color w:val="auto"/>
                <w:sz w:val="20"/>
                <w:szCs w:val="20"/>
                <w:highlight w:val="none"/>
              </w:rPr>
            </w:pPr>
            <w:r>
              <w:rPr>
                <w:rFonts w:hint="eastAsia"/>
                <w:color w:val="auto"/>
                <w:sz w:val="20"/>
                <w:szCs w:val="20"/>
                <w:highlight w:val="none"/>
              </w:rPr>
              <w:t>单位工程各项费用之和不等于总价</w:t>
            </w:r>
          </w:p>
        </w:tc>
        <w:tc>
          <w:tcPr>
            <w:tcW w:w="1171" w:type="dxa"/>
            <w:tcBorders>
              <w:top w:val="single" w:color="auto" w:sz="4" w:space="0"/>
              <w:left w:val="single" w:color="auto" w:sz="4" w:space="0"/>
              <w:bottom w:val="single" w:color="auto" w:sz="4" w:space="0"/>
              <w:right w:val="single" w:color="auto" w:sz="4" w:space="0"/>
            </w:tcBorders>
            <w:noWrap w:val="0"/>
            <w:vAlign w:val="center"/>
          </w:tcPr>
          <w:p w14:paraId="60DAE137">
            <w:pPr>
              <w:jc w:val="center"/>
              <w:rPr>
                <w:color w:val="auto"/>
                <w:sz w:val="20"/>
                <w:szCs w:val="20"/>
                <w:highlight w:val="none"/>
              </w:rPr>
            </w:pPr>
            <w:r>
              <w:rPr>
                <w:rFonts w:hint="eastAsia"/>
                <w:color w:val="auto"/>
                <w:sz w:val="20"/>
                <w:szCs w:val="20"/>
                <w:highlight w:val="none"/>
              </w:rPr>
              <w:t>单位工程总价之和不等于单项工程总价</w:t>
            </w:r>
          </w:p>
        </w:tc>
        <w:tc>
          <w:tcPr>
            <w:tcW w:w="1171" w:type="dxa"/>
            <w:tcBorders>
              <w:top w:val="single" w:color="auto" w:sz="4" w:space="0"/>
              <w:left w:val="single" w:color="auto" w:sz="4" w:space="0"/>
              <w:bottom w:val="single" w:color="auto" w:sz="4" w:space="0"/>
              <w:right w:val="single" w:color="auto" w:sz="6" w:space="0"/>
            </w:tcBorders>
            <w:noWrap w:val="0"/>
            <w:vAlign w:val="center"/>
          </w:tcPr>
          <w:p w14:paraId="0C20AA91">
            <w:pPr>
              <w:jc w:val="center"/>
              <w:rPr>
                <w:color w:val="auto"/>
                <w:sz w:val="20"/>
                <w:szCs w:val="20"/>
                <w:highlight w:val="none"/>
              </w:rPr>
            </w:pPr>
            <w:r>
              <w:rPr>
                <w:rFonts w:hint="eastAsia"/>
                <w:color w:val="auto"/>
                <w:sz w:val="20"/>
                <w:szCs w:val="20"/>
                <w:highlight w:val="none"/>
              </w:rPr>
              <w:t>单项工程总价之和不等于建设项目总价</w:t>
            </w:r>
          </w:p>
        </w:tc>
      </w:tr>
      <w:tr w14:paraId="61B9E18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tcBorders>
              <w:top w:val="single" w:color="auto" w:sz="4" w:space="0"/>
              <w:left w:val="single" w:color="auto" w:sz="6" w:space="0"/>
              <w:bottom w:val="single" w:color="auto" w:sz="4" w:space="0"/>
              <w:right w:val="single" w:color="auto" w:sz="4" w:space="0"/>
            </w:tcBorders>
            <w:noWrap w:val="0"/>
            <w:vAlign w:val="center"/>
          </w:tcPr>
          <w:p w14:paraId="177EF74F">
            <w:pPr>
              <w:jc w:val="center"/>
              <w:rPr>
                <w:rFonts w:ascii="黑体" w:eastAsia="黑体"/>
                <w:color w:val="auto"/>
                <w:sz w:val="20"/>
                <w:szCs w:val="20"/>
                <w:highlight w:val="none"/>
              </w:rPr>
            </w:pPr>
          </w:p>
        </w:tc>
        <w:tc>
          <w:tcPr>
            <w:tcW w:w="1170" w:type="dxa"/>
            <w:tcBorders>
              <w:top w:val="single" w:color="auto" w:sz="4" w:space="0"/>
              <w:left w:val="single" w:color="auto" w:sz="4" w:space="0"/>
              <w:bottom w:val="single" w:color="auto" w:sz="4" w:space="0"/>
              <w:right w:val="single" w:color="auto" w:sz="6" w:space="0"/>
            </w:tcBorders>
            <w:noWrap w:val="0"/>
            <w:vAlign w:val="center"/>
          </w:tcPr>
          <w:p w14:paraId="79F8489C">
            <w:pPr>
              <w:jc w:val="center"/>
              <w:rPr>
                <w:color w:val="auto"/>
                <w:sz w:val="20"/>
                <w:szCs w:val="20"/>
                <w:highlight w:val="none"/>
              </w:rPr>
            </w:pPr>
          </w:p>
        </w:tc>
        <w:tc>
          <w:tcPr>
            <w:tcW w:w="1171" w:type="dxa"/>
            <w:gridSpan w:val="2"/>
            <w:tcBorders>
              <w:top w:val="single" w:color="auto" w:sz="4" w:space="0"/>
              <w:left w:val="single" w:color="auto" w:sz="6" w:space="0"/>
              <w:bottom w:val="single" w:color="auto" w:sz="4" w:space="0"/>
              <w:right w:val="single" w:color="auto" w:sz="4" w:space="0"/>
            </w:tcBorders>
            <w:noWrap w:val="0"/>
            <w:vAlign w:val="center"/>
          </w:tcPr>
          <w:p w14:paraId="6E994815">
            <w:pPr>
              <w:jc w:val="center"/>
              <w:rPr>
                <w:color w:val="auto"/>
                <w:sz w:val="20"/>
                <w:szCs w:val="20"/>
                <w:highlight w:val="none"/>
              </w:rPr>
            </w:pPr>
          </w:p>
        </w:tc>
        <w:tc>
          <w:tcPr>
            <w:tcW w:w="1171" w:type="dxa"/>
            <w:tcBorders>
              <w:top w:val="single" w:color="auto" w:sz="4" w:space="0"/>
              <w:left w:val="single" w:color="auto" w:sz="6" w:space="0"/>
              <w:bottom w:val="single" w:color="auto" w:sz="4" w:space="0"/>
              <w:right w:val="single" w:color="auto" w:sz="4" w:space="0"/>
            </w:tcBorders>
            <w:noWrap w:val="0"/>
            <w:vAlign w:val="center"/>
          </w:tcPr>
          <w:p w14:paraId="1F10062E">
            <w:pPr>
              <w:jc w:val="center"/>
              <w:rPr>
                <w:color w:val="auto"/>
                <w:sz w:val="20"/>
                <w:szCs w:val="20"/>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5A39AFBF">
            <w:pPr>
              <w:jc w:val="center"/>
              <w:rPr>
                <w:color w:val="auto"/>
                <w:sz w:val="20"/>
                <w:szCs w:val="20"/>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14:paraId="7E548AA2">
            <w:pPr>
              <w:jc w:val="center"/>
              <w:rPr>
                <w:color w:val="auto"/>
                <w:sz w:val="20"/>
                <w:szCs w:val="20"/>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42E5BD86">
            <w:pPr>
              <w:jc w:val="center"/>
              <w:rPr>
                <w:color w:val="auto"/>
                <w:sz w:val="20"/>
                <w:szCs w:val="20"/>
                <w:highlight w:val="none"/>
              </w:rPr>
            </w:pPr>
          </w:p>
        </w:tc>
      </w:tr>
      <w:tr w14:paraId="14FE056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tcBorders>
              <w:top w:val="single" w:color="auto" w:sz="4" w:space="0"/>
              <w:left w:val="single" w:color="auto" w:sz="6" w:space="0"/>
              <w:bottom w:val="single" w:color="auto" w:sz="4" w:space="0"/>
              <w:right w:val="single" w:color="auto" w:sz="4" w:space="0"/>
            </w:tcBorders>
            <w:noWrap w:val="0"/>
            <w:vAlign w:val="center"/>
          </w:tcPr>
          <w:p w14:paraId="3E084863">
            <w:pPr>
              <w:jc w:val="center"/>
              <w:rPr>
                <w:rFonts w:ascii="黑体" w:eastAsia="黑体"/>
                <w:color w:val="auto"/>
                <w:szCs w:val="21"/>
                <w:highlight w:val="none"/>
              </w:rPr>
            </w:pPr>
          </w:p>
        </w:tc>
        <w:tc>
          <w:tcPr>
            <w:tcW w:w="1170" w:type="dxa"/>
            <w:tcBorders>
              <w:top w:val="single" w:color="auto" w:sz="4" w:space="0"/>
              <w:left w:val="single" w:color="auto" w:sz="4" w:space="0"/>
              <w:bottom w:val="single" w:color="auto" w:sz="4" w:space="0"/>
              <w:right w:val="single" w:color="auto" w:sz="6" w:space="0"/>
            </w:tcBorders>
            <w:noWrap w:val="0"/>
            <w:vAlign w:val="center"/>
          </w:tcPr>
          <w:p w14:paraId="75AF866B">
            <w:pPr>
              <w:jc w:val="center"/>
              <w:rPr>
                <w:color w:val="auto"/>
                <w:szCs w:val="21"/>
                <w:highlight w:val="none"/>
              </w:rPr>
            </w:pPr>
          </w:p>
        </w:tc>
        <w:tc>
          <w:tcPr>
            <w:tcW w:w="1171" w:type="dxa"/>
            <w:gridSpan w:val="2"/>
            <w:tcBorders>
              <w:top w:val="single" w:color="auto" w:sz="4" w:space="0"/>
              <w:left w:val="single" w:color="auto" w:sz="6" w:space="0"/>
              <w:bottom w:val="single" w:color="auto" w:sz="4" w:space="0"/>
              <w:right w:val="single" w:color="auto" w:sz="4" w:space="0"/>
            </w:tcBorders>
            <w:noWrap w:val="0"/>
            <w:vAlign w:val="center"/>
          </w:tcPr>
          <w:p w14:paraId="7E2314FF">
            <w:pPr>
              <w:jc w:val="center"/>
              <w:rPr>
                <w:color w:val="auto"/>
                <w:szCs w:val="21"/>
                <w:highlight w:val="none"/>
              </w:rPr>
            </w:pPr>
          </w:p>
        </w:tc>
        <w:tc>
          <w:tcPr>
            <w:tcW w:w="1171" w:type="dxa"/>
            <w:tcBorders>
              <w:top w:val="single" w:color="auto" w:sz="4" w:space="0"/>
              <w:left w:val="single" w:color="auto" w:sz="6" w:space="0"/>
              <w:bottom w:val="single" w:color="auto" w:sz="4" w:space="0"/>
              <w:right w:val="single" w:color="auto" w:sz="4" w:space="0"/>
            </w:tcBorders>
            <w:noWrap w:val="0"/>
            <w:vAlign w:val="center"/>
          </w:tcPr>
          <w:p w14:paraId="0AC93F61">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0BFDF8A6">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14:paraId="44028438">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6E1D274D">
            <w:pPr>
              <w:jc w:val="center"/>
              <w:rPr>
                <w:color w:val="auto"/>
                <w:szCs w:val="21"/>
                <w:highlight w:val="none"/>
              </w:rPr>
            </w:pPr>
          </w:p>
        </w:tc>
      </w:tr>
      <w:tr w14:paraId="30635E1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tcBorders>
              <w:top w:val="single" w:color="auto" w:sz="4" w:space="0"/>
              <w:left w:val="single" w:color="auto" w:sz="6" w:space="0"/>
              <w:bottom w:val="single" w:color="auto" w:sz="4" w:space="0"/>
              <w:right w:val="single" w:color="auto" w:sz="4" w:space="0"/>
            </w:tcBorders>
            <w:noWrap w:val="0"/>
            <w:vAlign w:val="center"/>
          </w:tcPr>
          <w:p w14:paraId="2C6C0A5B">
            <w:pPr>
              <w:jc w:val="center"/>
              <w:rPr>
                <w:rFonts w:ascii="黑体" w:eastAsia="黑体"/>
                <w:color w:val="auto"/>
                <w:szCs w:val="21"/>
                <w:highlight w:val="none"/>
              </w:rPr>
            </w:pPr>
          </w:p>
        </w:tc>
        <w:tc>
          <w:tcPr>
            <w:tcW w:w="1170" w:type="dxa"/>
            <w:tcBorders>
              <w:top w:val="single" w:color="auto" w:sz="4" w:space="0"/>
              <w:left w:val="single" w:color="auto" w:sz="4" w:space="0"/>
              <w:bottom w:val="single" w:color="auto" w:sz="4" w:space="0"/>
              <w:right w:val="single" w:color="auto" w:sz="6" w:space="0"/>
            </w:tcBorders>
            <w:noWrap w:val="0"/>
            <w:vAlign w:val="center"/>
          </w:tcPr>
          <w:p w14:paraId="76C3B839">
            <w:pPr>
              <w:jc w:val="center"/>
              <w:rPr>
                <w:color w:val="auto"/>
                <w:szCs w:val="21"/>
                <w:highlight w:val="none"/>
              </w:rPr>
            </w:pPr>
          </w:p>
        </w:tc>
        <w:tc>
          <w:tcPr>
            <w:tcW w:w="1171" w:type="dxa"/>
            <w:gridSpan w:val="2"/>
            <w:tcBorders>
              <w:top w:val="single" w:color="auto" w:sz="4" w:space="0"/>
              <w:left w:val="single" w:color="auto" w:sz="6" w:space="0"/>
              <w:bottom w:val="single" w:color="auto" w:sz="4" w:space="0"/>
              <w:right w:val="single" w:color="auto" w:sz="4" w:space="0"/>
            </w:tcBorders>
            <w:noWrap w:val="0"/>
            <w:vAlign w:val="center"/>
          </w:tcPr>
          <w:p w14:paraId="4114851B">
            <w:pPr>
              <w:jc w:val="center"/>
              <w:rPr>
                <w:color w:val="auto"/>
                <w:szCs w:val="21"/>
                <w:highlight w:val="none"/>
              </w:rPr>
            </w:pPr>
          </w:p>
        </w:tc>
        <w:tc>
          <w:tcPr>
            <w:tcW w:w="1171" w:type="dxa"/>
            <w:tcBorders>
              <w:top w:val="single" w:color="auto" w:sz="4" w:space="0"/>
              <w:left w:val="single" w:color="auto" w:sz="6" w:space="0"/>
              <w:bottom w:val="single" w:color="auto" w:sz="4" w:space="0"/>
              <w:right w:val="single" w:color="auto" w:sz="4" w:space="0"/>
            </w:tcBorders>
            <w:noWrap w:val="0"/>
            <w:vAlign w:val="center"/>
          </w:tcPr>
          <w:p w14:paraId="1465A5B3">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6B5DBD4B">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14:paraId="2DCAE09C">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358DD3C6">
            <w:pPr>
              <w:jc w:val="center"/>
              <w:rPr>
                <w:color w:val="auto"/>
                <w:szCs w:val="21"/>
                <w:highlight w:val="none"/>
              </w:rPr>
            </w:pPr>
          </w:p>
        </w:tc>
      </w:tr>
      <w:tr w14:paraId="5F4953C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tcBorders>
              <w:top w:val="single" w:color="auto" w:sz="4" w:space="0"/>
              <w:left w:val="single" w:color="auto" w:sz="6" w:space="0"/>
              <w:bottom w:val="single" w:color="auto" w:sz="4" w:space="0"/>
              <w:right w:val="single" w:color="auto" w:sz="4" w:space="0"/>
            </w:tcBorders>
            <w:noWrap w:val="0"/>
            <w:vAlign w:val="center"/>
          </w:tcPr>
          <w:p w14:paraId="13AFE428">
            <w:pPr>
              <w:jc w:val="center"/>
              <w:rPr>
                <w:rFonts w:ascii="黑体" w:eastAsia="黑体"/>
                <w:color w:val="auto"/>
                <w:szCs w:val="21"/>
                <w:highlight w:val="none"/>
              </w:rPr>
            </w:pPr>
          </w:p>
        </w:tc>
        <w:tc>
          <w:tcPr>
            <w:tcW w:w="1170" w:type="dxa"/>
            <w:tcBorders>
              <w:top w:val="single" w:color="auto" w:sz="4" w:space="0"/>
              <w:left w:val="single" w:color="auto" w:sz="4" w:space="0"/>
              <w:bottom w:val="single" w:color="auto" w:sz="4" w:space="0"/>
              <w:right w:val="single" w:color="auto" w:sz="6" w:space="0"/>
            </w:tcBorders>
            <w:noWrap w:val="0"/>
            <w:vAlign w:val="center"/>
          </w:tcPr>
          <w:p w14:paraId="78805DBF">
            <w:pPr>
              <w:jc w:val="center"/>
              <w:rPr>
                <w:color w:val="auto"/>
                <w:szCs w:val="21"/>
                <w:highlight w:val="none"/>
              </w:rPr>
            </w:pPr>
          </w:p>
        </w:tc>
        <w:tc>
          <w:tcPr>
            <w:tcW w:w="1171" w:type="dxa"/>
            <w:gridSpan w:val="2"/>
            <w:tcBorders>
              <w:top w:val="single" w:color="auto" w:sz="4" w:space="0"/>
              <w:left w:val="single" w:color="auto" w:sz="6" w:space="0"/>
              <w:bottom w:val="single" w:color="auto" w:sz="4" w:space="0"/>
              <w:right w:val="single" w:color="auto" w:sz="4" w:space="0"/>
            </w:tcBorders>
            <w:noWrap w:val="0"/>
            <w:vAlign w:val="center"/>
          </w:tcPr>
          <w:p w14:paraId="21CF97CE">
            <w:pPr>
              <w:jc w:val="center"/>
              <w:rPr>
                <w:color w:val="auto"/>
                <w:szCs w:val="21"/>
                <w:highlight w:val="none"/>
              </w:rPr>
            </w:pPr>
          </w:p>
        </w:tc>
        <w:tc>
          <w:tcPr>
            <w:tcW w:w="1171" w:type="dxa"/>
            <w:tcBorders>
              <w:top w:val="single" w:color="auto" w:sz="4" w:space="0"/>
              <w:left w:val="single" w:color="auto" w:sz="6" w:space="0"/>
              <w:bottom w:val="single" w:color="auto" w:sz="4" w:space="0"/>
              <w:right w:val="single" w:color="auto" w:sz="4" w:space="0"/>
            </w:tcBorders>
            <w:noWrap w:val="0"/>
            <w:vAlign w:val="center"/>
          </w:tcPr>
          <w:p w14:paraId="11DFE643">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30CEA407">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14:paraId="251CCEFA">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252DBBB2">
            <w:pPr>
              <w:jc w:val="center"/>
              <w:rPr>
                <w:color w:val="auto"/>
                <w:szCs w:val="21"/>
                <w:highlight w:val="none"/>
              </w:rPr>
            </w:pPr>
          </w:p>
        </w:tc>
      </w:tr>
      <w:tr w14:paraId="1C9A1E4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tcBorders>
              <w:top w:val="single" w:color="auto" w:sz="4" w:space="0"/>
              <w:left w:val="single" w:color="auto" w:sz="6" w:space="0"/>
              <w:bottom w:val="single" w:color="auto" w:sz="4" w:space="0"/>
              <w:right w:val="single" w:color="auto" w:sz="4" w:space="0"/>
            </w:tcBorders>
            <w:noWrap w:val="0"/>
            <w:vAlign w:val="center"/>
          </w:tcPr>
          <w:p w14:paraId="07BD0AA5">
            <w:pPr>
              <w:jc w:val="center"/>
              <w:rPr>
                <w:rFonts w:ascii="黑体" w:eastAsia="黑体"/>
                <w:color w:val="auto"/>
                <w:szCs w:val="21"/>
                <w:highlight w:val="none"/>
              </w:rPr>
            </w:pPr>
          </w:p>
        </w:tc>
        <w:tc>
          <w:tcPr>
            <w:tcW w:w="1170" w:type="dxa"/>
            <w:tcBorders>
              <w:top w:val="single" w:color="auto" w:sz="4" w:space="0"/>
              <w:left w:val="single" w:color="auto" w:sz="4" w:space="0"/>
              <w:bottom w:val="single" w:color="auto" w:sz="4" w:space="0"/>
              <w:right w:val="single" w:color="auto" w:sz="6" w:space="0"/>
            </w:tcBorders>
            <w:noWrap w:val="0"/>
            <w:vAlign w:val="center"/>
          </w:tcPr>
          <w:p w14:paraId="2D1CDBFC">
            <w:pPr>
              <w:jc w:val="center"/>
              <w:rPr>
                <w:color w:val="auto"/>
                <w:szCs w:val="21"/>
                <w:highlight w:val="none"/>
              </w:rPr>
            </w:pPr>
          </w:p>
        </w:tc>
        <w:tc>
          <w:tcPr>
            <w:tcW w:w="1171" w:type="dxa"/>
            <w:gridSpan w:val="2"/>
            <w:tcBorders>
              <w:top w:val="single" w:color="auto" w:sz="4" w:space="0"/>
              <w:left w:val="single" w:color="auto" w:sz="6" w:space="0"/>
              <w:bottom w:val="single" w:color="auto" w:sz="4" w:space="0"/>
              <w:right w:val="single" w:color="auto" w:sz="4" w:space="0"/>
            </w:tcBorders>
            <w:noWrap w:val="0"/>
            <w:vAlign w:val="center"/>
          </w:tcPr>
          <w:p w14:paraId="0FF54C5E">
            <w:pPr>
              <w:jc w:val="center"/>
              <w:rPr>
                <w:color w:val="auto"/>
                <w:szCs w:val="21"/>
                <w:highlight w:val="none"/>
              </w:rPr>
            </w:pPr>
          </w:p>
        </w:tc>
        <w:tc>
          <w:tcPr>
            <w:tcW w:w="1171" w:type="dxa"/>
            <w:tcBorders>
              <w:top w:val="single" w:color="auto" w:sz="4" w:space="0"/>
              <w:left w:val="single" w:color="auto" w:sz="6" w:space="0"/>
              <w:bottom w:val="single" w:color="auto" w:sz="4" w:space="0"/>
              <w:right w:val="single" w:color="auto" w:sz="4" w:space="0"/>
            </w:tcBorders>
            <w:noWrap w:val="0"/>
            <w:vAlign w:val="center"/>
          </w:tcPr>
          <w:p w14:paraId="5E353F51">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7233E885">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14:paraId="1138B111">
            <w:pPr>
              <w:jc w:val="center"/>
              <w:rPr>
                <w:color w:val="auto"/>
                <w:szCs w:val="21"/>
                <w:highlight w:val="none"/>
              </w:rPr>
            </w:pPr>
          </w:p>
        </w:tc>
        <w:tc>
          <w:tcPr>
            <w:tcW w:w="1171" w:type="dxa"/>
            <w:tcBorders>
              <w:top w:val="single" w:color="auto" w:sz="4" w:space="0"/>
              <w:left w:val="single" w:color="auto" w:sz="4" w:space="0"/>
              <w:bottom w:val="single" w:color="auto" w:sz="4" w:space="0"/>
              <w:right w:val="single" w:color="auto" w:sz="6" w:space="0"/>
            </w:tcBorders>
            <w:noWrap w:val="0"/>
            <w:vAlign w:val="center"/>
          </w:tcPr>
          <w:p w14:paraId="5E19CC3A">
            <w:pPr>
              <w:jc w:val="center"/>
              <w:rPr>
                <w:color w:val="auto"/>
                <w:szCs w:val="21"/>
                <w:highlight w:val="none"/>
              </w:rPr>
            </w:pPr>
          </w:p>
        </w:tc>
      </w:tr>
      <w:tr w14:paraId="4F9A375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tcBorders>
              <w:top w:val="single" w:color="auto" w:sz="4" w:space="0"/>
              <w:left w:val="single" w:color="auto" w:sz="6" w:space="0"/>
              <w:bottom w:val="single" w:color="auto" w:sz="6" w:space="0"/>
              <w:right w:val="single" w:color="auto" w:sz="4" w:space="0"/>
            </w:tcBorders>
            <w:noWrap w:val="0"/>
            <w:vAlign w:val="center"/>
          </w:tcPr>
          <w:p w14:paraId="3EC8CCB9">
            <w:pPr>
              <w:jc w:val="center"/>
              <w:rPr>
                <w:rFonts w:ascii="黑体" w:eastAsia="黑体"/>
                <w:color w:val="auto"/>
                <w:szCs w:val="21"/>
                <w:highlight w:val="none"/>
              </w:rPr>
            </w:pPr>
          </w:p>
        </w:tc>
        <w:tc>
          <w:tcPr>
            <w:tcW w:w="1170" w:type="dxa"/>
            <w:tcBorders>
              <w:top w:val="single" w:color="auto" w:sz="4" w:space="0"/>
              <w:left w:val="single" w:color="auto" w:sz="4" w:space="0"/>
              <w:bottom w:val="single" w:color="auto" w:sz="6" w:space="0"/>
              <w:right w:val="single" w:color="auto" w:sz="6" w:space="0"/>
            </w:tcBorders>
            <w:noWrap w:val="0"/>
            <w:vAlign w:val="center"/>
          </w:tcPr>
          <w:p w14:paraId="7ACB90A8">
            <w:pPr>
              <w:jc w:val="center"/>
              <w:rPr>
                <w:color w:val="auto"/>
                <w:szCs w:val="21"/>
                <w:highlight w:val="none"/>
              </w:rPr>
            </w:pPr>
          </w:p>
        </w:tc>
        <w:tc>
          <w:tcPr>
            <w:tcW w:w="1171" w:type="dxa"/>
            <w:gridSpan w:val="2"/>
            <w:tcBorders>
              <w:top w:val="single" w:color="auto" w:sz="4" w:space="0"/>
              <w:left w:val="single" w:color="auto" w:sz="6" w:space="0"/>
              <w:bottom w:val="single" w:color="auto" w:sz="6" w:space="0"/>
              <w:right w:val="single" w:color="auto" w:sz="4" w:space="0"/>
            </w:tcBorders>
            <w:noWrap w:val="0"/>
            <w:vAlign w:val="center"/>
          </w:tcPr>
          <w:p w14:paraId="26E5AD6A">
            <w:pPr>
              <w:jc w:val="center"/>
              <w:rPr>
                <w:color w:val="auto"/>
                <w:szCs w:val="21"/>
                <w:highlight w:val="none"/>
              </w:rPr>
            </w:pPr>
          </w:p>
        </w:tc>
        <w:tc>
          <w:tcPr>
            <w:tcW w:w="1171" w:type="dxa"/>
            <w:tcBorders>
              <w:top w:val="single" w:color="auto" w:sz="4" w:space="0"/>
              <w:left w:val="single" w:color="auto" w:sz="6" w:space="0"/>
              <w:bottom w:val="single" w:color="auto" w:sz="6" w:space="0"/>
              <w:right w:val="single" w:color="auto" w:sz="4" w:space="0"/>
            </w:tcBorders>
            <w:noWrap w:val="0"/>
            <w:vAlign w:val="center"/>
          </w:tcPr>
          <w:p w14:paraId="08EA7E1A">
            <w:pPr>
              <w:jc w:val="center"/>
              <w:rPr>
                <w:color w:val="auto"/>
                <w:szCs w:val="21"/>
                <w:highlight w:val="none"/>
              </w:rPr>
            </w:pPr>
          </w:p>
        </w:tc>
        <w:tc>
          <w:tcPr>
            <w:tcW w:w="1171" w:type="dxa"/>
            <w:tcBorders>
              <w:top w:val="single" w:color="auto" w:sz="4" w:space="0"/>
              <w:left w:val="single" w:color="auto" w:sz="4" w:space="0"/>
              <w:bottom w:val="single" w:color="auto" w:sz="6" w:space="0"/>
              <w:right w:val="single" w:color="auto" w:sz="6" w:space="0"/>
            </w:tcBorders>
            <w:noWrap w:val="0"/>
            <w:vAlign w:val="center"/>
          </w:tcPr>
          <w:p w14:paraId="09B525D2">
            <w:pPr>
              <w:jc w:val="center"/>
              <w:rPr>
                <w:color w:val="auto"/>
                <w:szCs w:val="21"/>
                <w:highlight w:val="none"/>
              </w:rPr>
            </w:pPr>
          </w:p>
        </w:tc>
        <w:tc>
          <w:tcPr>
            <w:tcW w:w="1171" w:type="dxa"/>
            <w:tcBorders>
              <w:top w:val="single" w:color="auto" w:sz="4" w:space="0"/>
              <w:left w:val="single" w:color="auto" w:sz="4" w:space="0"/>
              <w:bottom w:val="single" w:color="auto" w:sz="6" w:space="0"/>
              <w:right w:val="single" w:color="auto" w:sz="4" w:space="0"/>
            </w:tcBorders>
            <w:noWrap w:val="0"/>
            <w:vAlign w:val="center"/>
          </w:tcPr>
          <w:p w14:paraId="3A5892AC">
            <w:pPr>
              <w:jc w:val="center"/>
              <w:rPr>
                <w:color w:val="auto"/>
                <w:szCs w:val="21"/>
                <w:highlight w:val="none"/>
              </w:rPr>
            </w:pPr>
          </w:p>
        </w:tc>
        <w:tc>
          <w:tcPr>
            <w:tcW w:w="1171" w:type="dxa"/>
            <w:tcBorders>
              <w:top w:val="single" w:color="auto" w:sz="4" w:space="0"/>
              <w:left w:val="single" w:color="auto" w:sz="4" w:space="0"/>
              <w:bottom w:val="single" w:color="auto" w:sz="6" w:space="0"/>
              <w:right w:val="single" w:color="auto" w:sz="6" w:space="0"/>
            </w:tcBorders>
            <w:noWrap w:val="0"/>
            <w:vAlign w:val="center"/>
          </w:tcPr>
          <w:p w14:paraId="012D490C">
            <w:pPr>
              <w:jc w:val="center"/>
              <w:rPr>
                <w:color w:val="auto"/>
                <w:szCs w:val="21"/>
                <w:highlight w:val="none"/>
              </w:rPr>
            </w:pPr>
          </w:p>
        </w:tc>
      </w:tr>
    </w:tbl>
    <w:p w14:paraId="547B4E85">
      <w:pPr>
        <w:spacing w:line="420" w:lineRule="exact"/>
        <w:rPr>
          <w:rFonts w:hint="eastAsia" w:ascii="宋体" w:hAnsi="宋体"/>
          <w:color w:val="auto"/>
          <w:szCs w:val="21"/>
          <w:highlight w:val="none"/>
        </w:rPr>
      </w:pPr>
    </w:p>
    <w:p w14:paraId="62A4413E">
      <w:pPr>
        <w:spacing w:line="420" w:lineRule="exact"/>
        <w:rPr>
          <w:rFonts w:hint="eastAsia" w:ascii="宋体" w:hAnsi="宋体"/>
          <w:color w:val="auto"/>
          <w:szCs w:val="21"/>
          <w:highlight w:val="none"/>
        </w:rPr>
      </w:pPr>
      <w:r>
        <w:rPr>
          <w:rFonts w:hint="eastAsia" w:ascii="宋体" w:hAnsi="宋体"/>
          <w:color w:val="auto"/>
          <w:szCs w:val="21"/>
          <w:highlight w:val="none"/>
        </w:rPr>
        <w:t>评标委员会成员签名：                                     日期:     年     月     日</w:t>
      </w:r>
    </w:p>
    <w:p w14:paraId="37E65F07">
      <w:pPr>
        <w:rPr>
          <w:rFonts w:hint="eastAsia" w:ascii="黑体" w:hAnsi="Times New Roman" w:eastAsia="黑体"/>
          <w:color w:val="auto"/>
          <w:szCs w:val="21"/>
          <w:highlight w:val="none"/>
        </w:rPr>
      </w:pPr>
    </w:p>
    <w:p w14:paraId="2C8918DC">
      <w:pPr>
        <w:rPr>
          <w:rFonts w:hint="eastAsia" w:ascii="黑体" w:eastAsia="黑体"/>
          <w:color w:val="auto"/>
          <w:szCs w:val="21"/>
          <w:highlight w:val="none"/>
        </w:rPr>
      </w:pPr>
    </w:p>
    <w:p w14:paraId="0FABD203">
      <w:pPr>
        <w:rPr>
          <w:rFonts w:hint="eastAsia" w:ascii="黑体" w:eastAsia="黑体"/>
          <w:color w:val="auto"/>
          <w:szCs w:val="21"/>
          <w:highlight w:val="none"/>
        </w:rPr>
      </w:pPr>
    </w:p>
    <w:p w14:paraId="5F58389B">
      <w:pPr>
        <w:rPr>
          <w:rFonts w:hint="eastAsia" w:ascii="黑体" w:eastAsia="黑体"/>
          <w:color w:val="auto"/>
          <w:szCs w:val="21"/>
          <w:highlight w:val="none"/>
        </w:rPr>
      </w:pPr>
    </w:p>
    <w:p w14:paraId="042FC29C">
      <w:pPr>
        <w:rPr>
          <w:rFonts w:hint="eastAsia" w:ascii="黑体" w:eastAsia="黑体"/>
          <w:color w:val="auto"/>
          <w:szCs w:val="21"/>
          <w:highlight w:val="none"/>
        </w:rPr>
      </w:pPr>
    </w:p>
    <w:p w14:paraId="254D00EC">
      <w:pPr>
        <w:rPr>
          <w:rFonts w:hint="eastAsia" w:ascii="黑体" w:eastAsia="黑体"/>
          <w:color w:val="auto"/>
          <w:szCs w:val="21"/>
          <w:highlight w:val="none"/>
        </w:rPr>
      </w:pPr>
    </w:p>
    <w:p w14:paraId="231F5FBC">
      <w:pPr>
        <w:rPr>
          <w:rFonts w:hint="eastAsia" w:ascii="黑体" w:eastAsia="黑体"/>
          <w:color w:val="auto"/>
          <w:szCs w:val="21"/>
          <w:highlight w:val="none"/>
        </w:rPr>
      </w:pPr>
    </w:p>
    <w:p w14:paraId="0FFCA3EA">
      <w:pPr>
        <w:rPr>
          <w:rFonts w:hint="eastAsia" w:ascii="黑体" w:eastAsia="黑体"/>
          <w:color w:val="auto"/>
          <w:szCs w:val="21"/>
          <w:highlight w:val="none"/>
        </w:rPr>
      </w:pPr>
    </w:p>
    <w:p w14:paraId="6B1EE436">
      <w:pPr>
        <w:rPr>
          <w:rFonts w:hint="eastAsia" w:ascii="黑体" w:eastAsia="黑体"/>
          <w:color w:val="auto"/>
          <w:szCs w:val="21"/>
          <w:highlight w:val="none"/>
        </w:rPr>
      </w:pPr>
    </w:p>
    <w:p w14:paraId="34BD98B3">
      <w:pPr>
        <w:rPr>
          <w:rFonts w:hint="eastAsia" w:ascii="黑体" w:eastAsia="黑体"/>
          <w:color w:val="auto"/>
          <w:szCs w:val="21"/>
          <w:highlight w:val="none"/>
        </w:rPr>
      </w:pPr>
    </w:p>
    <w:p w14:paraId="5E961B06">
      <w:pPr>
        <w:ind w:left="420" w:hanging="420" w:hangingChars="200"/>
        <w:rPr>
          <w:rFonts w:hint="eastAsia" w:ascii="Times New Roman"/>
          <w:color w:val="auto"/>
          <w:szCs w:val="24"/>
          <w:highlight w:val="none"/>
        </w:rPr>
      </w:pPr>
      <w:r>
        <w:rPr>
          <w:rFonts w:hint="eastAsia"/>
          <w:color w:val="auto"/>
          <w:highlight w:val="none"/>
        </w:rPr>
        <w:t>注：“算术错误检查”是指按评标办法正文部分“算术错误修正原则”，对已标价的工程量清单相应表格中可能存在的计算错误进行检查，并将检查结果记录在上述表格中。</w:t>
      </w:r>
    </w:p>
    <w:p w14:paraId="42B15DD2">
      <w:pPr>
        <w:rPr>
          <w:rFonts w:ascii="黑体" w:eastAsia="黑体"/>
          <w:color w:val="auto"/>
          <w:szCs w:val="21"/>
          <w:highlight w:val="none"/>
        </w:rPr>
      </w:pPr>
    </w:p>
    <w:p w14:paraId="356C1076">
      <w:pPr>
        <w:rPr>
          <w:rFonts w:hint="eastAsia" w:ascii="黑体" w:eastAsia="黑体"/>
          <w:color w:val="auto"/>
          <w:szCs w:val="21"/>
          <w:highlight w:val="none"/>
        </w:rPr>
      </w:pPr>
    </w:p>
    <w:p w14:paraId="59F1A223">
      <w:pPr>
        <w:spacing w:after="240" w:afterLines="100"/>
        <w:rPr>
          <w:rFonts w:hint="eastAsia" w:ascii="黑体" w:eastAsia="黑体"/>
          <w:color w:val="auto"/>
          <w:sz w:val="24"/>
          <w:szCs w:val="24"/>
          <w:highlight w:val="none"/>
        </w:rPr>
      </w:pPr>
    </w:p>
    <w:p w14:paraId="10489B2C">
      <w:pPr>
        <w:pStyle w:val="33"/>
        <w:rPr>
          <w:rFonts w:hint="eastAsia" w:ascii="Times New Roman"/>
          <w:color w:val="auto"/>
          <w:highlight w:val="none"/>
        </w:rPr>
      </w:pPr>
      <w:bookmarkStart w:id="797" w:name="_Toc28531858"/>
      <w:bookmarkStart w:id="798" w:name="_Toc31098"/>
      <w:r>
        <w:rPr>
          <w:rFonts w:hint="eastAsia"/>
          <w:color w:val="auto"/>
          <w:highlight w:val="none"/>
        </w:rPr>
        <w:t>附表</w:t>
      </w:r>
      <w:r>
        <w:rPr>
          <w:color w:val="auto"/>
          <w:highlight w:val="none"/>
        </w:rPr>
        <w:t>C-7</w:t>
      </w:r>
      <w:r>
        <w:rPr>
          <w:rFonts w:hint="eastAsia"/>
          <w:color w:val="auto"/>
          <w:highlight w:val="none"/>
        </w:rPr>
        <w:t>：清标报告</w:t>
      </w:r>
      <w:r>
        <w:rPr>
          <w:color w:val="auto"/>
          <w:highlight w:val="none"/>
        </w:rPr>
        <w:t>-</w:t>
      </w:r>
      <w:r>
        <w:rPr>
          <w:rFonts w:hint="eastAsia"/>
          <w:color w:val="auto"/>
          <w:highlight w:val="none"/>
        </w:rPr>
        <w:t>算术错误分析及修正记录表</w:t>
      </w:r>
      <w:bookmarkEnd w:id="797"/>
      <w:bookmarkEnd w:id="798"/>
    </w:p>
    <w:p w14:paraId="0AEC5FD2">
      <w:pPr>
        <w:rPr>
          <w:rFonts w:ascii="黑体" w:eastAsia="黑体"/>
          <w:color w:val="auto"/>
          <w:szCs w:val="21"/>
          <w:highlight w:val="none"/>
        </w:rPr>
      </w:pPr>
    </w:p>
    <w:p w14:paraId="1E479351">
      <w:pPr>
        <w:spacing w:before="120" w:beforeLines="50" w:after="120" w:afterLines="5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清标报告-算术错误分析及修正记录表</w:t>
      </w:r>
    </w:p>
    <w:p w14:paraId="2BF65CD1">
      <w:pPr>
        <w:rPr>
          <w:rFonts w:hint="eastAsia" w:ascii="宋体" w:hAnsi="宋体"/>
          <w:color w:val="auto"/>
          <w:szCs w:val="21"/>
          <w:highlight w:val="none"/>
        </w:rPr>
      </w:pPr>
      <w:r>
        <w:rPr>
          <w:rFonts w:hint="eastAsia" w:ascii="宋体" w:hAnsi="宋体"/>
          <w:color w:val="auto"/>
          <w:szCs w:val="21"/>
          <w:highlight w:val="none"/>
        </w:rPr>
        <w:t>投标人名称：</w:t>
      </w:r>
    </w:p>
    <w:p w14:paraId="65263752">
      <w:pPr>
        <w:rPr>
          <w:rFonts w:hint="eastAsia" w:ascii="宋体" w:hAnsi="宋体"/>
          <w:color w:val="auto"/>
          <w:szCs w:val="21"/>
          <w:highlight w:val="none"/>
        </w:rPr>
      </w:pP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367"/>
        <w:gridCol w:w="1431"/>
        <w:gridCol w:w="1432"/>
        <w:gridCol w:w="1431"/>
        <w:gridCol w:w="2032"/>
      </w:tblGrid>
      <w:tr w14:paraId="19C6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722F507B">
            <w:pPr>
              <w:jc w:val="center"/>
              <w:rPr>
                <w:rFonts w:ascii="宋体" w:hAnsi="宋体"/>
                <w:color w:val="auto"/>
                <w:szCs w:val="21"/>
                <w:highlight w:val="none"/>
              </w:rPr>
            </w:pPr>
            <w:r>
              <w:rPr>
                <w:rFonts w:hint="eastAsia" w:ascii="宋体" w:hAnsi="宋体"/>
                <w:color w:val="auto"/>
                <w:szCs w:val="21"/>
                <w:highlight w:val="none"/>
              </w:rPr>
              <w:t>序号</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5146804C">
            <w:pPr>
              <w:jc w:val="center"/>
              <w:rPr>
                <w:rFonts w:ascii="宋体" w:hAnsi="宋体"/>
                <w:color w:val="auto"/>
                <w:szCs w:val="21"/>
                <w:highlight w:val="none"/>
              </w:rPr>
            </w:pPr>
            <w:r>
              <w:rPr>
                <w:rFonts w:hint="eastAsia" w:ascii="宋体" w:hAnsi="宋体"/>
                <w:color w:val="auto"/>
                <w:szCs w:val="21"/>
                <w:highlight w:val="none"/>
              </w:rPr>
              <w:t>项目名称</w:t>
            </w:r>
          </w:p>
        </w:tc>
        <w:tc>
          <w:tcPr>
            <w:tcW w:w="1431" w:type="dxa"/>
            <w:tcBorders>
              <w:top w:val="single" w:color="auto" w:sz="4" w:space="0"/>
              <w:left w:val="single" w:color="auto" w:sz="4" w:space="0"/>
              <w:bottom w:val="single" w:color="auto" w:sz="4" w:space="0"/>
              <w:right w:val="single" w:color="auto" w:sz="4" w:space="0"/>
            </w:tcBorders>
            <w:noWrap w:val="0"/>
            <w:vAlign w:val="center"/>
          </w:tcPr>
          <w:p w14:paraId="4ECB4DD0">
            <w:pPr>
              <w:jc w:val="center"/>
              <w:rPr>
                <w:rFonts w:ascii="宋体" w:hAnsi="宋体"/>
                <w:color w:val="auto"/>
                <w:szCs w:val="21"/>
                <w:highlight w:val="none"/>
              </w:rPr>
            </w:pPr>
            <w:r>
              <w:rPr>
                <w:rFonts w:hint="eastAsia" w:ascii="宋体" w:hAnsi="宋体"/>
                <w:color w:val="auto"/>
                <w:szCs w:val="21"/>
                <w:highlight w:val="none"/>
              </w:rPr>
              <w:t>投标价格</w:t>
            </w:r>
          </w:p>
        </w:tc>
        <w:tc>
          <w:tcPr>
            <w:tcW w:w="1432" w:type="dxa"/>
            <w:tcBorders>
              <w:top w:val="single" w:color="auto" w:sz="4" w:space="0"/>
              <w:left w:val="single" w:color="auto" w:sz="4" w:space="0"/>
              <w:bottom w:val="single" w:color="auto" w:sz="4" w:space="0"/>
              <w:right w:val="single" w:color="auto" w:sz="4" w:space="0"/>
            </w:tcBorders>
            <w:noWrap w:val="0"/>
            <w:vAlign w:val="center"/>
          </w:tcPr>
          <w:p w14:paraId="17220B23">
            <w:pPr>
              <w:jc w:val="center"/>
              <w:rPr>
                <w:rFonts w:ascii="宋体" w:hAnsi="宋体"/>
                <w:color w:val="auto"/>
                <w:szCs w:val="21"/>
                <w:highlight w:val="none"/>
              </w:rPr>
            </w:pPr>
            <w:r>
              <w:rPr>
                <w:rFonts w:hint="eastAsia" w:ascii="宋体" w:hAnsi="宋体"/>
                <w:color w:val="auto"/>
                <w:szCs w:val="21"/>
                <w:highlight w:val="none"/>
              </w:rPr>
              <w:t>算术正确投</w:t>
            </w:r>
          </w:p>
          <w:p w14:paraId="1F89AA8D">
            <w:pPr>
              <w:jc w:val="center"/>
              <w:rPr>
                <w:rFonts w:ascii="宋体" w:hAnsi="宋体"/>
                <w:color w:val="auto"/>
                <w:szCs w:val="21"/>
                <w:highlight w:val="none"/>
              </w:rPr>
            </w:pPr>
            <w:r>
              <w:rPr>
                <w:rFonts w:hint="eastAsia" w:ascii="宋体" w:hAnsi="宋体"/>
                <w:color w:val="auto"/>
                <w:szCs w:val="21"/>
                <w:highlight w:val="none"/>
              </w:rPr>
              <w:t>标价</w:t>
            </w: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C355B12">
            <w:pPr>
              <w:jc w:val="center"/>
              <w:rPr>
                <w:rFonts w:ascii="宋体" w:hAnsi="宋体"/>
                <w:color w:val="auto"/>
                <w:szCs w:val="21"/>
                <w:highlight w:val="none"/>
              </w:rPr>
            </w:pPr>
            <w:r>
              <w:rPr>
                <w:rFonts w:hint="eastAsia" w:ascii="宋体" w:hAnsi="宋体"/>
                <w:color w:val="auto"/>
                <w:szCs w:val="21"/>
                <w:highlight w:val="none"/>
              </w:rPr>
              <w:t>差额</w:t>
            </w:r>
          </w:p>
          <w:p w14:paraId="2DDFE5D7">
            <w:pPr>
              <w:jc w:val="center"/>
              <w:rPr>
                <w:rFonts w:ascii="宋体" w:hAnsi="宋体"/>
                <w:color w:val="auto"/>
                <w:szCs w:val="21"/>
                <w:highlight w:val="none"/>
              </w:rPr>
            </w:pPr>
            <w:r>
              <w:rPr>
                <w:rFonts w:hint="eastAsia" w:ascii="宋体" w:hAnsi="宋体"/>
                <w:color w:val="auto"/>
                <w:szCs w:val="21"/>
                <w:highlight w:val="none"/>
              </w:rPr>
              <w:t>（代数值）</w:t>
            </w:r>
          </w:p>
        </w:tc>
        <w:tc>
          <w:tcPr>
            <w:tcW w:w="2032" w:type="dxa"/>
            <w:tcBorders>
              <w:top w:val="single" w:color="auto" w:sz="4" w:space="0"/>
              <w:left w:val="single" w:color="auto" w:sz="4" w:space="0"/>
              <w:bottom w:val="single" w:color="auto" w:sz="4" w:space="0"/>
              <w:right w:val="single" w:color="auto" w:sz="4" w:space="0"/>
            </w:tcBorders>
            <w:noWrap w:val="0"/>
            <w:vAlign w:val="center"/>
          </w:tcPr>
          <w:p w14:paraId="013835E7">
            <w:pPr>
              <w:jc w:val="center"/>
              <w:rPr>
                <w:rFonts w:ascii="宋体" w:hAnsi="宋体"/>
                <w:color w:val="auto"/>
                <w:szCs w:val="21"/>
                <w:highlight w:val="none"/>
              </w:rPr>
            </w:pPr>
            <w:r>
              <w:rPr>
                <w:rFonts w:hint="eastAsia" w:ascii="宋体" w:hAnsi="宋体"/>
                <w:color w:val="auto"/>
                <w:szCs w:val="21"/>
                <w:highlight w:val="none"/>
              </w:rPr>
              <w:t>有关事项备注</w:t>
            </w:r>
          </w:p>
        </w:tc>
      </w:tr>
      <w:tr w14:paraId="3016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38F3D9C1">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5831AB04">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78DD5EDC">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7D2952BA">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1B6BF147">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7A7A073C">
            <w:pPr>
              <w:jc w:val="center"/>
              <w:rPr>
                <w:rFonts w:ascii="宋体" w:hAnsi="宋体"/>
                <w:color w:val="auto"/>
                <w:szCs w:val="21"/>
                <w:highlight w:val="none"/>
              </w:rPr>
            </w:pPr>
          </w:p>
        </w:tc>
      </w:tr>
      <w:tr w14:paraId="61FA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4C7A355">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0680036F">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F437366">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4467E107">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226BB331">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77EFEDF9">
            <w:pPr>
              <w:jc w:val="center"/>
              <w:rPr>
                <w:rFonts w:ascii="宋体" w:hAnsi="宋体"/>
                <w:color w:val="auto"/>
                <w:szCs w:val="21"/>
                <w:highlight w:val="none"/>
              </w:rPr>
            </w:pPr>
          </w:p>
        </w:tc>
      </w:tr>
      <w:tr w14:paraId="0C45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314BACD4">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62CA47BF">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1FA1FE4E">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261CFFAE">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2BA5EC0A">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32D5C62A">
            <w:pPr>
              <w:jc w:val="center"/>
              <w:rPr>
                <w:rFonts w:ascii="宋体" w:hAnsi="宋体"/>
                <w:color w:val="auto"/>
                <w:szCs w:val="21"/>
                <w:highlight w:val="none"/>
              </w:rPr>
            </w:pPr>
          </w:p>
        </w:tc>
      </w:tr>
      <w:tr w14:paraId="73BB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41C2759">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4E26F1B0">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2CF2AA4A">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075109F3">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5361CA89">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234DD330">
            <w:pPr>
              <w:jc w:val="center"/>
              <w:rPr>
                <w:rFonts w:ascii="宋体" w:hAnsi="宋体"/>
                <w:color w:val="auto"/>
                <w:szCs w:val="21"/>
                <w:highlight w:val="none"/>
              </w:rPr>
            </w:pPr>
          </w:p>
        </w:tc>
      </w:tr>
      <w:tr w14:paraId="7133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02FC05A6">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19DCB268">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50D5829D">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211DEFA7">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68883AE0">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56FE2F0F">
            <w:pPr>
              <w:jc w:val="center"/>
              <w:rPr>
                <w:rFonts w:ascii="宋体" w:hAnsi="宋体"/>
                <w:color w:val="auto"/>
                <w:szCs w:val="21"/>
                <w:highlight w:val="none"/>
              </w:rPr>
            </w:pPr>
          </w:p>
        </w:tc>
      </w:tr>
      <w:tr w14:paraId="549E2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656A6A6">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359463DE">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706813A">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0D73CC3B">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B9EF994">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77A5769E">
            <w:pPr>
              <w:jc w:val="center"/>
              <w:rPr>
                <w:rFonts w:ascii="宋体" w:hAnsi="宋体"/>
                <w:color w:val="auto"/>
                <w:szCs w:val="21"/>
                <w:highlight w:val="none"/>
              </w:rPr>
            </w:pPr>
          </w:p>
        </w:tc>
      </w:tr>
      <w:tr w14:paraId="7A8B6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451E0F4">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563468AB">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4C317283">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48D8783D">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1D42715">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5D512938">
            <w:pPr>
              <w:jc w:val="center"/>
              <w:rPr>
                <w:rFonts w:ascii="宋体" w:hAnsi="宋体"/>
                <w:color w:val="auto"/>
                <w:szCs w:val="21"/>
                <w:highlight w:val="none"/>
              </w:rPr>
            </w:pPr>
          </w:p>
        </w:tc>
      </w:tr>
      <w:tr w14:paraId="21BC4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368973CC">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1E42F0B2">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3337F1D8">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1A5010AB">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49A6347C">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373B7A69">
            <w:pPr>
              <w:jc w:val="center"/>
              <w:rPr>
                <w:rFonts w:ascii="宋体" w:hAnsi="宋体"/>
                <w:color w:val="auto"/>
                <w:szCs w:val="21"/>
                <w:highlight w:val="none"/>
              </w:rPr>
            </w:pPr>
          </w:p>
        </w:tc>
      </w:tr>
      <w:tr w14:paraId="64D9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0624095D">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4D755DAE">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1E3F317A">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034C7E2B">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7DE4DCFC">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0274E1BB">
            <w:pPr>
              <w:jc w:val="center"/>
              <w:rPr>
                <w:rFonts w:ascii="宋体" w:hAnsi="宋体"/>
                <w:color w:val="auto"/>
                <w:szCs w:val="21"/>
                <w:highlight w:val="none"/>
              </w:rPr>
            </w:pPr>
          </w:p>
        </w:tc>
      </w:tr>
      <w:tr w14:paraId="2EDB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01B9EE92">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056EB544">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5EAEF0DD">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22851B37">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31CAE74F">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18A2E9FF">
            <w:pPr>
              <w:jc w:val="center"/>
              <w:rPr>
                <w:rFonts w:ascii="宋体" w:hAnsi="宋体"/>
                <w:color w:val="auto"/>
                <w:szCs w:val="21"/>
                <w:highlight w:val="none"/>
              </w:rPr>
            </w:pPr>
          </w:p>
        </w:tc>
      </w:tr>
      <w:tr w14:paraId="55B9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57DA5C1E">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10B9922F">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E81D5DE">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68B4942B">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6FC28E67">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5FD98BC7">
            <w:pPr>
              <w:jc w:val="center"/>
              <w:rPr>
                <w:rFonts w:ascii="宋体" w:hAnsi="宋体"/>
                <w:color w:val="auto"/>
                <w:szCs w:val="21"/>
                <w:highlight w:val="none"/>
              </w:rPr>
            </w:pPr>
          </w:p>
        </w:tc>
      </w:tr>
      <w:tr w14:paraId="22298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7B56028A">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3EC18E8F">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4DFB7BF3">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2CE0230E">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2E778787">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0AB3265F">
            <w:pPr>
              <w:jc w:val="center"/>
              <w:rPr>
                <w:rFonts w:ascii="宋体" w:hAnsi="宋体"/>
                <w:color w:val="auto"/>
                <w:szCs w:val="21"/>
                <w:highlight w:val="none"/>
              </w:rPr>
            </w:pPr>
          </w:p>
        </w:tc>
      </w:tr>
      <w:tr w14:paraId="35174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EC81AE3">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4DD5995F">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59E77FA">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2F4F782D">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7F8A7EB4">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1DBDE452">
            <w:pPr>
              <w:jc w:val="center"/>
              <w:rPr>
                <w:rFonts w:ascii="宋体" w:hAnsi="宋体"/>
                <w:color w:val="auto"/>
                <w:szCs w:val="21"/>
                <w:highlight w:val="none"/>
              </w:rPr>
            </w:pPr>
          </w:p>
        </w:tc>
      </w:tr>
      <w:tr w14:paraId="4E11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7CCBB29F">
            <w:pPr>
              <w:jc w:val="center"/>
              <w:rPr>
                <w:rFonts w:ascii="宋体" w:hAnsi="宋体"/>
                <w:color w:val="auto"/>
                <w:szCs w:val="21"/>
                <w:highlight w:val="none"/>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14:paraId="4DFF75D5">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0D2BE661">
            <w:pPr>
              <w:jc w:val="center"/>
              <w:rPr>
                <w:rFonts w:ascii="宋体" w:hAnsi="宋体"/>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54CD131A">
            <w:pPr>
              <w:jc w:val="center"/>
              <w:rPr>
                <w:rFonts w:ascii="宋体" w:hAnsi="宋体"/>
                <w:color w:val="auto"/>
                <w:szCs w:val="21"/>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6F3E381B">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360ECD58">
            <w:pPr>
              <w:jc w:val="center"/>
              <w:rPr>
                <w:rFonts w:ascii="宋体" w:hAnsi="宋体"/>
                <w:color w:val="auto"/>
                <w:szCs w:val="21"/>
                <w:highlight w:val="none"/>
              </w:rPr>
            </w:pPr>
          </w:p>
        </w:tc>
      </w:tr>
    </w:tbl>
    <w:p w14:paraId="5687C432">
      <w:pPr>
        <w:spacing w:before="480" w:beforeLines="200"/>
        <w:rPr>
          <w:rFonts w:hint="eastAsia" w:ascii="宋体" w:hAnsi="宋体"/>
          <w:color w:val="auto"/>
          <w:szCs w:val="21"/>
          <w:highlight w:val="none"/>
        </w:rPr>
      </w:pPr>
      <w:r>
        <w:rPr>
          <w:rFonts w:hint="eastAsia" w:ascii="宋体" w:hAnsi="宋体"/>
          <w:color w:val="auto"/>
          <w:szCs w:val="21"/>
          <w:highlight w:val="none"/>
        </w:rPr>
        <w:t>评标委员会成员签名：                                  日期:     年     月     日</w:t>
      </w:r>
    </w:p>
    <w:p w14:paraId="01A35A70">
      <w:pPr>
        <w:spacing w:before="480" w:beforeLines="200"/>
        <w:ind w:left="420" w:hanging="420" w:hangingChars="200"/>
        <w:rPr>
          <w:rFonts w:hint="eastAsia" w:ascii="宋体" w:hAnsi="宋体"/>
          <w:color w:val="auto"/>
          <w:szCs w:val="21"/>
          <w:highlight w:val="none"/>
        </w:rPr>
      </w:pPr>
      <w:r>
        <w:rPr>
          <w:rFonts w:hint="eastAsia" w:ascii="宋体" w:hAnsi="宋体"/>
          <w:color w:val="auto"/>
          <w:szCs w:val="21"/>
          <w:highlight w:val="none"/>
        </w:rPr>
        <w:t>注：存在算术错误的已标价工程量清单按此模式进行分析、修正和记录。并按修正后的价格的修正投标人已标价工程量清单相应表格并计算其修正后的投标报价。</w:t>
      </w:r>
    </w:p>
    <w:p w14:paraId="064494D6">
      <w:pPr>
        <w:rPr>
          <w:rFonts w:hint="eastAsia" w:ascii="黑体" w:hAnsi="Times New Roman" w:eastAsia="黑体"/>
          <w:color w:val="auto"/>
          <w:szCs w:val="21"/>
          <w:highlight w:val="none"/>
        </w:rPr>
      </w:pPr>
    </w:p>
    <w:p w14:paraId="32631115">
      <w:pPr>
        <w:pStyle w:val="33"/>
        <w:rPr>
          <w:rFonts w:hint="eastAsia" w:ascii="Times New Roman"/>
          <w:color w:val="auto"/>
          <w:highlight w:val="none"/>
        </w:rPr>
      </w:pPr>
      <w:bookmarkStart w:id="799" w:name="_Toc8090"/>
      <w:bookmarkStart w:id="800" w:name="_Toc28531859"/>
      <w:r>
        <w:rPr>
          <w:rFonts w:hint="eastAsia"/>
          <w:color w:val="auto"/>
          <w:highlight w:val="none"/>
        </w:rPr>
        <w:t>附表</w:t>
      </w:r>
      <w:r>
        <w:rPr>
          <w:color w:val="auto"/>
          <w:highlight w:val="none"/>
        </w:rPr>
        <w:t>C-8</w:t>
      </w:r>
      <w:r>
        <w:rPr>
          <w:rFonts w:hint="eastAsia"/>
          <w:color w:val="auto"/>
          <w:highlight w:val="none"/>
        </w:rPr>
        <w:t>：清标报告</w:t>
      </w:r>
      <w:r>
        <w:rPr>
          <w:color w:val="auto"/>
          <w:highlight w:val="none"/>
        </w:rPr>
        <w:t>-</w:t>
      </w:r>
      <w:r>
        <w:rPr>
          <w:rFonts w:hint="eastAsia"/>
          <w:color w:val="auto"/>
          <w:highlight w:val="none"/>
        </w:rPr>
        <w:t>算术错误修正后的已标价工程量清单</w:t>
      </w:r>
      <w:bookmarkEnd w:id="799"/>
      <w:bookmarkEnd w:id="800"/>
    </w:p>
    <w:p w14:paraId="6747901D">
      <w:pPr>
        <w:rPr>
          <w:rFonts w:ascii="黑体" w:eastAsia="黑体"/>
          <w:color w:val="auto"/>
          <w:szCs w:val="21"/>
          <w:highlight w:val="none"/>
        </w:rPr>
      </w:pPr>
    </w:p>
    <w:p w14:paraId="2AAA8F1F">
      <w:pPr>
        <w:spacing w:after="240" w:afterLines="100" w:line="380" w:lineRule="exact"/>
        <w:ind w:firstLine="560" w:firstLineChars="200"/>
        <w:jc w:val="center"/>
        <w:rPr>
          <w:rFonts w:hint="eastAsia" w:ascii="黑体" w:eastAsia="黑体"/>
          <w:color w:val="auto"/>
          <w:sz w:val="28"/>
          <w:szCs w:val="28"/>
          <w:highlight w:val="none"/>
        </w:rPr>
      </w:pPr>
      <w:r>
        <w:rPr>
          <w:rFonts w:hint="eastAsia" w:ascii="黑体" w:eastAsia="黑体"/>
          <w:color w:val="auto"/>
          <w:sz w:val="28"/>
          <w:szCs w:val="28"/>
          <w:highlight w:val="none"/>
        </w:rPr>
        <w:t>算术错误修正后的建设项目投标报价汇总表</w:t>
      </w:r>
    </w:p>
    <w:p w14:paraId="325B0CEA">
      <w:pPr>
        <w:spacing w:after="120" w:afterLines="50" w:line="380" w:lineRule="exact"/>
        <w:rPr>
          <w:rFonts w:hint="eastAsia" w:ascii="宋体" w:hAnsi="宋体"/>
          <w:color w:val="auto"/>
          <w:sz w:val="28"/>
          <w:szCs w:val="28"/>
          <w:highlight w:val="none"/>
        </w:rPr>
      </w:pPr>
      <w:r>
        <w:rPr>
          <w:rFonts w:hint="eastAsia" w:ascii="宋体" w:hAnsi="宋体"/>
          <w:color w:val="auto"/>
          <w:highlight w:val="none"/>
        </w:rPr>
        <w:t>工程名称：                                           第  页  共  页</w:t>
      </w:r>
    </w:p>
    <w:tbl>
      <w:tblPr>
        <w:tblStyle w:val="15"/>
        <w:tblW w:w="8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3318"/>
        <w:gridCol w:w="1218"/>
        <w:gridCol w:w="965"/>
        <w:gridCol w:w="1400"/>
        <w:gridCol w:w="925"/>
      </w:tblGrid>
      <w:tr w14:paraId="78F79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42" w:type="dxa"/>
            <w:vMerge w:val="restart"/>
            <w:tcBorders>
              <w:top w:val="single" w:color="auto" w:sz="4" w:space="0"/>
              <w:left w:val="single" w:color="auto" w:sz="4" w:space="0"/>
              <w:bottom w:val="single" w:color="auto" w:sz="4" w:space="0"/>
              <w:right w:val="single" w:color="auto" w:sz="4" w:space="0"/>
            </w:tcBorders>
            <w:noWrap w:val="0"/>
            <w:vAlign w:val="center"/>
          </w:tcPr>
          <w:p w14:paraId="16F826F0">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序号</w:t>
            </w:r>
          </w:p>
        </w:tc>
        <w:tc>
          <w:tcPr>
            <w:tcW w:w="3318" w:type="dxa"/>
            <w:vMerge w:val="restart"/>
            <w:tcBorders>
              <w:top w:val="single" w:color="auto" w:sz="4" w:space="0"/>
              <w:left w:val="single" w:color="auto" w:sz="4" w:space="0"/>
              <w:bottom w:val="single" w:color="auto" w:sz="4" w:space="0"/>
              <w:right w:val="single" w:color="auto" w:sz="4" w:space="0"/>
            </w:tcBorders>
            <w:noWrap w:val="0"/>
            <w:vAlign w:val="center"/>
          </w:tcPr>
          <w:p w14:paraId="0A33AA6C">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单项工程名称</w:t>
            </w:r>
          </w:p>
        </w:tc>
        <w:tc>
          <w:tcPr>
            <w:tcW w:w="1218" w:type="dxa"/>
            <w:vMerge w:val="restart"/>
            <w:tcBorders>
              <w:top w:val="single" w:color="auto" w:sz="4" w:space="0"/>
              <w:left w:val="single" w:color="auto" w:sz="4" w:space="0"/>
              <w:bottom w:val="single" w:color="auto" w:sz="4" w:space="0"/>
              <w:right w:val="single" w:color="auto" w:sz="4" w:space="0"/>
            </w:tcBorders>
            <w:noWrap w:val="0"/>
            <w:vAlign w:val="center"/>
          </w:tcPr>
          <w:p w14:paraId="0C5210C4">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金额（元）</w:t>
            </w:r>
          </w:p>
        </w:tc>
        <w:tc>
          <w:tcPr>
            <w:tcW w:w="3290" w:type="dxa"/>
            <w:gridSpan w:val="3"/>
            <w:tcBorders>
              <w:top w:val="single" w:color="auto" w:sz="4" w:space="0"/>
              <w:left w:val="single" w:color="auto" w:sz="4" w:space="0"/>
              <w:bottom w:val="single" w:color="auto" w:sz="4" w:space="0"/>
              <w:right w:val="single" w:color="auto" w:sz="4" w:space="0"/>
            </w:tcBorders>
            <w:noWrap w:val="0"/>
            <w:vAlign w:val="center"/>
          </w:tcPr>
          <w:p w14:paraId="23A5FA7D">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其  中：（元）</w:t>
            </w:r>
          </w:p>
        </w:tc>
      </w:tr>
      <w:tr w14:paraId="5473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0CA672">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B611AC4">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06D64FB">
            <w:pPr>
              <w:widowControl/>
              <w:jc w:val="left"/>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781F431E">
            <w:pPr>
              <w:spacing w:line="300" w:lineRule="exact"/>
              <w:jc w:val="center"/>
              <w:rPr>
                <w:rFonts w:ascii="宋体" w:hAnsi="宋体"/>
                <w:color w:val="auto"/>
                <w:szCs w:val="21"/>
                <w:highlight w:val="none"/>
              </w:rPr>
            </w:pPr>
            <w:r>
              <w:rPr>
                <w:rFonts w:hint="eastAsia" w:ascii="宋体" w:hAnsi="宋体"/>
                <w:color w:val="auto"/>
                <w:szCs w:val="21"/>
                <w:highlight w:val="none"/>
              </w:rPr>
              <w:t>暂估价</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17D2D71">
            <w:pPr>
              <w:spacing w:line="300" w:lineRule="exact"/>
              <w:jc w:val="center"/>
              <w:rPr>
                <w:rFonts w:ascii="宋体" w:hAnsi="宋体"/>
                <w:color w:val="auto"/>
                <w:szCs w:val="21"/>
                <w:highlight w:val="none"/>
              </w:rPr>
            </w:pPr>
            <w:r>
              <w:rPr>
                <w:rFonts w:hint="eastAsia" w:ascii="宋体" w:hAnsi="宋体"/>
                <w:color w:val="auto"/>
                <w:szCs w:val="21"/>
                <w:highlight w:val="none"/>
              </w:rPr>
              <w:t>安全文明</w:t>
            </w:r>
          </w:p>
          <w:p w14:paraId="5C323BD7">
            <w:pPr>
              <w:spacing w:line="300" w:lineRule="exact"/>
              <w:jc w:val="center"/>
              <w:rPr>
                <w:rFonts w:ascii="宋体" w:hAnsi="宋体"/>
                <w:color w:val="auto"/>
                <w:szCs w:val="21"/>
                <w:highlight w:val="none"/>
              </w:rPr>
            </w:pPr>
            <w:r>
              <w:rPr>
                <w:rFonts w:hint="eastAsia" w:ascii="宋体" w:hAnsi="宋体"/>
                <w:color w:val="auto"/>
                <w:szCs w:val="21"/>
                <w:highlight w:val="none"/>
              </w:rPr>
              <w:t>施工费</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0959C94C">
            <w:pPr>
              <w:spacing w:line="300" w:lineRule="exact"/>
              <w:jc w:val="center"/>
              <w:rPr>
                <w:rFonts w:ascii="宋体" w:hAnsi="宋体"/>
                <w:color w:val="auto"/>
                <w:szCs w:val="21"/>
                <w:highlight w:val="none"/>
              </w:rPr>
            </w:pPr>
            <w:r>
              <w:rPr>
                <w:rFonts w:hint="eastAsia" w:ascii="宋体" w:hAnsi="宋体"/>
                <w:color w:val="auto"/>
                <w:szCs w:val="21"/>
                <w:highlight w:val="none"/>
              </w:rPr>
              <w:t>规费</w:t>
            </w:r>
          </w:p>
          <w:p w14:paraId="56410A51">
            <w:pPr>
              <w:spacing w:line="300" w:lineRule="exact"/>
              <w:jc w:val="center"/>
              <w:rPr>
                <w:rFonts w:ascii="宋体" w:hAnsi="宋体"/>
                <w:color w:val="auto"/>
                <w:szCs w:val="21"/>
                <w:highlight w:val="none"/>
              </w:rPr>
            </w:pPr>
          </w:p>
        </w:tc>
      </w:tr>
      <w:tr w14:paraId="37989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100E1E2E">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1</w:t>
            </w:r>
          </w:p>
        </w:tc>
        <w:tc>
          <w:tcPr>
            <w:tcW w:w="3318" w:type="dxa"/>
            <w:tcBorders>
              <w:top w:val="single" w:color="auto" w:sz="4" w:space="0"/>
              <w:left w:val="single" w:color="auto" w:sz="4" w:space="0"/>
              <w:bottom w:val="single" w:color="auto" w:sz="4" w:space="0"/>
              <w:right w:val="single" w:color="auto" w:sz="4" w:space="0"/>
            </w:tcBorders>
            <w:noWrap w:val="0"/>
            <w:vAlign w:val="center"/>
          </w:tcPr>
          <w:p w14:paraId="5F6BB06C">
            <w:pPr>
              <w:spacing w:after="120" w:afterLines="50" w:line="380" w:lineRule="exact"/>
              <w:rPr>
                <w:rFonts w:ascii="宋体" w:hAnsi="宋体"/>
                <w:color w:val="auto"/>
                <w:szCs w:val="21"/>
                <w:highlight w:val="none"/>
              </w:rPr>
            </w:pPr>
            <w:r>
              <w:rPr>
                <w:rFonts w:hint="eastAsia" w:ascii="宋体" w:hAnsi="宋体"/>
                <w:color w:val="auto"/>
                <w:szCs w:val="21"/>
                <w:highlight w:val="none"/>
              </w:rPr>
              <w:t>单项工程</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FA458FD">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6FFFD53D">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84B4182">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3F16FA6C">
            <w:pPr>
              <w:spacing w:line="300" w:lineRule="exact"/>
              <w:jc w:val="center"/>
              <w:rPr>
                <w:rFonts w:ascii="宋体" w:hAnsi="宋体"/>
                <w:color w:val="auto"/>
                <w:szCs w:val="21"/>
                <w:highlight w:val="none"/>
              </w:rPr>
            </w:pPr>
          </w:p>
        </w:tc>
      </w:tr>
      <w:tr w14:paraId="6EE0A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532FDBC7">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7BC90CC6">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FAAA1B5">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0FF2D58A">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D566440">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1C2B9F7E">
            <w:pPr>
              <w:spacing w:line="300" w:lineRule="exact"/>
              <w:jc w:val="center"/>
              <w:rPr>
                <w:rFonts w:ascii="宋体" w:hAnsi="宋体"/>
                <w:color w:val="auto"/>
                <w:szCs w:val="21"/>
                <w:highlight w:val="none"/>
              </w:rPr>
            </w:pPr>
          </w:p>
        </w:tc>
      </w:tr>
      <w:tr w14:paraId="03E0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3D187751">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1D51198F">
            <w:pPr>
              <w:spacing w:after="120" w:afterLines="50" w:line="380" w:lineRule="exact"/>
              <w:rPr>
                <w:rFonts w:ascii="宋体" w:hAnsi="宋体"/>
                <w:color w:val="auto"/>
                <w:szCs w:val="21"/>
                <w:highlight w:val="none"/>
              </w:rPr>
            </w:pPr>
            <w:r>
              <w:rPr>
                <w:rFonts w:hint="eastAsia" w:ascii="宋体" w:hAnsi="宋体"/>
                <w:color w:val="auto"/>
                <w:szCs w:val="21"/>
                <w:highlight w:val="none"/>
              </w:rPr>
              <w:t>建设项目数据：</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1A2068D">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13C4A086">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69785D4">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7BA2B5C">
            <w:pPr>
              <w:spacing w:line="300" w:lineRule="exact"/>
              <w:jc w:val="center"/>
              <w:rPr>
                <w:rFonts w:ascii="宋体" w:hAnsi="宋体"/>
                <w:color w:val="auto"/>
                <w:szCs w:val="21"/>
                <w:highlight w:val="none"/>
              </w:rPr>
            </w:pPr>
          </w:p>
        </w:tc>
      </w:tr>
      <w:tr w14:paraId="7ACA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2D2FA4B4">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72436BE6">
            <w:pPr>
              <w:spacing w:after="120" w:afterLines="50" w:line="380" w:lineRule="exact"/>
              <w:rPr>
                <w:rFonts w:ascii="宋体" w:hAnsi="宋体"/>
                <w:color w:val="auto"/>
                <w:szCs w:val="21"/>
                <w:highlight w:val="none"/>
              </w:rPr>
            </w:pPr>
            <w:r>
              <w:rPr>
                <w:rFonts w:hint="eastAsia" w:ascii="宋体" w:hAnsi="宋体"/>
                <w:color w:val="auto"/>
                <w:szCs w:val="21"/>
                <w:highlight w:val="none"/>
              </w:rPr>
              <w:t>人工费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F2D8A16">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2F07C1ED">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20BEA59">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3AB0D866">
            <w:pPr>
              <w:spacing w:line="300" w:lineRule="exact"/>
              <w:jc w:val="center"/>
              <w:rPr>
                <w:rFonts w:ascii="宋体" w:hAnsi="宋体"/>
                <w:color w:val="auto"/>
                <w:szCs w:val="21"/>
                <w:highlight w:val="none"/>
              </w:rPr>
            </w:pPr>
          </w:p>
        </w:tc>
      </w:tr>
      <w:tr w14:paraId="7DD59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6A352786">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6426F55F">
            <w:pPr>
              <w:spacing w:after="120" w:afterLines="50" w:line="380" w:lineRule="exact"/>
              <w:rPr>
                <w:rFonts w:ascii="宋体" w:hAnsi="宋体"/>
                <w:color w:val="auto"/>
                <w:szCs w:val="21"/>
                <w:highlight w:val="none"/>
              </w:rPr>
            </w:pPr>
            <w:r>
              <w:rPr>
                <w:rFonts w:hint="eastAsia" w:ascii="宋体" w:hAnsi="宋体"/>
                <w:color w:val="auto"/>
                <w:szCs w:val="21"/>
                <w:highlight w:val="none"/>
              </w:rPr>
              <w:t>材料费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A7F4621">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53407CB9">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A2B609B">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0868382B">
            <w:pPr>
              <w:spacing w:line="300" w:lineRule="exact"/>
              <w:jc w:val="center"/>
              <w:rPr>
                <w:rFonts w:ascii="宋体" w:hAnsi="宋体"/>
                <w:color w:val="auto"/>
                <w:szCs w:val="21"/>
                <w:highlight w:val="none"/>
              </w:rPr>
            </w:pPr>
          </w:p>
        </w:tc>
      </w:tr>
      <w:tr w14:paraId="20B8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4F7EB022">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6D7A2754">
            <w:pPr>
              <w:spacing w:after="120" w:afterLines="50" w:line="380" w:lineRule="exact"/>
              <w:rPr>
                <w:rFonts w:ascii="宋体" w:hAnsi="宋体"/>
                <w:color w:val="auto"/>
                <w:szCs w:val="21"/>
                <w:highlight w:val="none"/>
              </w:rPr>
            </w:pPr>
            <w:r>
              <w:rPr>
                <w:rFonts w:hint="eastAsia" w:ascii="宋体" w:hAnsi="宋体"/>
                <w:color w:val="auto"/>
                <w:szCs w:val="21"/>
                <w:highlight w:val="none"/>
              </w:rPr>
              <w:t>机械费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7FE591A">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6ADBDEBF">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C3709A1">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F9B72F2">
            <w:pPr>
              <w:spacing w:line="300" w:lineRule="exact"/>
              <w:jc w:val="center"/>
              <w:rPr>
                <w:rFonts w:ascii="宋体" w:hAnsi="宋体"/>
                <w:color w:val="auto"/>
                <w:szCs w:val="21"/>
                <w:highlight w:val="none"/>
              </w:rPr>
            </w:pPr>
          </w:p>
        </w:tc>
      </w:tr>
      <w:tr w14:paraId="3D0BB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5EBEB1EC">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6DA8CFBE">
            <w:pPr>
              <w:spacing w:after="120" w:afterLines="50" w:line="380" w:lineRule="exact"/>
              <w:rPr>
                <w:rFonts w:ascii="宋体" w:hAnsi="宋体"/>
                <w:color w:val="auto"/>
                <w:szCs w:val="21"/>
                <w:highlight w:val="none"/>
              </w:rPr>
            </w:pPr>
            <w:r>
              <w:rPr>
                <w:rFonts w:hint="eastAsia" w:ascii="宋体" w:hAnsi="宋体"/>
                <w:color w:val="auto"/>
                <w:szCs w:val="21"/>
                <w:highlight w:val="none"/>
              </w:rPr>
              <w:t>设备费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5A08224">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1A628064">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A50D8E3">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38CAB66">
            <w:pPr>
              <w:spacing w:line="300" w:lineRule="exact"/>
              <w:jc w:val="center"/>
              <w:rPr>
                <w:rFonts w:ascii="宋体" w:hAnsi="宋体"/>
                <w:color w:val="auto"/>
                <w:szCs w:val="21"/>
                <w:highlight w:val="none"/>
              </w:rPr>
            </w:pPr>
          </w:p>
        </w:tc>
      </w:tr>
      <w:tr w14:paraId="733B0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3FDA50C1">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1834599E">
            <w:pPr>
              <w:spacing w:after="120" w:afterLines="50" w:line="380" w:lineRule="exact"/>
              <w:rPr>
                <w:rFonts w:ascii="宋体" w:hAnsi="宋体"/>
                <w:color w:val="auto"/>
                <w:szCs w:val="21"/>
                <w:highlight w:val="none"/>
              </w:rPr>
            </w:pPr>
            <w:r>
              <w:rPr>
                <w:rFonts w:hint="eastAsia" w:ascii="宋体" w:hAnsi="宋体"/>
                <w:color w:val="auto"/>
                <w:szCs w:val="21"/>
                <w:highlight w:val="none"/>
              </w:rPr>
              <w:t>主材费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EA58A9A">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719D4CF8">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3F3304B">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E1A4A5E">
            <w:pPr>
              <w:spacing w:line="300" w:lineRule="exact"/>
              <w:jc w:val="center"/>
              <w:rPr>
                <w:rFonts w:ascii="宋体" w:hAnsi="宋体"/>
                <w:color w:val="auto"/>
                <w:szCs w:val="21"/>
                <w:highlight w:val="none"/>
              </w:rPr>
            </w:pPr>
          </w:p>
        </w:tc>
      </w:tr>
      <w:tr w14:paraId="1F73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564DD4C9">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63D38CD2">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8205285">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7380032A">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78850E4">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500FA2F">
            <w:pPr>
              <w:spacing w:line="300" w:lineRule="exact"/>
              <w:jc w:val="center"/>
              <w:rPr>
                <w:rFonts w:ascii="宋体" w:hAnsi="宋体"/>
                <w:color w:val="auto"/>
                <w:szCs w:val="21"/>
                <w:highlight w:val="none"/>
              </w:rPr>
            </w:pPr>
          </w:p>
        </w:tc>
      </w:tr>
      <w:tr w14:paraId="067C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14:paraId="17BBEF6B">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35D13228">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1E8DAE6">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781F780B">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72EC438">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81D0051">
            <w:pPr>
              <w:spacing w:line="300" w:lineRule="exact"/>
              <w:jc w:val="center"/>
              <w:rPr>
                <w:rFonts w:ascii="宋体" w:hAnsi="宋体"/>
                <w:color w:val="auto"/>
                <w:szCs w:val="21"/>
                <w:highlight w:val="none"/>
              </w:rPr>
            </w:pPr>
          </w:p>
        </w:tc>
      </w:tr>
      <w:tr w14:paraId="68B7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tcBorders>
              <w:top w:val="single" w:color="auto" w:sz="4" w:space="0"/>
              <w:left w:val="single" w:color="auto" w:sz="4" w:space="0"/>
              <w:bottom w:val="single" w:color="auto" w:sz="4" w:space="0"/>
              <w:right w:val="single" w:color="auto" w:sz="4" w:space="0"/>
            </w:tcBorders>
            <w:noWrap w:val="0"/>
            <w:vAlign w:val="center"/>
          </w:tcPr>
          <w:p w14:paraId="28FB86B2">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合 计</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1D763696">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335BF7EF">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AE75231">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6FF7E8BD">
            <w:pPr>
              <w:spacing w:line="300" w:lineRule="exact"/>
              <w:jc w:val="center"/>
              <w:rPr>
                <w:rFonts w:ascii="宋体" w:hAnsi="宋体"/>
                <w:color w:val="auto"/>
                <w:szCs w:val="21"/>
                <w:highlight w:val="none"/>
              </w:rPr>
            </w:pPr>
          </w:p>
        </w:tc>
      </w:tr>
      <w:tr w14:paraId="6462D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tcBorders>
              <w:top w:val="single" w:color="auto" w:sz="4" w:space="0"/>
              <w:left w:val="single" w:color="auto" w:sz="4" w:space="0"/>
              <w:bottom w:val="single" w:color="auto" w:sz="4" w:space="0"/>
              <w:right w:val="single" w:color="auto" w:sz="4" w:space="0"/>
            </w:tcBorders>
            <w:noWrap w:val="0"/>
            <w:vAlign w:val="center"/>
          </w:tcPr>
          <w:p w14:paraId="5B4583BC">
            <w:pPr>
              <w:spacing w:after="120" w:afterLines="50" w:line="380" w:lineRule="exact"/>
              <w:rPr>
                <w:rFonts w:ascii="宋体" w:hAnsi="宋体"/>
                <w:color w:val="auto"/>
                <w:szCs w:val="21"/>
                <w:highlight w:val="none"/>
              </w:rPr>
            </w:pPr>
            <w:r>
              <w:rPr>
                <w:rFonts w:hint="eastAsia" w:ascii="宋体" w:hAnsi="宋体"/>
                <w:color w:val="auto"/>
                <w:szCs w:val="21"/>
                <w:highlight w:val="none"/>
              </w:rPr>
              <w:t>算术错误修正后的投标报价（A）</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1935872">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5EE51EFC">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D42E74E">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ED493B8">
            <w:pPr>
              <w:spacing w:line="300" w:lineRule="exact"/>
              <w:jc w:val="center"/>
              <w:rPr>
                <w:rFonts w:ascii="宋体" w:hAnsi="宋体"/>
                <w:color w:val="auto"/>
                <w:szCs w:val="21"/>
                <w:highlight w:val="none"/>
              </w:rPr>
            </w:pPr>
          </w:p>
        </w:tc>
      </w:tr>
      <w:tr w14:paraId="41A1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tcBorders>
              <w:top w:val="single" w:color="auto" w:sz="4" w:space="0"/>
              <w:left w:val="single" w:color="auto" w:sz="4" w:space="0"/>
              <w:bottom w:val="single" w:color="auto" w:sz="4" w:space="0"/>
              <w:right w:val="single" w:color="auto" w:sz="4" w:space="0"/>
            </w:tcBorders>
            <w:noWrap w:val="0"/>
            <w:vAlign w:val="center"/>
          </w:tcPr>
          <w:p w14:paraId="005ED8A2">
            <w:pPr>
              <w:spacing w:after="120" w:afterLines="50" w:line="380" w:lineRule="exact"/>
              <w:rPr>
                <w:rFonts w:ascii="宋体" w:hAnsi="宋体"/>
                <w:color w:val="auto"/>
                <w:szCs w:val="21"/>
                <w:highlight w:val="none"/>
              </w:rPr>
            </w:pPr>
            <w:r>
              <w:rPr>
                <w:rFonts w:hint="eastAsia" w:ascii="宋体" w:hAnsi="宋体"/>
                <w:color w:val="auto"/>
                <w:szCs w:val="21"/>
                <w:highlight w:val="none"/>
              </w:rPr>
              <w:t>原投标报价（B）</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711A6D3">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19DE72C9">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72EDF6A">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19074E96">
            <w:pPr>
              <w:spacing w:line="300" w:lineRule="exact"/>
              <w:jc w:val="center"/>
              <w:rPr>
                <w:rFonts w:ascii="宋体" w:hAnsi="宋体"/>
                <w:color w:val="auto"/>
                <w:szCs w:val="21"/>
                <w:highlight w:val="none"/>
              </w:rPr>
            </w:pPr>
          </w:p>
        </w:tc>
      </w:tr>
      <w:tr w14:paraId="0675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tcBorders>
              <w:top w:val="single" w:color="auto" w:sz="4" w:space="0"/>
              <w:left w:val="single" w:color="auto" w:sz="4" w:space="0"/>
              <w:bottom w:val="single" w:color="auto" w:sz="4" w:space="0"/>
              <w:right w:val="single" w:color="auto" w:sz="4" w:space="0"/>
            </w:tcBorders>
            <w:noWrap w:val="0"/>
            <w:vAlign w:val="center"/>
          </w:tcPr>
          <w:p w14:paraId="4C789D36">
            <w:pPr>
              <w:spacing w:after="120" w:afterLines="50" w:line="380" w:lineRule="exact"/>
              <w:rPr>
                <w:rFonts w:ascii="宋体" w:hAnsi="宋体"/>
                <w:color w:val="auto"/>
                <w:szCs w:val="21"/>
                <w:highlight w:val="none"/>
              </w:rPr>
            </w:pPr>
            <w:r>
              <w:rPr>
                <w:rFonts w:hint="eastAsia" w:ascii="宋体" w:hAnsi="宋体"/>
                <w:color w:val="auto"/>
                <w:szCs w:val="21"/>
                <w:highlight w:val="none"/>
              </w:rPr>
              <w:t>偏差      (A-B)/B</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78A40BC3">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411F2153">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59C988F">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13A76439">
            <w:pPr>
              <w:spacing w:line="300" w:lineRule="exact"/>
              <w:jc w:val="center"/>
              <w:rPr>
                <w:rFonts w:ascii="宋体" w:hAnsi="宋体"/>
                <w:color w:val="auto"/>
                <w:szCs w:val="21"/>
                <w:highlight w:val="none"/>
              </w:rPr>
            </w:pPr>
          </w:p>
        </w:tc>
      </w:tr>
    </w:tbl>
    <w:p w14:paraId="22DD775A">
      <w:pPr>
        <w:rPr>
          <w:rFonts w:hint="eastAsia" w:ascii="黑体" w:hAnsi="Times New Roman" w:eastAsia="黑体"/>
          <w:color w:val="auto"/>
          <w:szCs w:val="21"/>
          <w:highlight w:val="none"/>
        </w:rPr>
      </w:pPr>
    </w:p>
    <w:p w14:paraId="3317D363">
      <w:pPr>
        <w:rPr>
          <w:rFonts w:hint="eastAsia" w:ascii="黑体" w:eastAsia="黑体"/>
          <w:color w:val="auto"/>
          <w:szCs w:val="21"/>
          <w:highlight w:val="none"/>
        </w:rPr>
      </w:pPr>
      <w:r>
        <w:rPr>
          <w:rFonts w:hint="eastAsia" w:ascii="宋体" w:hAnsi="宋体"/>
          <w:color w:val="auto"/>
          <w:szCs w:val="21"/>
          <w:highlight w:val="none"/>
        </w:rPr>
        <w:t>评标委员会成员签名：                                  日期:     年     月     日</w:t>
      </w:r>
    </w:p>
    <w:p w14:paraId="3A52579A">
      <w:pPr>
        <w:rPr>
          <w:rFonts w:hint="eastAsia" w:ascii="黑体" w:eastAsia="黑体"/>
          <w:color w:val="auto"/>
          <w:szCs w:val="21"/>
          <w:highlight w:val="none"/>
        </w:rPr>
      </w:pPr>
    </w:p>
    <w:p w14:paraId="61A6A8F9">
      <w:pPr>
        <w:ind w:left="420" w:hanging="420" w:hangingChars="200"/>
        <w:rPr>
          <w:rFonts w:hint="eastAsia" w:ascii="宋体" w:hAnsi="宋体"/>
          <w:color w:val="auto"/>
          <w:szCs w:val="21"/>
          <w:highlight w:val="none"/>
        </w:rPr>
      </w:pPr>
      <w:r>
        <w:rPr>
          <w:rFonts w:hint="eastAsia" w:ascii="宋体" w:hAnsi="宋体"/>
          <w:color w:val="auto"/>
          <w:szCs w:val="21"/>
          <w:highlight w:val="none"/>
        </w:rPr>
        <w:t>注：按修正后的价格的修正投标人已标价工程量清单相应表格并计算其修正后的投标报价，本表为示例</w:t>
      </w:r>
    </w:p>
    <w:p w14:paraId="3883FDEF">
      <w:pPr>
        <w:rPr>
          <w:rFonts w:hint="eastAsia" w:ascii="黑体" w:hAnsi="Times New Roman" w:eastAsia="黑体"/>
          <w:color w:val="auto"/>
          <w:szCs w:val="21"/>
          <w:highlight w:val="none"/>
        </w:rPr>
      </w:pPr>
    </w:p>
    <w:p w14:paraId="443693A5">
      <w:pPr>
        <w:widowControl/>
        <w:jc w:val="left"/>
        <w:rPr>
          <w:rFonts w:ascii="黑体" w:eastAsia="黑体"/>
          <w:color w:val="auto"/>
          <w:szCs w:val="21"/>
          <w:highlight w:val="none"/>
        </w:rPr>
        <w:sectPr>
          <w:pgSz w:w="11907" w:h="16840"/>
          <w:pgMar w:top="1701" w:right="1531" w:bottom="1588" w:left="1474" w:header="851" w:footer="851" w:gutter="0"/>
          <w:pgNumType w:fmt="decimal"/>
          <w:cols w:space="720" w:num="1"/>
        </w:sectPr>
      </w:pPr>
    </w:p>
    <w:p w14:paraId="0C0D6BBC">
      <w:pPr>
        <w:pStyle w:val="33"/>
        <w:rPr>
          <w:rFonts w:hint="eastAsia" w:ascii="Times New Roman"/>
          <w:color w:val="auto"/>
          <w:highlight w:val="none"/>
        </w:rPr>
      </w:pPr>
      <w:bookmarkStart w:id="801" w:name="_Toc28531860"/>
      <w:bookmarkStart w:id="802" w:name="_Toc3279"/>
      <w:r>
        <w:rPr>
          <w:rFonts w:hint="eastAsia"/>
          <w:color w:val="auto"/>
          <w:highlight w:val="none"/>
        </w:rPr>
        <w:t>附表</w:t>
      </w:r>
      <w:r>
        <w:rPr>
          <w:color w:val="auto"/>
          <w:highlight w:val="none"/>
        </w:rPr>
        <w:t>C-9</w:t>
      </w:r>
      <w:r>
        <w:rPr>
          <w:rFonts w:hint="eastAsia"/>
          <w:color w:val="auto"/>
          <w:highlight w:val="none"/>
        </w:rPr>
        <w:t>：清标报告</w:t>
      </w:r>
      <w:r>
        <w:rPr>
          <w:color w:val="auto"/>
          <w:highlight w:val="none"/>
        </w:rPr>
        <w:t>-</w:t>
      </w:r>
      <w:r>
        <w:rPr>
          <w:rFonts w:hint="eastAsia"/>
          <w:color w:val="auto"/>
          <w:highlight w:val="none"/>
        </w:rPr>
        <w:t>分部分项工程和单价措施项目清单综合单价分析记录表</w:t>
      </w:r>
      <w:bookmarkEnd w:id="801"/>
      <w:bookmarkEnd w:id="802"/>
    </w:p>
    <w:p w14:paraId="17D718F6">
      <w:pPr>
        <w:rPr>
          <w:rFonts w:ascii="黑体" w:eastAsia="黑体"/>
          <w:color w:val="auto"/>
          <w:szCs w:val="21"/>
          <w:highlight w:val="none"/>
        </w:rPr>
      </w:pPr>
    </w:p>
    <w:p w14:paraId="4A70EC71">
      <w:pPr>
        <w:spacing w:before="120" w:beforeLines="50" w:after="120" w:afterLines="5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清标报告-分部分项工程和单价措施项目清单价格分析记录表</w:t>
      </w:r>
    </w:p>
    <w:p w14:paraId="0DA853B4">
      <w:pPr>
        <w:rPr>
          <w:rFonts w:hint="eastAsia" w:ascii="宋体" w:hAnsi="宋体"/>
          <w:color w:val="auto"/>
          <w:szCs w:val="21"/>
          <w:highlight w:val="none"/>
        </w:rPr>
      </w:pPr>
      <w:r>
        <w:rPr>
          <w:rFonts w:hint="eastAsia" w:ascii="宋体" w:hAnsi="宋体"/>
          <w:color w:val="auto"/>
          <w:szCs w:val="21"/>
          <w:highlight w:val="none"/>
        </w:rPr>
        <w:t>投标人名称：</w:t>
      </w:r>
    </w:p>
    <w:p w14:paraId="585A3038">
      <w:pPr>
        <w:rPr>
          <w:rFonts w:hint="eastAsia" w:ascii="宋体" w:hAnsi="宋体"/>
          <w:color w:val="auto"/>
          <w:szCs w:val="21"/>
          <w:highlight w:val="none"/>
        </w:rPr>
      </w:pPr>
    </w:p>
    <w:tbl>
      <w:tblPr>
        <w:tblStyle w:val="15"/>
        <w:tblW w:w="13832" w:type="dxa"/>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315"/>
        <w:gridCol w:w="1316"/>
        <w:gridCol w:w="1316"/>
        <w:gridCol w:w="1316"/>
        <w:gridCol w:w="1316"/>
        <w:gridCol w:w="1315"/>
        <w:gridCol w:w="1316"/>
        <w:gridCol w:w="1316"/>
        <w:gridCol w:w="1316"/>
        <w:gridCol w:w="1316"/>
      </w:tblGrid>
      <w:tr w14:paraId="05E21C9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305" w:type="dxa"/>
            <w:gridSpan w:val="3"/>
            <w:tcBorders>
              <w:top w:val="single" w:color="auto" w:sz="6" w:space="0"/>
              <w:left w:val="single" w:color="auto" w:sz="6" w:space="0"/>
              <w:bottom w:val="single" w:color="auto" w:sz="4" w:space="0"/>
              <w:right w:val="single" w:color="auto" w:sz="4" w:space="0"/>
            </w:tcBorders>
            <w:noWrap w:val="0"/>
            <w:vAlign w:val="center"/>
          </w:tcPr>
          <w:p w14:paraId="410CE3A1">
            <w:pPr>
              <w:jc w:val="center"/>
              <w:rPr>
                <w:color w:val="auto"/>
                <w:sz w:val="20"/>
                <w:szCs w:val="20"/>
                <w:highlight w:val="none"/>
              </w:rPr>
            </w:pPr>
            <w:r>
              <w:rPr>
                <w:rFonts w:hint="eastAsia"/>
                <w:color w:val="auto"/>
                <w:sz w:val="20"/>
                <w:szCs w:val="20"/>
                <w:highlight w:val="none"/>
              </w:rPr>
              <w:t>单位工程名称</w:t>
            </w:r>
          </w:p>
        </w:tc>
        <w:tc>
          <w:tcPr>
            <w:tcW w:w="10527" w:type="dxa"/>
            <w:gridSpan w:val="8"/>
            <w:tcBorders>
              <w:top w:val="single" w:color="auto" w:sz="6" w:space="0"/>
              <w:left w:val="single" w:color="auto" w:sz="6" w:space="0"/>
              <w:bottom w:val="single" w:color="auto" w:sz="4" w:space="0"/>
              <w:right w:val="single" w:color="auto" w:sz="6" w:space="0"/>
            </w:tcBorders>
            <w:noWrap w:val="0"/>
            <w:vAlign w:val="center"/>
          </w:tcPr>
          <w:p w14:paraId="7E60D53C">
            <w:pPr>
              <w:jc w:val="center"/>
              <w:rPr>
                <w:color w:val="auto"/>
                <w:sz w:val="20"/>
                <w:szCs w:val="20"/>
                <w:highlight w:val="none"/>
              </w:rPr>
            </w:pPr>
          </w:p>
        </w:tc>
      </w:tr>
      <w:tr w14:paraId="21EBC2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tcBorders>
              <w:top w:val="single" w:color="auto" w:sz="4" w:space="0"/>
              <w:left w:val="single" w:color="auto" w:sz="6" w:space="0"/>
              <w:bottom w:val="single" w:color="auto" w:sz="4" w:space="0"/>
              <w:right w:val="single" w:color="auto" w:sz="4" w:space="0"/>
            </w:tcBorders>
            <w:noWrap w:val="0"/>
            <w:vAlign w:val="center"/>
          </w:tcPr>
          <w:p w14:paraId="654DB4B7">
            <w:pPr>
              <w:jc w:val="center"/>
              <w:rPr>
                <w:color w:val="auto"/>
                <w:sz w:val="20"/>
                <w:szCs w:val="20"/>
                <w:highlight w:val="none"/>
              </w:rPr>
            </w:pPr>
            <w:r>
              <w:rPr>
                <w:rFonts w:hint="eastAsia"/>
                <w:color w:val="auto"/>
                <w:sz w:val="20"/>
                <w:szCs w:val="20"/>
                <w:highlight w:val="none"/>
              </w:rPr>
              <w:t>序号</w:t>
            </w: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E8F4090">
            <w:pPr>
              <w:jc w:val="center"/>
              <w:rPr>
                <w:color w:val="auto"/>
                <w:sz w:val="20"/>
                <w:szCs w:val="20"/>
                <w:highlight w:val="none"/>
              </w:rPr>
            </w:pPr>
            <w:r>
              <w:rPr>
                <w:rFonts w:hint="eastAsia"/>
                <w:color w:val="auto"/>
                <w:sz w:val="20"/>
                <w:szCs w:val="20"/>
                <w:highlight w:val="none"/>
              </w:rPr>
              <w:t>项目编码</w:t>
            </w:r>
          </w:p>
        </w:tc>
        <w:tc>
          <w:tcPr>
            <w:tcW w:w="1316" w:type="dxa"/>
            <w:tcBorders>
              <w:top w:val="single" w:color="auto" w:sz="4" w:space="0"/>
              <w:left w:val="single" w:color="auto" w:sz="6" w:space="0"/>
              <w:bottom w:val="single" w:color="auto" w:sz="4" w:space="0"/>
              <w:right w:val="single" w:color="auto" w:sz="4" w:space="0"/>
            </w:tcBorders>
            <w:noWrap w:val="0"/>
            <w:vAlign w:val="center"/>
          </w:tcPr>
          <w:p w14:paraId="411051A6">
            <w:pPr>
              <w:jc w:val="center"/>
              <w:rPr>
                <w:color w:val="auto"/>
                <w:sz w:val="20"/>
                <w:szCs w:val="20"/>
                <w:highlight w:val="none"/>
              </w:rPr>
            </w:pPr>
            <w:r>
              <w:rPr>
                <w:rFonts w:hint="eastAsia"/>
                <w:color w:val="auto"/>
                <w:sz w:val="20"/>
                <w:szCs w:val="20"/>
                <w:highlight w:val="none"/>
              </w:rPr>
              <w:t>项目名称</w:t>
            </w:r>
          </w:p>
        </w:tc>
        <w:tc>
          <w:tcPr>
            <w:tcW w:w="1316" w:type="dxa"/>
            <w:tcBorders>
              <w:top w:val="single" w:color="auto" w:sz="4" w:space="0"/>
              <w:left w:val="single" w:color="auto" w:sz="6" w:space="0"/>
              <w:bottom w:val="single" w:color="auto" w:sz="4" w:space="0"/>
              <w:right w:val="single" w:color="auto" w:sz="6" w:space="0"/>
            </w:tcBorders>
            <w:noWrap w:val="0"/>
            <w:vAlign w:val="center"/>
          </w:tcPr>
          <w:p w14:paraId="2806F7AA">
            <w:pPr>
              <w:jc w:val="center"/>
              <w:rPr>
                <w:color w:val="auto"/>
                <w:sz w:val="20"/>
                <w:szCs w:val="20"/>
                <w:highlight w:val="none"/>
              </w:rPr>
            </w:pPr>
            <w:r>
              <w:rPr>
                <w:rFonts w:hint="eastAsia"/>
                <w:color w:val="auto"/>
                <w:sz w:val="20"/>
                <w:szCs w:val="20"/>
                <w:highlight w:val="none"/>
              </w:rPr>
              <w:t>综合单价</w:t>
            </w:r>
          </w:p>
        </w:tc>
        <w:tc>
          <w:tcPr>
            <w:tcW w:w="1316" w:type="dxa"/>
            <w:tcBorders>
              <w:top w:val="single" w:color="auto" w:sz="4" w:space="0"/>
              <w:left w:val="single" w:color="auto" w:sz="6" w:space="0"/>
              <w:bottom w:val="single" w:color="auto" w:sz="4" w:space="0"/>
              <w:right w:val="single" w:color="auto" w:sz="4" w:space="0"/>
            </w:tcBorders>
            <w:noWrap w:val="0"/>
            <w:vAlign w:val="center"/>
          </w:tcPr>
          <w:p w14:paraId="78DBCB67">
            <w:pPr>
              <w:jc w:val="center"/>
              <w:rPr>
                <w:color w:val="auto"/>
                <w:sz w:val="20"/>
                <w:szCs w:val="20"/>
                <w:highlight w:val="none"/>
              </w:rPr>
            </w:pPr>
            <w:r>
              <w:rPr>
                <w:rFonts w:hint="eastAsia"/>
                <w:color w:val="auto"/>
                <w:sz w:val="20"/>
                <w:szCs w:val="20"/>
                <w:highlight w:val="none"/>
              </w:rPr>
              <w:t>招标控制价</w:t>
            </w:r>
          </w:p>
          <w:p w14:paraId="16BF8BEF">
            <w:pPr>
              <w:jc w:val="center"/>
              <w:rPr>
                <w:color w:val="auto"/>
                <w:sz w:val="20"/>
                <w:szCs w:val="20"/>
                <w:highlight w:val="none"/>
              </w:rPr>
            </w:pPr>
            <w:r>
              <w:rPr>
                <w:rFonts w:hint="eastAsia"/>
                <w:color w:val="auto"/>
                <w:sz w:val="20"/>
                <w:szCs w:val="20"/>
                <w:highlight w:val="none"/>
              </w:rPr>
              <w:t>的综合单价</w:t>
            </w:r>
          </w:p>
        </w:tc>
        <w:tc>
          <w:tcPr>
            <w:tcW w:w="1316" w:type="dxa"/>
            <w:tcBorders>
              <w:top w:val="single" w:color="auto" w:sz="4" w:space="0"/>
              <w:left w:val="single" w:color="auto" w:sz="4" w:space="0"/>
              <w:bottom w:val="single" w:color="auto" w:sz="4" w:space="0"/>
              <w:right w:val="single" w:color="auto" w:sz="4" w:space="0"/>
            </w:tcBorders>
            <w:noWrap w:val="0"/>
            <w:vAlign w:val="center"/>
          </w:tcPr>
          <w:p w14:paraId="28013A5A">
            <w:pPr>
              <w:jc w:val="center"/>
              <w:rPr>
                <w:color w:val="auto"/>
                <w:sz w:val="20"/>
                <w:szCs w:val="20"/>
                <w:highlight w:val="none"/>
              </w:rPr>
            </w:pPr>
            <w:r>
              <w:rPr>
                <w:rFonts w:hint="eastAsia"/>
                <w:color w:val="auto"/>
                <w:sz w:val="20"/>
                <w:szCs w:val="20"/>
                <w:highlight w:val="none"/>
              </w:rPr>
              <w:t>综合单价</w:t>
            </w:r>
          </w:p>
          <w:p w14:paraId="5252D36D">
            <w:pPr>
              <w:jc w:val="center"/>
              <w:rPr>
                <w:color w:val="auto"/>
                <w:sz w:val="20"/>
                <w:szCs w:val="20"/>
                <w:highlight w:val="none"/>
              </w:rPr>
            </w:pPr>
            <w:r>
              <w:rPr>
                <w:rFonts w:hint="eastAsia"/>
                <w:color w:val="auto"/>
                <w:sz w:val="20"/>
                <w:szCs w:val="20"/>
                <w:highlight w:val="none"/>
              </w:rPr>
              <w:t>偏离幅度</w:t>
            </w:r>
          </w:p>
        </w:tc>
        <w:tc>
          <w:tcPr>
            <w:tcW w:w="1315" w:type="dxa"/>
            <w:tcBorders>
              <w:top w:val="single" w:color="auto" w:sz="4" w:space="0"/>
              <w:left w:val="single" w:color="auto" w:sz="4" w:space="0"/>
              <w:bottom w:val="single" w:color="auto" w:sz="4" w:space="0"/>
              <w:right w:val="single" w:color="auto" w:sz="4" w:space="0"/>
            </w:tcBorders>
            <w:noWrap w:val="0"/>
            <w:vAlign w:val="center"/>
          </w:tcPr>
          <w:p w14:paraId="12222BA8">
            <w:pPr>
              <w:jc w:val="center"/>
              <w:rPr>
                <w:color w:val="auto"/>
                <w:sz w:val="20"/>
                <w:szCs w:val="20"/>
                <w:highlight w:val="none"/>
              </w:rPr>
            </w:pPr>
            <w:r>
              <w:rPr>
                <w:rFonts w:hint="eastAsia"/>
                <w:color w:val="auto"/>
                <w:sz w:val="20"/>
                <w:szCs w:val="20"/>
                <w:highlight w:val="none"/>
              </w:rPr>
              <w:t>主要材料</w:t>
            </w:r>
          </w:p>
          <w:p w14:paraId="4D8A2A83">
            <w:pPr>
              <w:jc w:val="center"/>
              <w:rPr>
                <w:color w:val="auto"/>
                <w:sz w:val="20"/>
                <w:szCs w:val="20"/>
                <w:highlight w:val="none"/>
              </w:rPr>
            </w:pPr>
            <w:r>
              <w:rPr>
                <w:rFonts w:hint="eastAsia"/>
                <w:color w:val="auto"/>
                <w:sz w:val="20"/>
                <w:szCs w:val="20"/>
                <w:highlight w:val="none"/>
              </w:rPr>
              <w:t>价格</w:t>
            </w:r>
          </w:p>
        </w:tc>
        <w:tc>
          <w:tcPr>
            <w:tcW w:w="1316" w:type="dxa"/>
            <w:tcBorders>
              <w:top w:val="single" w:color="auto" w:sz="4" w:space="0"/>
              <w:left w:val="single" w:color="auto" w:sz="4" w:space="0"/>
              <w:bottom w:val="single" w:color="auto" w:sz="4" w:space="0"/>
              <w:right w:val="single" w:color="auto" w:sz="4" w:space="0"/>
            </w:tcBorders>
            <w:noWrap w:val="0"/>
            <w:vAlign w:val="center"/>
          </w:tcPr>
          <w:p w14:paraId="21A50CC1">
            <w:pPr>
              <w:jc w:val="center"/>
              <w:rPr>
                <w:color w:val="auto"/>
                <w:sz w:val="20"/>
                <w:szCs w:val="20"/>
                <w:highlight w:val="none"/>
              </w:rPr>
            </w:pPr>
            <w:r>
              <w:rPr>
                <w:rFonts w:hint="eastAsia"/>
                <w:color w:val="auto"/>
                <w:sz w:val="20"/>
                <w:szCs w:val="20"/>
                <w:highlight w:val="none"/>
              </w:rPr>
              <w:t>招标控制价的主要材料价格</w:t>
            </w:r>
          </w:p>
        </w:tc>
        <w:tc>
          <w:tcPr>
            <w:tcW w:w="1316" w:type="dxa"/>
            <w:tcBorders>
              <w:top w:val="single" w:color="auto" w:sz="4" w:space="0"/>
              <w:left w:val="single" w:color="auto" w:sz="4" w:space="0"/>
              <w:bottom w:val="single" w:color="auto" w:sz="4" w:space="0"/>
              <w:right w:val="single" w:color="auto" w:sz="4" w:space="0"/>
            </w:tcBorders>
            <w:noWrap w:val="0"/>
            <w:vAlign w:val="center"/>
          </w:tcPr>
          <w:p w14:paraId="17CF4CF5">
            <w:pPr>
              <w:jc w:val="center"/>
              <w:rPr>
                <w:color w:val="auto"/>
                <w:sz w:val="20"/>
                <w:szCs w:val="20"/>
                <w:highlight w:val="none"/>
              </w:rPr>
            </w:pPr>
            <w:r>
              <w:rPr>
                <w:rFonts w:hint="eastAsia"/>
                <w:color w:val="auto"/>
                <w:sz w:val="20"/>
                <w:szCs w:val="20"/>
                <w:highlight w:val="none"/>
              </w:rPr>
              <w:t>主要材料价格偏离幅度</w:t>
            </w:r>
          </w:p>
        </w:tc>
        <w:tc>
          <w:tcPr>
            <w:tcW w:w="1316" w:type="dxa"/>
            <w:tcBorders>
              <w:top w:val="single" w:color="auto" w:sz="4" w:space="0"/>
              <w:left w:val="single" w:color="auto" w:sz="4" w:space="0"/>
              <w:bottom w:val="single" w:color="auto" w:sz="4" w:space="0"/>
              <w:right w:val="single" w:color="auto" w:sz="6" w:space="0"/>
            </w:tcBorders>
            <w:noWrap w:val="0"/>
            <w:vAlign w:val="center"/>
          </w:tcPr>
          <w:p w14:paraId="42C6249A">
            <w:pPr>
              <w:jc w:val="center"/>
              <w:rPr>
                <w:color w:val="auto"/>
                <w:sz w:val="20"/>
                <w:szCs w:val="20"/>
                <w:highlight w:val="none"/>
              </w:rPr>
            </w:pPr>
            <w:r>
              <w:rPr>
                <w:rFonts w:hint="eastAsia"/>
                <w:color w:val="auto"/>
                <w:sz w:val="20"/>
                <w:szCs w:val="20"/>
                <w:highlight w:val="none"/>
              </w:rPr>
              <w:t>管理费</w:t>
            </w:r>
          </w:p>
          <w:p w14:paraId="760DC519">
            <w:pPr>
              <w:jc w:val="center"/>
              <w:rPr>
                <w:color w:val="auto"/>
                <w:sz w:val="20"/>
                <w:szCs w:val="20"/>
                <w:highlight w:val="none"/>
              </w:rPr>
            </w:pPr>
            <w:r>
              <w:rPr>
                <w:rFonts w:hint="eastAsia"/>
                <w:color w:val="auto"/>
                <w:sz w:val="20"/>
                <w:szCs w:val="20"/>
                <w:highlight w:val="none"/>
              </w:rPr>
              <w:t>和利润</w:t>
            </w:r>
          </w:p>
        </w:tc>
        <w:tc>
          <w:tcPr>
            <w:tcW w:w="1316" w:type="dxa"/>
            <w:tcBorders>
              <w:top w:val="single" w:color="auto" w:sz="4" w:space="0"/>
              <w:left w:val="single" w:color="auto" w:sz="6" w:space="0"/>
              <w:bottom w:val="single" w:color="auto" w:sz="4" w:space="0"/>
              <w:right w:val="single" w:color="auto" w:sz="6" w:space="0"/>
            </w:tcBorders>
            <w:noWrap w:val="0"/>
            <w:vAlign w:val="center"/>
          </w:tcPr>
          <w:p w14:paraId="2FA944CA">
            <w:pPr>
              <w:jc w:val="center"/>
              <w:rPr>
                <w:color w:val="auto"/>
                <w:sz w:val="20"/>
                <w:szCs w:val="20"/>
                <w:highlight w:val="none"/>
              </w:rPr>
            </w:pPr>
            <w:r>
              <w:rPr>
                <w:rFonts w:hint="eastAsia"/>
                <w:color w:val="auto"/>
                <w:sz w:val="20"/>
                <w:szCs w:val="20"/>
                <w:highlight w:val="none"/>
              </w:rPr>
              <w:t>材料消耗量</w:t>
            </w:r>
          </w:p>
        </w:tc>
      </w:tr>
      <w:tr w14:paraId="04C706E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tcBorders>
              <w:top w:val="single" w:color="auto" w:sz="4" w:space="0"/>
              <w:left w:val="single" w:color="auto" w:sz="6" w:space="0"/>
              <w:bottom w:val="single" w:color="auto" w:sz="4" w:space="0"/>
              <w:right w:val="single" w:color="auto" w:sz="4" w:space="0"/>
            </w:tcBorders>
            <w:noWrap w:val="0"/>
            <w:vAlign w:val="center"/>
          </w:tcPr>
          <w:p w14:paraId="2F6B6324">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23A0DFF8">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4C62B9E6">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69DCF7EE">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69F8C33D">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6E14DA44">
            <w:pPr>
              <w:jc w:val="center"/>
              <w:rPr>
                <w:color w:val="auto"/>
                <w:szCs w:val="21"/>
                <w:highlight w:val="none"/>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3348F057">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1542CA6B">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0735A9CA">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6" w:space="0"/>
            </w:tcBorders>
            <w:noWrap w:val="0"/>
            <w:vAlign w:val="center"/>
          </w:tcPr>
          <w:p w14:paraId="1EDDFE20">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22430DEC">
            <w:pPr>
              <w:jc w:val="center"/>
              <w:rPr>
                <w:color w:val="auto"/>
                <w:szCs w:val="21"/>
                <w:highlight w:val="none"/>
              </w:rPr>
            </w:pPr>
          </w:p>
        </w:tc>
      </w:tr>
      <w:tr w14:paraId="7206DB7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tcBorders>
              <w:top w:val="single" w:color="auto" w:sz="4" w:space="0"/>
              <w:left w:val="single" w:color="auto" w:sz="6" w:space="0"/>
              <w:bottom w:val="single" w:color="auto" w:sz="4" w:space="0"/>
              <w:right w:val="single" w:color="auto" w:sz="4" w:space="0"/>
            </w:tcBorders>
            <w:noWrap w:val="0"/>
            <w:vAlign w:val="center"/>
          </w:tcPr>
          <w:p w14:paraId="4B187B7D">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34E13737">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547B1C65">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51737141">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5DA7C866">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6A475F9D">
            <w:pPr>
              <w:jc w:val="center"/>
              <w:rPr>
                <w:color w:val="auto"/>
                <w:szCs w:val="21"/>
                <w:highlight w:val="none"/>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112EA69A">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223DFD3D">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37D36F67">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6" w:space="0"/>
            </w:tcBorders>
            <w:noWrap w:val="0"/>
            <w:vAlign w:val="center"/>
          </w:tcPr>
          <w:p w14:paraId="1ED219A2">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40D91CC9">
            <w:pPr>
              <w:jc w:val="center"/>
              <w:rPr>
                <w:color w:val="auto"/>
                <w:szCs w:val="21"/>
                <w:highlight w:val="none"/>
              </w:rPr>
            </w:pPr>
          </w:p>
        </w:tc>
      </w:tr>
      <w:tr w14:paraId="290AA4C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tcBorders>
              <w:top w:val="single" w:color="auto" w:sz="4" w:space="0"/>
              <w:left w:val="single" w:color="auto" w:sz="6" w:space="0"/>
              <w:bottom w:val="single" w:color="auto" w:sz="4" w:space="0"/>
              <w:right w:val="single" w:color="auto" w:sz="4" w:space="0"/>
            </w:tcBorders>
            <w:noWrap w:val="0"/>
            <w:vAlign w:val="center"/>
          </w:tcPr>
          <w:p w14:paraId="4FEEA632">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24023567">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14F58DA8">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2410C069">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6FA255FD">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0039A2A3">
            <w:pPr>
              <w:jc w:val="center"/>
              <w:rPr>
                <w:color w:val="auto"/>
                <w:szCs w:val="21"/>
                <w:highlight w:val="none"/>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2CF1367E">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1C4FF79C">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3A1E2556">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6" w:space="0"/>
            </w:tcBorders>
            <w:noWrap w:val="0"/>
            <w:vAlign w:val="center"/>
          </w:tcPr>
          <w:p w14:paraId="49DD6B09">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6C7F7C7E">
            <w:pPr>
              <w:jc w:val="center"/>
              <w:rPr>
                <w:color w:val="auto"/>
                <w:szCs w:val="21"/>
                <w:highlight w:val="none"/>
              </w:rPr>
            </w:pPr>
          </w:p>
        </w:tc>
      </w:tr>
      <w:tr w14:paraId="7C436E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tcBorders>
              <w:top w:val="single" w:color="auto" w:sz="4" w:space="0"/>
              <w:left w:val="single" w:color="auto" w:sz="6" w:space="0"/>
              <w:bottom w:val="single" w:color="auto" w:sz="4" w:space="0"/>
              <w:right w:val="single" w:color="auto" w:sz="4" w:space="0"/>
            </w:tcBorders>
            <w:noWrap w:val="0"/>
            <w:vAlign w:val="center"/>
          </w:tcPr>
          <w:p w14:paraId="35FF08E0">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0FA56C18">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08B561EC">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79BA3360">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68B10357">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48494AF8">
            <w:pPr>
              <w:jc w:val="center"/>
              <w:rPr>
                <w:color w:val="auto"/>
                <w:szCs w:val="21"/>
                <w:highlight w:val="none"/>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4D7D24C0">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2114280F">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24B6D04A">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6" w:space="0"/>
            </w:tcBorders>
            <w:noWrap w:val="0"/>
            <w:vAlign w:val="center"/>
          </w:tcPr>
          <w:p w14:paraId="65FFD127">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121CC647">
            <w:pPr>
              <w:jc w:val="center"/>
              <w:rPr>
                <w:color w:val="auto"/>
                <w:szCs w:val="21"/>
                <w:highlight w:val="none"/>
              </w:rPr>
            </w:pPr>
          </w:p>
        </w:tc>
      </w:tr>
      <w:tr w14:paraId="5D3F415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tcBorders>
              <w:top w:val="single" w:color="auto" w:sz="4" w:space="0"/>
              <w:left w:val="single" w:color="auto" w:sz="6" w:space="0"/>
              <w:bottom w:val="single" w:color="auto" w:sz="4" w:space="0"/>
              <w:right w:val="single" w:color="auto" w:sz="4" w:space="0"/>
            </w:tcBorders>
            <w:noWrap w:val="0"/>
            <w:vAlign w:val="center"/>
          </w:tcPr>
          <w:p w14:paraId="4975600D">
            <w:pPr>
              <w:jc w:val="center"/>
              <w:rPr>
                <w:rFonts w:ascii="黑体" w:eastAsia="黑体"/>
                <w:color w:val="auto"/>
                <w:szCs w:val="21"/>
                <w:highlight w:val="none"/>
              </w:rPr>
            </w:pPr>
          </w:p>
        </w:tc>
        <w:tc>
          <w:tcPr>
            <w:tcW w:w="1315" w:type="dxa"/>
            <w:tcBorders>
              <w:top w:val="single" w:color="auto" w:sz="4" w:space="0"/>
              <w:left w:val="single" w:color="auto" w:sz="4" w:space="0"/>
              <w:bottom w:val="single" w:color="auto" w:sz="4" w:space="0"/>
              <w:right w:val="single" w:color="auto" w:sz="6" w:space="0"/>
            </w:tcBorders>
            <w:noWrap w:val="0"/>
            <w:vAlign w:val="center"/>
          </w:tcPr>
          <w:p w14:paraId="65DC3E2A">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5D348876">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0753D6ED">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4" w:space="0"/>
            </w:tcBorders>
            <w:noWrap w:val="0"/>
            <w:vAlign w:val="center"/>
          </w:tcPr>
          <w:p w14:paraId="4A9DE344">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5A708DD8">
            <w:pPr>
              <w:jc w:val="center"/>
              <w:rPr>
                <w:color w:val="auto"/>
                <w:szCs w:val="21"/>
                <w:highlight w:val="none"/>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3548787E">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02898B5D">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center"/>
          </w:tcPr>
          <w:p w14:paraId="7E172A57">
            <w:pPr>
              <w:jc w:val="center"/>
              <w:rPr>
                <w:color w:val="auto"/>
                <w:szCs w:val="21"/>
                <w:highlight w:val="none"/>
              </w:rPr>
            </w:pPr>
          </w:p>
        </w:tc>
        <w:tc>
          <w:tcPr>
            <w:tcW w:w="1316" w:type="dxa"/>
            <w:tcBorders>
              <w:top w:val="single" w:color="auto" w:sz="4" w:space="0"/>
              <w:left w:val="single" w:color="auto" w:sz="4" w:space="0"/>
              <w:bottom w:val="single" w:color="auto" w:sz="4" w:space="0"/>
              <w:right w:val="single" w:color="auto" w:sz="6" w:space="0"/>
            </w:tcBorders>
            <w:noWrap w:val="0"/>
            <w:vAlign w:val="center"/>
          </w:tcPr>
          <w:p w14:paraId="4D6AC0A5">
            <w:pPr>
              <w:jc w:val="center"/>
              <w:rPr>
                <w:color w:val="auto"/>
                <w:szCs w:val="21"/>
                <w:highlight w:val="none"/>
              </w:rPr>
            </w:pPr>
          </w:p>
        </w:tc>
        <w:tc>
          <w:tcPr>
            <w:tcW w:w="1316" w:type="dxa"/>
            <w:tcBorders>
              <w:top w:val="single" w:color="auto" w:sz="4" w:space="0"/>
              <w:left w:val="single" w:color="auto" w:sz="6" w:space="0"/>
              <w:bottom w:val="single" w:color="auto" w:sz="4" w:space="0"/>
              <w:right w:val="single" w:color="auto" w:sz="6" w:space="0"/>
            </w:tcBorders>
            <w:noWrap w:val="0"/>
            <w:vAlign w:val="center"/>
          </w:tcPr>
          <w:p w14:paraId="60DB8400">
            <w:pPr>
              <w:jc w:val="center"/>
              <w:rPr>
                <w:color w:val="auto"/>
                <w:szCs w:val="21"/>
                <w:highlight w:val="none"/>
              </w:rPr>
            </w:pPr>
          </w:p>
        </w:tc>
      </w:tr>
      <w:tr w14:paraId="1E3B3B4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305" w:type="dxa"/>
            <w:gridSpan w:val="3"/>
            <w:tcBorders>
              <w:top w:val="single" w:color="auto" w:sz="4" w:space="0"/>
              <w:left w:val="single" w:color="auto" w:sz="6" w:space="0"/>
              <w:bottom w:val="single" w:color="auto" w:sz="6" w:space="0"/>
              <w:right w:val="single" w:color="auto" w:sz="4" w:space="0"/>
            </w:tcBorders>
            <w:noWrap w:val="0"/>
            <w:vAlign w:val="center"/>
          </w:tcPr>
          <w:p w14:paraId="1778FC77">
            <w:pPr>
              <w:jc w:val="center"/>
              <w:rPr>
                <w:color w:val="auto"/>
                <w:szCs w:val="21"/>
                <w:highlight w:val="none"/>
              </w:rPr>
            </w:pPr>
            <w:r>
              <w:rPr>
                <w:rFonts w:hint="eastAsia"/>
                <w:color w:val="auto"/>
                <w:sz w:val="20"/>
                <w:szCs w:val="20"/>
                <w:highlight w:val="none"/>
              </w:rPr>
              <w:t>偏离的项数合计</w:t>
            </w:r>
          </w:p>
        </w:tc>
        <w:tc>
          <w:tcPr>
            <w:tcW w:w="1316" w:type="dxa"/>
            <w:tcBorders>
              <w:top w:val="single" w:color="auto" w:sz="4" w:space="0"/>
              <w:left w:val="single" w:color="auto" w:sz="6" w:space="0"/>
              <w:bottom w:val="single" w:color="auto" w:sz="6" w:space="0"/>
              <w:right w:val="single" w:color="auto" w:sz="6" w:space="0"/>
            </w:tcBorders>
            <w:noWrap w:val="0"/>
            <w:vAlign w:val="center"/>
          </w:tcPr>
          <w:p w14:paraId="5849F353">
            <w:pPr>
              <w:jc w:val="center"/>
              <w:rPr>
                <w:color w:val="auto"/>
                <w:szCs w:val="21"/>
                <w:highlight w:val="none"/>
              </w:rPr>
            </w:pPr>
            <w:r>
              <w:rPr>
                <w:rFonts w:hint="eastAsia"/>
                <w:color w:val="auto"/>
                <w:szCs w:val="21"/>
                <w:highlight w:val="none"/>
              </w:rPr>
              <w:t>－</w:t>
            </w:r>
          </w:p>
        </w:tc>
        <w:tc>
          <w:tcPr>
            <w:tcW w:w="1316" w:type="dxa"/>
            <w:tcBorders>
              <w:top w:val="single" w:color="auto" w:sz="4" w:space="0"/>
              <w:left w:val="single" w:color="auto" w:sz="6" w:space="0"/>
              <w:bottom w:val="single" w:color="auto" w:sz="6" w:space="0"/>
              <w:right w:val="single" w:color="auto" w:sz="4" w:space="0"/>
            </w:tcBorders>
            <w:noWrap w:val="0"/>
            <w:vAlign w:val="center"/>
          </w:tcPr>
          <w:p w14:paraId="31A5A90D">
            <w:pPr>
              <w:jc w:val="center"/>
              <w:rPr>
                <w:color w:val="auto"/>
                <w:szCs w:val="21"/>
                <w:highlight w:val="none"/>
              </w:rPr>
            </w:pPr>
            <w:r>
              <w:rPr>
                <w:rFonts w:hint="eastAsia"/>
                <w:color w:val="auto"/>
                <w:szCs w:val="21"/>
                <w:highlight w:val="none"/>
              </w:rPr>
              <w:t>－</w:t>
            </w:r>
          </w:p>
        </w:tc>
        <w:tc>
          <w:tcPr>
            <w:tcW w:w="1316" w:type="dxa"/>
            <w:tcBorders>
              <w:top w:val="single" w:color="auto" w:sz="4" w:space="0"/>
              <w:left w:val="single" w:color="auto" w:sz="4" w:space="0"/>
              <w:bottom w:val="single" w:color="auto" w:sz="6" w:space="0"/>
              <w:right w:val="single" w:color="auto" w:sz="4" w:space="0"/>
            </w:tcBorders>
            <w:noWrap w:val="0"/>
            <w:vAlign w:val="center"/>
          </w:tcPr>
          <w:p w14:paraId="1BDFCD2F">
            <w:pPr>
              <w:jc w:val="center"/>
              <w:rPr>
                <w:color w:val="auto"/>
                <w:szCs w:val="21"/>
                <w:highlight w:val="none"/>
              </w:rPr>
            </w:pPr>
          </w:p>
        </w:tc>
        <w:tc>
          <w:tcPr>
            <w:tcW w:w="1315" w:type="dxa"/>
            <w:tcBorders>
              <w:top w:val="single" w:color="auto" w:sz="4" w:space="0"/>
              <w:left w:val="single" w:color="auto" w:sz="4" w:space="0"/>
              <w:bottom w:val="single" w:color="auto" w:sz="6" w:space="0"/>
              <w:right w:val="single" w:color="auto" w:sz="4" w:space="0"/>
            </w:tcBorders>
            <w:noWrap w:val="0"/>
            <w:vAlign w:val="center"/>
          </w:tcPr>
          <w:p w14:paraId="3B792F2C">
            <w:pPr>
              <w:jc w:val="center"/>
              <w:rPr>
                <w:color w:val="auto"/>
                <w:szCs w:val="21"/>
                <w:highlight w:val="none"/>
              </w:rPr>
            </w:pPr>
          </w:p>
        </w:tc>
        <w:tc>
          <w:tcPr>
            <w:tcW w:w="1316" w:type="dxa"/>
            <w:tcBorders>
              <w:top w:val="single" w:color="auto" w:sz="4" w:space="0"/>
              <w:left w:val="single" w:color="auto" w:sz="4" w:space="0"/>
              <w:bottom w:val="single" w:color="auto" w:sz="6" w:space="0"/>
              <w:right w:val="single" w:color="auto" w:sz="4" w:space="0"/>
            </w:tcBorders>
            <w:noWrap w:val="0"/>
            <w:vAlign w:val="center"/>
          </w:tcPr>
          <w:p w14:paraId="549FE6A9">
            <w:pPr>
              <w:jc w:val="center"/>
              <w:rPr>
                <w:color w:val="auto"/>
                <w:szCs w:val="21"/>
                <w:highlight w:val="none"/>
              </w:rPr>
            </w:pPr>
          </w:p>
        </w:tc>
        <w:tc>
          <w:tcPr>
            <w:tcW w:w="1316" w:type="dxa"/>
            <w:tcBorders>
              <w:top w:val="single" w:color="auto" w:sz="4" w:space="0"/>
              <w:left w:val="single" w:color="auto" w:sz="4" w:space="0"/>
              <w:bottom w:val="single" w:color="auto" w:sz="6" w:space="0"/>
              <w:right w:val="single" w:color="auto" w:sz="4" w:space="0"/>
            </w:tcBorders>
            <w:noWrap w:val="0"/>
            <w:vAlign w:val="center"/>
          </w:tcPr>
          <w:p w14:paraId="5032224D">
            <w:pPr>
              <w:jc w:val="center"/>
              <w:rPr>
                <w:color w:val="auto"/>
                <w:szCs w:val="21"/>
                <w:highlight w:val="none"/>
              </w:rPr>
            </w:pPr>
          </w:p>
        </w:tc>
        <w:tc>
          <w:tcPr>
            <w:tcW w:w="1316" w:type="dxa"/>
            <w:tcBorders>
              <w:top w:val="single" w:color="auto" w:sz="4" w:space="0"/>
              <w:left w:val="single" w:color="auto" w:sz="4" w:space="0"/>
              <w:bottom w:val="single" w:color="auto" w:sz="6" w:space="0"/>
              <w:right w:val="single" w:color="auto" w:sz="6" w:space="0"/>
            </w:tcBorders>
            <w:noWrap w:val="0"/>
            <w:vAlign w:val="center"/>
          </w:tcPr>
          <w:p w14:paraId="3A973AB0">
            <w:pPr>
              <w:jc w:val="center"/>
              <w:rPr>
                <w:color w:val="auto"/>
                <w:szCs w:val="21"/>
                <w:highlight w:val="none"/>
              </w:rPr>
            </w:pPr>
          </w:p>
        </w:tc>
        <w:tc>
          <w:tcPr>
            <w:tcW w:w="1316" w:type="dxa"/>
            <w:tcBorders>
              <w:top w:val="single" w:color="auto" w:sz="4" w:space="0"/>
              <w:left w:val="single" w:color="auto" w:sz="6" w:space="0"/>
              <w:bottom w:val="single" w:color="auto" w:sz="6" w:space="0"/>
              <w:right w:val="single" w:color="auto" w:sz="6" w:space="0"/>
            </w:tcBorders>
            <w:noWrap w:val="0"/>
            <w:vAlign w:val="center"/>
          </w:tcPr>
          <w:p w14:paraId="5DD53B4D">
            <w:pPr>
              <w:jc w:val="center"/>
              <w:rPr>
                <w:color w:val="auto"/>
                <w:szCs w:val="21"/>
                <w:highlight w:val="none"/>
              </w:rPr>
            </w:pPr>
          </w:p>
        </w:tc>
      </w:tr>
    </w:tbl>
    <w:p w14:paraId="67834913">
      <w:pPr>
        <w:spacing w:before="480" w:beforeLines="200"/>
        <w:rPr>
          <w:rFonts w:hint="eastAsia" w:ascii="宋体" w:hAnsi="宋体"/>
          <w:color w:val="auto"/>
          <w:szCs w:val="21"/>
          <w:highlight w:val="none"/>
        </w:rPr>
      </w:pPr>
      <w:r>
        <w:rPr>
          <w:rFonts w:hint="eastAsia" w:ascii="宋体" w:hAnsi="宋体"/>
          <w:color w:val="auto"/>
          <w:szCs w:val="21"/>
          <w:highlight w:val="none"/>
        </w:rPr>
        <w:t>评标委员会成员签名：                                                                                  日期：     年     月     日</w:t>
      </w:r>
    </w:p>
    <w:p w14:paraId="16590DA4">
      <w:pPr>
        <w:rPr>
          <w:rFonts w:hint="eastAsia" w:ascii="黑体" w:hAnsi="Times New Roman" w:eastAsia="黑体"/>
          <w:color w:val="auto"/>
          <w:szCs w:val="21"/>
          <w:highlight w:val="none"/>
        </w:rPr>
      </w:pPr>
    </w:p>
    <w:p w14:paraId="6EDF8028">
      <w:pPr>
        <w:rPr>
          <w:rFonts w:hint="eastAsia" w:ascii="黑体" w:eastAsia="黑体"/>
          <w:color w:val="auto"/>
          <w:szCs w:val="21"/>
          <w:highlight w:val="none"/>
        </w:rPr>
      </w:pPr>
    </w:p>
    <w:p w14:paraId="2DB561D4">
      <w:pPr>
        <w:ind w:left="420" w:hanging="420" w:hangingChars="200"/>
        <w:rPr>
          <w:rFonts w:hint="eastAsia" w:ascii="Times New Roman"/>
          <w:color w:val="auto"/>
          <w:sz w:val="20"/>
          <w:szCs w:val="20"/>
          <w:highlight w:val="none"/>
        </w:rPr>
      </w:pPr>
      <w:r>
        <w:rPr>
          <w:rFonts w:hint="eastAsia" w:ascii="宋体" w:hAnsi="宋体"/>
          <w:color w:val="auto"/>
          <w:szCs w:val="21"/>
          <w:highlight w:val="none"/>
        </w:rPr>
        <w:t>注：“综合单价偏离幅度”、“ 主要材料价格偏离幅度”、“ 管理费和利润”、“材料消耗量”指标用于在投标人投标总报价低于招标控制价一定幅度，评标委员会启</w:t>
      </w:r>
      <w:r>
        <w:rPr>
          <w:rFonts w:hint="eastAsia"/>
          <w:color w:val="auto"/>
          <w:szCs w:val="21"/>
          <w:highlight w:val="none"/>
        </w:rPr>
        <w:t>动成本评审工作时，要求投标人进行澄清和说明并提交有关证明材料的依据</w:t>
      </w:r>
      <w:r>
        <w:rPr>
          <w:rFonts w:hint="eastAsia"/>
          <w:color w:val="auto"/>
          <w:sz w:val="20"/>
          <w:szCs w:val="20"/>
          <w:highlight w:val="none"/>
        </w:rPr>
        <w:t>。</w:t>
      </w:r>
    </w:p>
    <w:p w14:paraId="24EA053E">
      <w:pPr>
        <w:widowControl/>
        <w:jc w:val="left"/>
        <w:rPr>
          <w:rFonts w:ascii="黑体" w:eastAsia="黑体"/>
          <w:color w:val="auto"/>
          <w:szCs w:val="21"/>
          <w:highlight w:val="none"/>
        </w:rPr>
        <w:sectPr>
          <w:pgSz w:w="16840" w:h="11907" w:orient="landscape"/>
          <w:pgMar w:top="1531" w:right="1588" w:bottom="1474" w:left="1701" w:header="851" w:footer="851" w:gutter="0"/>
          <w:pgNumType w:fmt="decimal"/>
          <w:cols w:space="720" w:num="1"/>
        </w:sectPr>
      </w:pPr>
    </w:p>
    <w:p w14:paraId="36FC0401">
      <w:pPr>
        <w:pStyle w:val="33"/>
        <w:rPr>
          <w:color w:val="auto"/>
          <w:highlight w:val="none"/>
        </w:rPr>
      </w:pPr>
      <w:bookmarkStart w:id="803" w:name="_Toc3557"/>
      <w:bookmarkStart w:id="804" w:name="_Toc28531861"/>
      <w:r>
        <w:rPr>
          <w:rFonts w:hint="eastAsia"/>
          <w:color w:val="auto"/>
          <w:highlight w:val="none"/>
        </w:rPr>
        <w:t>附表</w:t>
      </w:r>
      <w:r>
        <w:rPr>
          <w:color w:val="auto"/>
          <w:highlight w:val="none"/>
        </w:rPr>
        <w:t>C-10</w:t>
      </w:r>
      <w:r>
        <w:rPr>
          <w:rFonts w:hint="eastAsia"/>
          <w:color w:val="auto"/>
          <w:highlight w:val="none"/>
        </w:rPr>
        <w:t>：清标报告</w:t>
      </w:r>
      <w:r>
        <w:rPr>
          <w:color w:val="auto"/>
          <w:highlight w:val="none"/>
        </w:rPr>
        <w:t>-</w:t>
      </w:r>
      <w:r>
        <w:rPr>
          <w:rFonts w:hint="eastAsia"/>
          <w:color w:val="auto"/>
          <w:highlight w:val="none"/>
        </w:rPr>
        <w:t>总价措施项目清单价格分析记录表</w:t>
      </w:r>
      <w:bookmarkEnd w:id="803"/>
      <w:bookmarkEnd w:id="804"/>
    </w:p>
    <w:p w14:paraId="4DB2A09D">
      <w:pPr>
        <w:spacing w:before="120" w:beforeLines="50" w:after="120" w:afterLines="50"/>
        <w:jc w:val="center"/>
        <w:rPr>
          <w:rFonts w:ascii="黑体" w:eastAsia="黑体"/>
          <w:color w:val="auto"/>
          <w:sz w:val="32"/>
          <w:szCs w:val="32"/>
          <w:highlight w:val="none"/>
        </w:rPr>
      </w:pPr>
    </w:p>
    <w:p w14:paraId="19748E5B">
      <w:pPr>
        <w:spacing w:before="120" w:beforeLines="50" w:after="120" w:afterLines="5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清标报告-总价措施项目清单价格分析记录表</w:t>
      </w:r>
    </w:p>
    <w:p w14:paraId="04990738">
      <w:pPr>
        <w:rPr>
          <w:rFonts w:hint="eastAsia" w:ascii="宋体" w:hAnsi="宋体"/>
          <w:color w:val="auto"/>
          <w:szCs w:val="21"/>
          <w:highlight w:val="none"/>
        </w:rPr>
      </w:pPr>
    </w:p>
    <w:p w14:paraId="287CB8B2">
      <w:pPr>
        <w:rPr>
          <w:rFonts w:hint="eastAsia" w:ascii="宋体" w:hAnsi="宋体"/>
          <w:color w:val="auto"/>
          <w:szCs w:val="21"/>
          <w:highlight w:val="none"/>
        </w:rPr>
      </w:pPr>
      <w:r>
        <w:rPr>
          <w:rFonts w:hint="eastAsia" w:ascii="宋体" w:hAnsi="宋体"/>
          <w:color w:val="auto"/>
          <w:szCs w:val="21"/>
          <w:highlight w:val="none"/>
        </w:rPr>
        <w:t>投标人名称：</w:t>
      </w:r>
    </w:p>
    <w:p w14:paraId="4D2E3679">
      <w:pPr>
        <w:rPr>
          <w:rFonts w:hint="eastAsia" w:ascii="宋体" w:hAnsi="宋体"/>
          <w:color w:val="auto"/>
          <w:szCs w:val="21"/>
          <w:highlight w:val="none"/>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170"/>
        <w:gridCol w:w="1745"/>
        <w:gridCol w:w="1324"/>
        <w:gridCol w:w="1351"/>
        <w:gridCol w:w="1351"/>
        <w:gridCol w:w="1259"/>
      </w:tblGrid>
      <w:tr w14:paraId="7A35499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tcBorders>
              <w:top w:val="single" w:color="auto" w:sz="6" w:space="0"/>
              <w:left w:val="single" w:color="auto" w:sz="6" w:space="0"/>
              <w:bottom w:val="single" w:color="auto" w:sz="4" w:space="0"/>
              <w:right w:val="single" w:color="auto" w:sz="4" w:space="0"/>
            </w:tcBorders>
            <w:noWrap w:val="0"/>
            <w:vAlign w:val="center"/>
          </w:tcPr>
          <w:p w14:paraId="47AC0F4D">
            <w:pPr>
              <w:jc w:val="center"/>
              <w:rPr>
                <w:color w:val="auto"/>
                <w:sz w:val="20"/>
                <w:szCs w:val="20"/>
                <w:highlight w:val="none"/>
              </w:rPr>
            </w:pPr>
            <w:r>
              <w:rPr>
                <w:rFonts w:hint="eastAsia"/>
                <w:color w:val="auto"/>
                <w:sz w:val="20"/>
                <w:szCs w:val="20"/>
                <w:highlight w:val="none"/>
              </w:rPr>
              <w:t>单位工程名称</w:t>
            </w:r>
          </w:p>
        </w:tc>
        <w:tc>
          <w:tcPr>
            <w:tcW w:w="5285" w:type="dxa"/>
            <w:gridSpan w:val="4"/>
            <w:tcBorders>
              <w:top w:val="single" w:color="auto" w:sz="6" w:space="0"/>
              <w:left w:val="single" w:color="auto" w:sz="6" w:space="0"/>
              <w:bottom w:val="single" w:color="auto" w:sz="4" w:space="0"/>
              <w:right w:val="single" w:color="auto" w:sz="6" w:space="0"/>
            </w:tcBorders>
            <w:noWrap w:val="0"/>
            <w:vAlign w:val="center"/>
          </w:tcPr>
          <w:p w14:paraId="6396F346">
            <w:pPr>
              <w:jc w:val="center"/>
              <w:rPr>
                <w:color w:val="auto"/>
                <w:sz w:val="20"/>
                <w:szCs w:val="20"/>
                <w:highlight w:val="none"/>
              </w:rPr>
            </w:pPr>
          </w:p>
        </w:tc>
      </w:tr>
      <w:tr w14:paraId="1A75511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tcBorders>
              <w:top w:val="single" w:color="auto" w:sz="4" w:space="0"/>
              <w:left w:val="single" w:color="auto" w:sz="6" w:space="0"/>
              <w:bottom w:val="single" w:color="auto" w:sz="4" w:space="0"/>
              <w:right w:val="single" w:color="auto" w:sz="4" w:space="0"/>
            </w:tcBorders>
            <w:noWrap w:val="0"/>
            <w:vAlign w:val="center"/>
          </w:tcPr>
          <w:p w14:paraId="19D5C69A">
            <w:pPr>
              <w:jc w:val="center"/>
              <w:rPr>
                <w:color w:val="auto"/>
                <w:sz w:val="20"/>
                <w:szCs w:val="20"/>
                <w:highlight w:val="none"/>
              </w:rPr>
            </w:pPr>
            <w:r>
              <w:rPr>
                <w:rFonts w:hint="eastAsia"/>
                <w:color w:val="auto"/>
                <w:sz w:val="20"/>
                <w:szCs w:val="20"/>
                <w:highlight w:val="none"/>
              </w:rPr>
              <w:t>序号</w:t>
            </w:r>
          </w:p>
        </w:tc>
        <w:tc>
          <w:tcPr>
            <w:tcW w:w="1170" w:type="dxa"/>
            <w:tcBorders>
              <w:top w:val="single" w:color="auto" w:sz="4" w:space="0"/>
              <w:left w:val="single" w:color="auto" w:sz="4" w:space="0"/>
              <w:bottom w:val="single" w:color="auto" w:sz="4" w:space="0"/>
              <w:right w:val="single" w:color="auto" w:sz="6" w:space="0"/>
            </w:tcBorders>
            <w:noWrap w:val="0"/>
            <w:vAlign w:val="center"/>
          </w:tcPr>
          <w:p w14:paraId="6F01A9FE">
            <w:pPr>
              <w:jc w:val="center"/>
              <w:rPr>
                <w:color w:val="auto"/>
                <w:sz w:val="20"/>
                <w:szCs w:val="20"/>
                <w:highlight w:val="none"/>
              </w:rPr>
            </w:pPr>
            <w:r>
              <w:rPr>
                <w:rFonts w:hint="eastAsia"/>
                <w:color w:val="auto"/>
                <w:sz w:val="20"/>
                <w:szCs w:val="20"/>
                <w:highlight w:val="none"/>
              </w:rPr>
              <w:t>项目编码</w:t>
            </w:r>
          </w:p>
        </w:tc>
        <w:tc>
          <w:tcPr>
            <w:tcW w:w="1745" w:type="dxa"/>
            <w:tcBorders>
              <w:top w:val="single" w:color="auto" w:sz="4" w:space="0"/>
              <w:left w:val="single" w:color="auto" w:sz="6" w:space="0"/>
              <w:bottom w:val="single" w:color="auto" w:sz="4" w:space="0"/>
              <w:right w:val="single" w:color="auto" w:sz="4" w:space="0"/>
            </w:tcBorders>
            <w:noWrap w:val="0"/>
            <w:vAlign w:val="center"/>
          </w:tcPr>
          <w:p w14:paraId="6CBF6573">
            <w:pPr>
              <w:jc w:val="center"/>
              <w:rPr>
                <w:color w:val="auto"/>
                <w:sz w:val="20"/>
                <w:szCs w:val="20"/>
                <w:highlight w:val="none"/>
              </w:rPr>
            </w:pPr>
            <w:r>
              <w:rPr>
                <w:rFonts w:hint="eastAsia"/>
                <w:color w:val="auto"/>
                <w:sz w:val="20"/>
                <w:szCs w:val="20"/>
                <w:highlight w:val="none"/>
              </w:rPr>
              <w:t>项目名称</w:t>
            </w:r>
          </w:p>
        </w:tc>
        <w:tc>
          <w:tcPr>
            <w:tcW w:w="1324" w:type="dxa"/>
            <w:tcBorders>
              <w:top w:val="single" w:color="auto" w:sz="4" w:space="0"/>
              <w:left w:val="single" w:color="auto" w:sz="6" w:space="0"/>
              <w:bottom w:val="single" w:color="auto" w:sz="4" w:space="0"/>
              <w:right w:val="single" w:color="auto" w:sz="6" w:space="0"/>
            </w:tcBorders>
            <w:noWrap w:val="0"/>
            <w:vAlign w:val="center"/>
          </w:tcPr>
          <w:p w14:paraId="7D6DE7EF">
            <w:pPr>
              <w:jc w:val="center"/>
              <w:rPr>
                <w:color w:val="auto"/>
                <w:sz w:val="20"/>
                <w:szCs w:val="20"/>
                <w:highlight w:val="none"/>
              </w:rPr>
            </w:pPr>
            <w:r>
              <w:rPr>
                <w:rFonts w:hint="eastAsia"/>
                <w:color w:val="auto"/>
                <w:sz w:val="20"/>
                <w:szCs w:val="20"/>
                <w:highlight w:val="none"/>
              </w:rPr>
              <w:t>投标费率</w:t>
            </w:r>
            <w:r>
              <w:rPr>
                <w:color w:val="auto"/>
                <w:sz w:val="20"/>
                <w:szCs w:val="20"/>
                <w:highlight w:val="none"/>
              </w:rPr>
              <w:t>(</w:t>
            </w:r>
            <w:r>
              <w:rPr>
                <w:rFonts w:hint="eastAsia"/>
                <w:color w:val="auto"/>
                <w:sz w:val="20"/>
                <w:szCs w:val="20"/>
                <w:highlight w:val="none"/>
              </w:rPr>
              <w:t>％</w:t>
            </w:r>
            <w:r>
              <w:rPr>
                <w:color w:val="auto"/>
                <w:sz w:val="20"/>
                <w:szCs w:val="20"/>
                <w:highlight w:val="none"/>
              </w:rPr>
              <w:t>)</w:t>
            </w:r>
          </w:p>
        </w:tc>
        <w:tc>
          <w:tcPr>
            <w:tcW w:w="1351" w:type="dxa"/>
            <w:tcBorders>
              <w:top w:val="single" w:color="auto" w:sz="4" w:space="0"/>
              <w:left w:val="single" w:color="auto" w:sz="6" w:space="0"/>
              <w:bottom w:val="single" w:color="auto" w:sz="4" w:space="0"/>
              <w:right w:val="single" w:color="auto" w:sz="4" w:space="0"/>
            </w:tcBorders>
            <w:noWrap w:val="0"/>
            <w:vAlign w:val="center"/>
          </w:tcPr>
          <w:p w14:paraId="19627EBD">
            <w:pPr>
              <w:jc w:val="center"/>
              <w:rPr>
                <w:color w:val="auto"/>
                <w:sz w:val="20"/>
                <w:szCs w:val="20"/>
                <w:highlight w:val="none"/>
              </w:rPr>
            </w:pPr>
            <w:r>
              <w:rPr>
                <w:rFonts w:hint="eastAsia"/>
                <w:color w:val="auto"/>
                <w:sz w:val="20"/>
                <w:szCs w:val="20"/>
                <w:highlight w:val="none"/>
              </w:rPr>
              <w:t>正确费率</w:t>
            </w:r>
            <w:r>
              <w:rPr>
                <w:color w:val="auto"/>
                <w:sz w:val="20"/>
                <w:szCs w:val="20"/>
                <w:highlight w:val="none"/>
              </w:rPr>
              <w:t>(</w:t>
            </w:r>
            <w:r>
              <w:rPr>
                <w:rFonts w:hint="eastAsia"/>
                <w:color w:val="auto"/>
                <w:sz w:val="20"/>
                <w:szCs w:val="20"/>
                <w:highlight w:val="none"/>
              </w:rPr>
              <w:t>％</w:t>
            </w:r>
            <w:r>
              <w:rPr>
                <w:color w:val="auto"/>
                <w:sz w:val="20"/>
                <w:szCs w:val="20"/>
                <w:highlight w:val="none"/>
              </w:rPr>
              <w:t>)</w:t>
            </w:r>
          </w:p>
        </w:tc>
        <w:tc>
          <w:tcPr>
            <w:tcW w:w="1351" w:type="dxa"/>
            <w:tcBorders>
              <w:top w:val="single" w:color="auto" w:sz="4" w:space="0"/>
              <w:left w:val="single" w:color="auto" w:sz="4" w:space="0"/>
              <w:bottom w:val="single" w:color="auto" w:sz="4" w:space="0"/>
              <w:right w:val="single" w:color="auto" w:sz="6" w:space="0"/>
            </w:tcBorders>
            <w:noWrap w:val="0"/>
            <w:vAlign w:val="center"/>
          </w:tcPr>
          <w:p w14:paraId="5723A94C">
            <w:pPr>
              <w:jc w:val="center"/>
              <w:rPr>
                <w:color w:val="auto"/>
                <w:sz w:val="20"/>
                <w:szCs w:val="20"/>
                <w:highlight w:val="none"/>
              </w:rPr>
            </w:pPr>
            <w:r>
              <w:rPr>
                <w:rFonts w:hint="eastAsia"/>
                <w:color w:val="auto"/>
                <w:sz w:val="20"/>
                <w:szCs w:val="20"/>
                <w:highlight w:val="none"/>
              </w:rPr>
              <w:t>偏离幅度</w:t>
            </w:r>
          </w:p>
        </w:tc>
        <w:tc>
          <w:tcPr>
            <w:tcW w:w="1259" w:type="dxa"/>
            <w:tcBorders>
              <w:top w:val="single" w:color="auto" w:sz="4" w:space="0"/>
              <w:left w:val="single" w:color="auto" w:sz="6" w:space="0"/>
              <w:bottom w:val="single" w:color="auto" w:sz="4" w:space="0"/>
              <w:right w:val="single" w:color="auto" w:sz="6" w:space="0"/>
            </w:tcBorders>
            <w:noWrap w:val="0"/>
            <w:vAlign w:val="center"/>
          </w:tcPr>
          <w:p w14:paraId="7BDEC626">
            <w:pPr>
              <w:jc w:val="center"/>
              <w:rPr>
                <w:color w:val="auto"/>
                <w:sz w:val="20"/>
                <w:szCs w:val="20"/>
                <w:highlight w:val="none"/>
              </w:rPr>
            </w:pPr>
            <w:r>
              <w:rPr>
                <w:rFonts w:hint="eastAsia"/>
                <w:color w:val="auto"/>
                <w:sz w:val="20"/>
                <w:szCs w:val="20"/>
                <w:highlight w:val="none"/>
              </w:rPr>
              <w:t>备注</w:t>
            </w:r>
          </w:p>
        </w:tc>
      </w:tr>
      <w:tr w14:paraId="1576330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tcBorders>
              <w:top w:val="single" w:color="auto" w:sz="4" w:space="0"/>
              <w:left w:val="single" w:color="auto" w:sz="6" w:space="0"/>
              <w:bottom w:val="single" w:color="auto" w:sz="4" w:space="0"/>
              <w:right w:val="single" w:color="auto" w:sz="4" w:space="0"/>
            </w:tcBorders>
            <w:noWrap w:val="0"/>
            <w:vAlign w:val="center"/>
          </w:tcPr>
          <w:p w14:paraId="097FB583">
            <w:pPr>
              <w:jc w:val="center"/>
              <w:rPr>
                <w:rFonts w:ascii="黑体" w:eastAsia="黑体"/>
                <w:color w:val="auto"/>
                <w:sz w:val="20"/>
                <w:szCs w:val="20"/>
                <w:highlight w:val="none"/>
              </w:rPr>
            </w:pPr>
          </w:p>
        </w:tc>
        <w:tc>
          <w:tcPr>
            <w:tcW w:w="1170" w:type="dxa"/>
            <w:tcBorders>
              <w:top w:val="single" w:color="auto" w:sz="4" w:space="0"/>
              <w:left w:val="single" w:color="auto" w:sz="4" w:space="0"/>
              <w:bottom w:val="single" w:color="auto" w:sz="4" w:space="0"/>
              <w:right w:val="single" w:color="auto" w:sz="6" w:space="0"/>
            </w:tcBorders>
            <w:noWrap w:val="0"/>
            <w:vAlign w:val="center"/>
          </w:tcPr>
          <w:p w14:paraId="1AA23799">
            <w:pPr>
              <w:jc w:val="center"/>
              <w:rPr>
                <w:color w:val="auto"/>
                <w:sz w:val="20"/>
                <w:szCs w:val="20"/>
                <w:highlight w:val="none"/>
              </w:rPr>
            </w:pPr>
          </w:p>
        </w:tc>
        <w:tc>
          <w:tcPr>
            <w:tcW w:w="1745" w:type="dxa"/>
            <w:tcBorders>
              <w:top w:val="single" w:color="auto" w:sz="4" w:space="0"/>
              <w:left w:val="single" w:color="auto" w:sz="6" w:space="0"/>
              <w:bottom w:val="single" w:color="auto" w:sz="4" w:space="0"/>
              <w:right w:val="single" w:color="auto" w:sz="4" w:space="0"/>
            </w:tcBorders>
            <w:noWrap w:val="0"/>
            <w:vAlign w:val="center"/>
          </w:tcPr>
          <w:p w14:paraId="51374A7B">
            <w:pPr>
              <w:jc w:val="center"/>
              <w:rPr>
                <w:color w:val="auto"/>
                <w:sz w:val="20"/>
                <w:szCs w:val="20"/>
                <w:highlight w:val="none"/>
              </w:rPr>
            </w:pPr>
            <w:r>
              <w:rPr>
                <w:rFonts w:hint="eastAsia"/>
                <w:color w:val="auto"/>
                <w:sz w:val="20"/>
                <w:szCs w:val="20"/>
                <w:highlight w:val="none"/>
              </w:rPr>
              <w:t>安全文明施工费</w:t>
            </w:r>
          </w:p>
        </w:tc>
        <w:tc>
          <w:tcPr>
            <w:tcW w:w="1324" w:type="dxa"/>
            <w:tcBorders>
              <w:top w:val="single" w:color="auto" w:sz="4" w:space="0"/>
              <w:left w:val="single" w:color="auto" w:sz="6" w:space="0"/>
              <w:bottom w:val="single" w:color="auto" w:sz="4" w:space="0"/>
              <w:right w:val="single" w:color="auto" w:sz="6" w:space="0"/>
            </w:tcBorders>
            <w:noWrap w:val="0"/>
            <w:vAlign w:val="center"/>
          </w:tcPr>
          <w:p w14:paraId="59298EB0">
            <w:pPr>
              <w:jc w:val="center"/>
              <w:rPr>
                <w:color w:val="auto"/>
                <w:sz w:val="20"/>
                <w:szCs w:val="20"/>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0FBC8A6E">
            <w:pPr>
              <w:jc w:val="center"/>
              <w:rPr>
                <w:color w:val="auto"/>
                <w:sz w:val="20"/>
                <w:szCs w:val="20"/>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38545B8C">
            <w:pPr>
              <w:jc w:val="center"/>
              <w:rPr>
                <w:color w:val="auto"/>
                <w:sz w:val="20"/>
                <w:szCs w:val="20"/>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4E2D7BA2">
            <w:pPr>
              <w:jc w:val="center"/>
              <w:rPr>
                <w:color w:val="auto"/>
                <w:sz w:val="20"/>
                <w:szCs w:val="20"/>
                <w:highlight w:val="none"/>
              </w:rPr>
            </w:pPr>
          </w:p>
        </w:tc>
      </w:tr>
      <w:tr w14:paraId="4E9DC51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tcBorders>
              <w:top w:val="single" w:color="auto" w:sz="4" w:space="0"/>
              <w:left w:val="single" w:color="auto" w:sz="6" w:space="0"/>
              <w:bottom w:val="single" w:color="auto" w:sz="4" w:space="0"/>
              <w:right w:val="single" w:color="auto" w:sz="4" w:space="0"/>
            </w:tcBorders>
            <w:noWrap w:val="0"/>
            <w:vAlign w:val="center"/>
          </w:tcPr>
          <w:p w14:paraId="61FF0FAF">
            <w:pPr>
              <w:jc w:val="center"/>
              <w:rPr>
                <w:rFonts w:ascii="黑体" w:eastAsia="黑体"/>
                <w:color w:val="auto"/>
                <w:szCs w:val="21"/>
                <w:highlight w:val="none"/>
              </w:rPr>
            </w:pPr>
          </w:p>
        </w:tc>
        <w:tc>
          <w:tcPr>
            <w:tcW w:w="1170" w:type="dxa"/>
            <w:tcBorders>
              <w:top w:val="single" w:color="auto" w:sz="4" w:space="0"/>
              <w:left w:val="single" w:color="auto" w:sz="4" w:space="0"/>
              <w:bottom w:val="single" w:color="auto" w:sz="4" w:space="0"/>
              <w:right w:val="single" w:color="auto" w:sz="6" w:space="0"/>
            </w:tcBorders>
            <w:noWrap w:val="0"/>
            <w:vAlign w:val="center"/>
          </w:tcPr>
          <w:p w14:paraId="3CB577AF">
            <w:pPr>
              <w:jc w:val="center"/>
              <w:rPr>
                <w:color w:val="auto"/>
                <w:szCs w:val="21"/>
                <w:highlight w:val="none"/>
              </w:rPr>
            </w:pPr>
          </w:p>
        </w:tc>
        <w:tc>
          <w:tcPr>
            <w:tcW w:w="1745" w:type="dxa"/>
            <w:tcBorders>
              <w:top w:val="single" w:color="auto" w:sz="4" w:space="0"/>
              <w:left w:val="single" w:color="auto" w:sz="6" w:space="0"/>
              <w:bottom w:val="single" w:color="auto" w:sz="4" w:space="0"/>
              <w:right w:val="single" w:color="auto" w:sz="4" w:space="0"/>
            </w:tcBorders>
            <w:noWrap w:val="0"/>
            <w:vAlign w:val="center"/>
          </w:tcPr>
          <w:p w14:paraId="02997F44">
            <w:pPr>
              <w:jc w:val="center"/>
              <w:rPr>
                <w:color w:val="auto"/>
                <w:szCs w:val="21"/>
                <w:highlight w:val="none"/>
              </w:rPr>
            </w:pPr>
          </w:p>
        </w:tc>
        <w:tc>
          <w:tcPr>
            <w:tcW w:w="1324" w:type="dxa"/>
            <w:tcBorders>
              <w:top w:val="single" w:color="auto" w:sz="4" w:space="0"/>
              <w:left w:val="single" w:color="auto" w:sz="6" w:space="0"/>
              <w:bottom w:val="single" w:color="auto" w:sz="4" w:space="0"/>
              <w:right w:val="single" w:color="auto" w:sz="6" w:space="0"/>
            </w:tcBorders>
            <w:noWrap w:val="0"/>
            <w:vAlign w:val="center"/>
          </w:tcPr>
          <w:p w14:paraId="28012616">
            <w:pPr>
              <w:jc w:val="center"/>
              <w:rPr>
                <w:color w:val="auto"/>
                <w:szCs w:val="21"/>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1807AE6C">
            <w:pPr>
              <w:jc w:val="center"/>
              <w:rPr>
                <w:color w:val="auto"/>
                <w:szCs w:val="21"/>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707B5EEB">
            <w:pPr>
              <w:jc w:val="center"/>
              <w:rPr>
                <w:color w:val="auto"/>
                <w:szCs w:val="21"/>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6C56B281">
            <w:pPr>
              <w:jc w:val="center"/>
              <w:rPr>
                <w:color w:val="auto"/>
                <w:szCs w:val="21"/>
                <w:highlight w:val="none"/>
              </w:rPr>
            </w:pPr>
          </w:p>
        </w:tc>
      </w:tr>
      <w:tr w14:paraId="4CCAF13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18" w:type="dxa"/>
            <w:gridSpan w:val="7"/>
            <w:tcBorders>
              <w:top w:val="single" w:color="auto" w:sz="4" w:space="0"/>
              <w:left w:val="single" w:color="auto" w:sz="6" w:space="0"/>
              <w:bottom w:val="single" w:color="auto" w:sz="4" w:space="0"/>
              <w:right w:val="single" w:color="auto" w:sz="6" w:space="0"/>
            </w:tcBorders>
            <w:noWrap w:val="0"/>
            <w:vAlign w:val="center"/>
          </w:tcPr>
          <w:p w14:paraId="00F22EDA">
            <w:pPr>
              <w:jc w:val="center"/>
              <w:rPr>
                <w:color w:val="auto"/>
                <w:szCs w:val="21"/>
                <w:highlight w:val="none"/>
              </w:rPr>
            </w:pPr>
          </w:p>
        </w:tc>
      </w:tr>
      <w:tr w14:paraId="4B0BC58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tcBorders>
              <w:top w:val="single" w:color="auto" w:sz="4" w:space="0"/>
              <w:left w:val="single" w:color="auto" w:sz="6" w:space="0"/>
              <w:bottom w:val="single" w:color="auto" w:sz="4" w:space="0"/>
              <w:right w:val="single" w:color="auto" w:sz="4" w:space="0"/>
            </w:tcBorders>
            <w:noWrap w:val="0"/>
            <w:vAlign w:val="center"/>
          </w:tcPr>
          <w:p w14:paraId="0C8FE078">
            <w:pPr>
              <w:jc w:val="center"/>
              <w:rPr>
                <w:color w:val="auto"/>
                <w:sz w:val="20"/>
                <w:szCs w:val="20"/>
                <w:highlight w:val="none"/>
              </w:rPr>
            </w:pPr>
            <w:r>
              <w:rPr>
                <w:rFonts w:hint="eastAsia"/>
                <w:color w:val="auto"/>
                <w:sz w:val="20"/>
                <w:szCs w:val="20"/>
                <w:highlight w:val="none"/>
              </w:rPr>
              <w:t>项目名称</w:t>
            </w:r>
          </w:p>
        </w:tc>
        <w:tc>
          <w:tcPr>
            <w:tcW w:w="1324" w:type="dxa"/>
            <w:tcBorders>
              <w:top w:val="single" w:color="auto" w:sz="4" w:space="0"/>
              <w:left w:val="single" w:color="auto" w:sz="6" w:space="0"/>
              <w:bottom w:val="single" w:color="auto" w:sz="4" w:space="0"/>
              <w:right w:val="single" w:color="auto" w:sz="6" w:space="0"/>
            </w:tcBorders>
            <w:noWrap w:val="0"/>
            <w:vAlign w:val="center"/>
          </w:tcPr>
          <w:p w14:paraId="33902D41">
            <w:pPr>
              <w:jc w:val="center"/>
              <w:rPr>
                <w:color w:val="auto"/>
                <w:sz w:val="20"/>
                <w:szCs w:val="20"/>
                <w:highlight w:val="none"/>
              </w:rPr>
            </w:pPr>
            <w:r>
              <w:rPr>
                <w:rFonts w:hint="eastAsia"/>
                <w:color w:val="auto"/>
                <w:sz w:val="20"/>
                <w:szCs w:val="20"/>
                <w:highlight w:val="none"/>
              </w:rPr>
              <w:t>投标合计</w:t>
            </w:r>
          </w:p>
          <w:p w14:paraId="5E9FC1E7">
            <w:pPr>
              <w:jc w:val="center"/>
              <w:rPr>
                <w:color w:val="auto"/>
                <w:sz w:val="20"/>
                <w:szCs w:val="20"/>
                <w:highlight w:val="none"/>
              </w:rPr>
            </w:pPr>
            <w:r>
              <w:rPr>
                <w:rFonts w:hint="eastAsia"/>
                <w:color w:val="auto"/>
                <w:sz w:val="20"/>
                <w:szCs w:val="20"/>
                <w:highlight w:val="none"/>
              </w:rPr>
              <w:t>金额</w:t>
            </w:r>
          </w:p>
        </w:tc>
        <w:tc>
          <w:tcPr>
            <w:tcW w:w="1351" w:type="dxa"/>
            <w:tcBorders>
              <w:top w:val="single" w:color="auto" w:sz="4" w:space="0"/>
              <w:left w:val="single" w:color="auto" w:sz="6" w:space="0"/>
              <w:bottom w:val="single" w:color="auto" w:sz="4" w:space="0"/>
              <w:right w:val="single" w:color="auto" w:sz="4" w:space="0"/>
            </w:tcBorders>
            <w:noWrap w:val="0"/>
            <w:vAlign w:val="center"/>
          </w:tcPr>
          <w:p w14:paraId="15E6C8C4">
            <w:pPr>
              <w:jc w:val="center"/>
              <w:rPr>
                <w:color w:val="auto"/>
                <w:sz w:val="20"/>
                <w:szCs w:val="20"/>
                <w:highlight w:val="none"/>
              </w:rPr>
            </w:pPr>
            <w:r>
              <w:rPr>
                <w:rFonts w:hint="eastAsia"/>
                <w:color w:val="auto"/>
                <w:sz w:val="20"/>
                <w:szCs w:val="20"/>
                <w:highlight w:val="none"/>
              </w:rPr>
              <w:t>招标控制价的合计金额</w:t>
            </w:r>
          </w:p>
        </w:tc>
        <w:tc>
          <w:tcPr>
            <w:tcW w:w="1351" w:type="dxa"/>
            <w:tcBorders>
              <w:top w:val="single" w:color="auto" w:sz="4" w:space="0"/>
              <w:left w:val="single" w:color="auto" w:sz="4" w:space="0"/>
              <w:bottom w:val="single" w:color="auto" w:sz="4" w:space="0"/>
              <w:right w:val="single" w:color="auto" w:sz="6" w:space="0"/>
            </w:tcBorders>
            <w:noWrap w:val="0"/>
            <w:vAlign w:val="center"/>
          </w:tcPr>
          <w:p w14:paraId="791CCCA8">
            <w:pPr>
              <w:jc w:val="center"/>
              <w:rPr>
                <w:color w:val="auto"/>
                <w:szCs w:val="21"/>
                <w:highlight w:val="none"/>
              </w:rPr>
            </w:pPr>
            <w:r>
              <w:rPr>
                <w:rFonts w:hint="eastAsia"/>
                <w:color w:val="auto"/>
                <w:sz w:val="20"/>
                <w:szCs w:val="20"/>
                <w:highlight w:val="none"/>
              </w:rPr>
              <w:t>偏离幅度</w:t>
            </w:r>
          </w:p>
        </w:tc>
        <w:tc>
          <w:tcPr>
            <w:tcW w:w="1259" w:type="dxa"/>
            <w:tcBorders>
              <w:top w:val="single" w:color="auto" w:sz="4" w:space="0"/>
              <w:left w:val="single" w:color="auto" w:sz="6" w:space="0"/>
              <w:bottom w:val="single" w:color="auto" w:sz="4" w:space="0"/>
              <w:right w:val="single" w:color="auto" w:sz="6" w:space="0"/>
            </w:tcBorders>
            <w:noWrap w:val="0"/>
            <w:vAlign w:val="center"/>
          </w:tcPr>
          <w:p w14:paraId="2BEFB36B">
            <w:pPr>
              <w:jc w:val="center"/>
              <w:rPr>
                <w:color w:val="auto"/>
                <w:szCs w:val="21"/>
                <w:highlight w:val="none"/>
              </w:rPr>
            </w:pPr>
          </w:p>
        </w:tc>
      </w:tr>
      <w:tr w14:paraId="65C40B3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tcBorders>
              <w:top w:val="single" w:color="auto" w:sz="4" w:space="0"/>
              <w:left w:val="single" w:color="auto" w:sz="6" w:space="0"/>
              <w:bottom w:val="single" w:color="auto" w:sz="4" w:space="0"/>
              <w:right w:val="single" w:color="auto" w:sz="4" w:space="0"/>
            </w:tcBorders>
            <w:noWrap w:val="0"/>
            <w:vAlign w:val="center"/>
          </w:tcPr>
          <w:p w14:paraId="03D0C5A6">
            <w:pPr>
              <w:jc w:val="center"/>
              <w:rPr>
                <w:color w:val="auto"/>
                <w:sz w:val="20"/>
                <w:szCs w:val="20"/>
                <w:highlight w:val="none"/>
              </w:rPr>
            </w:pPr>
            <w:r>
              <w:rPr>
                <w:rFonts w:hint="eastAsia"/>
                <w:color w:val="auto"/>
                <w:sz w:val="20"/>
                <w:szCs w:val="20"/>
                <w:highlight w:val="none"/>
              </w:rPr>
              <w:t>总价措施项目</w:t>
            </w:r>
          </w:p>
        </w:tc>
        <w:tc>
          <w:tcPr>
            <w:tcW w:w="1324" w:type="dxa"/>
            <w:tcBorders>
              <w:top w:val="single" w:color="auto" w:sz="4" w:space="0"/>
              <w:left w:val="single" w:color="auto" w:sz="6" w:space="0"/>
              <w:bottom w:val="single" w:color="auto" w:sz="4" w:space="0"/>
              <w:right w:val="single" w:color="auto" w:sz="6" w:space="0"/>
            </w:tcBorders>
            <w:noWrap w:val="0"/>
            <w:vAlign w:val="center"/>
          </w:tcPr>
          <w:p w14:paraId="2BC9CA17">
            <w:pPr>
              <w:jc w:val="center"/>
              <w:rPr>
                <w:color w:val="auto"/>
                <w:sz w:val="20"/>
                <w:szCs w:val="20"/>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5E406C89">
            <w:pPr>
              <w:jc w:val="center"/>
              <w:rPr>
                <w:color w:val="auto"/>
                <w:sz w:val="20"/>
                <w:szCs w:val="20"/>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15B5423D">
            <w:pPr>
              <w:jc w:val="center"/>
              <w:rPr>
                <w:color w:val="auto"/>
                <w:szCs w:val="21"/>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79C1330F">
            <w:pPr>
              <w:jc w:val="center"/>
              <w:rPr>
                <w:color w:val="auto"/>
                <w:szCs w:val="21"/>
                <w:highlight w:val="none"/>
              </w:rPr>
            </w:pPr>
          </w:p>
        </w:tc>
      </w:tr>
      <w:tr w14:paraId="766C645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tcBorders>
              <w:top w:val="single" w:color="auto" w:sz="4" w:space="0"/>
              <w:left w:val="single" w:color="auto" w:sz="6" w:space="0"/>
              <w:bottom w:val="single" w:color="auto" w:sz="6" w:space="0"/>
              <w:right w:val="single" w:color="auto" w:sz="4" w:space="0"/>
            </w:tcBorders>
            <w:noWrap w:val="0"/>
            <w:vAlign w:val="center"/>
          </w:tcPr>
          <w:p w14:paraId="56471ACC">
            <w:pPr>
              <w:jc w:val="center"/>
              <w:rPr>
                <w:color w:val="auto"/>
                <w:szCs w:val="21"/>
                <w:highlight w:val="none"/>
              </w:rPr>
            </w:pPr>
          </w:p>
        </w:tc>
        <w:tc>
          <w:tcPr>
            <w:tcW w:w="1324" w:type="dxa"/>
            <w:tcBorders>
              <w:top w:val="single" w:color="auto" w:sz="4" w:space="0"/>
              <w:left w:val="single" w:color="auto" w:sz="6" w:space="0"/>
              <w:bottom w:val="single" w:color="auto" w:sz="6" w:space="0"/>
              <w:right w:val="single" w:color="auto" w:sz="6" w:space="0"/>
            </w:tcBorders>
            <w:noWrap w:val="0"/>
            <w:vAlign w:val="center"/>
          </w:tcPr>
          <w:p w14:paraId="217286D5">
            <w:pPr>
              <w:jc w:val="center"/>
              <w:rPr>
                <w:color w:val="auto"/>
                <w:szCs w:val="21"/>
                <w:highlight w:val="none"/>
              </w:rPr>
            </w:pPr>
          </w:p>
        </w:tc>
        <w:tc>
          <w:tcPr>
            <w:tcW w:w="1351" w:type="dxa"/>
            <w:tcBorders>
              <w:top w:val="single" w:color="auto" w:sz="4" w:space="0"/>
              <w:left w:val="single" w:color="auto" w:sz="6" w:space="0"/>
              <w:bottom w:val="single" w:color="auto" w:sz="6" w:space="0"/>
              <w:right w:val="single" w:color="auto" w:sz="4" w:space="0"/>
            </w:tcBorders>
            <w:noWrap w:val="0"/>
            <w:vAlign w:val="center"/>
          </w:tcPr>
          <w:p w14:paraId="7056E05C">
            <w:pPr>
              <w:jc w:val="center"/>
              <w:rPr>
                <w:color w:val="auto"/>
                <w:szCs w:val="21"/>
                <w:highlight w:val="none"/>
              </w:rPr>
            </w:pPr>
          </w:p>
        </w:tc>
        <w:tc>
          <w:tcPr>
            <w:tcW w:w="1351" w:type="dxa"/>
            <w:tcBorders>
              <w:top w:val="single" w:color="auto" w:sz="4" w:space="0"/>
              <w:left w:val="single" w:color="auto" w:sz="4" w:space="0"/>
              <w:bottom w:val="single" w:color="auto" w:sz="6" w:space="0"/>
              <w:right w:val="single" w:color="auto" w:sz="6" w:space="0"/>
            </w:tcBorders>
            <w:noWrap w:val="0"/>
            <w:vAlign w:val="center"/>
          </w:tcPr>
          <w:p w14:paraId="54A22FF2">
            <w:pPr>
              <w:jc w:val="center"/>
              <w:rPr>
                <w:color w:val="auto"/>
                <w:szCs w:val="21"/>
                <w:highlight w:val="none"/>
              </w:rPr>
            </w:pPr>
          </w:p>
        </w:tc>
        <w:tc>
          <w:tcPr>
            <w:tcW w:w="1259" w:type="dxa"/>
            <w:tcBorders>
              <w:top w:val="single" w:color="auto" w:sz="4" w:space="0"/>
              <w:left w:val="single" w:color="auto" w:sz="6" w:space="0"/>
              <w:bottom w:val="single" w:color="auto" w:sz="6" w:space="0"/>
              <w:right w:val="single" w:color="auto" w:sz="6" w:space="0"/>
            </w:tcBorders>
            <w:noWrap w:val="0"/>
            <w:vAlign w:val="center"/>
          </w:tcPr>
          <w:p w14:paraId="00123909">
            <w:pPr>
              <w:jc w:val="center"/>
              <w:rPr>
                <w:color w:val="auto"/>
                <w:szCs w:val="21"/>
                <w:highlight w:val="none"/>
              </w:rPr>
            </w:pPr>
          </w:p>
        </w:tc>
      </w:tr>
    </w:tbl>
    <w:p w14:paraId="5D713523">
      <w:pPr>
        <w:spacing w:before="480" w:beforeLines="200"/>
        <w:rPr>
          <w:rFonts w:hint="eastAsia" w:ascii="宋体" w:hAnsi="宋体"/>
          <w:color w:val="auto"/>
          <w:szCs w:val="21"/>
          <w:highlight w:val="none"/>
        </w:rPr>
      </w:pPr>
      <w:r>
        <w:rPr>
          <w:rFonts w:hint="eastAsia" w:ascii="宋体" w:hAnsi="宋体"/>
          <w:color w:val="auto"/>
          <w:szCs w:val="21"/>
          <w:highlight w:val="none"/>
        </w:rPr>
        <w:t>评标委员会成员签名：                                 日期：     年     月     日</w:t>
      </w:r>
    </w:p>
    <w:p w14:paraId="1496F5F9">
      <w:pPr>
        <w:rPr>
          <w:rFonts w:hint="eastAsia" w:ascii="黑体" w:hAnsi="Times New Roman" w:eastAsia="黑体"/>
          <w:color w:val="auto"/>
          <w:szCs w:val="21"/>
          <w:highlight w:val="none"/>
        </w:rPr>
      </w:pPr>
    </w:p>
    <w:p w14:paraId="75BDE631">
      <w:pPr>
        <w:rPr>
          <w:rFonts w:hint="eastAsia" w:ascii="黑体" w:eastAsia="黑体"/>
          <w:color w:val="auto"/>
          <w:szCs w:val="21"/>
          <w:highlight w:val="none"/>
        </w:rPr>
      </w:pPr>
    </w:p>
    <w:p w14:paraId="1257B96A">
      <w:pPr>
        <w:rPr>
          <w:rFonts w:hint="eastAsia" w:ascii="黑体" w:eastAsia="黑体"/>
          <w:color w:val="auto"/>
          <w:szCs w:val="21"/>
          <w:highlight w:val="none"/>
        </w:rPr>
      </w:pPr>
    </w:p>
    <w:p w14:paraId="5FE184A2">
      <w:pPr>
        <w:rPr>
          <w:rFonts w:hint="eastAsia" w:ascii="黑体" w:eastAsia="黑体"/>
          <w:color w:val="auto"/>
          <w:szCs w:val="21"/>
          <w:highlight w:val="none"/>
        </w:rPr>
      </w:pPr>
    </w:p>
    <w:p w14:paraId="4EF1569A">
      <w:pPr>
        <w:rPr>
          <w:rFonts w:hint="eastAsia" w:ascii="黑体" w:eastAsia="黑体"/>
          <w:color w:val="auto"/>
          <w:szCs w:val="21"/>
          <w:highlight w:val="none"/>
        </w:rPr>
      </w:pPr>
    </w:p>
    <w:p w14:paraId="5403FFD3">
      <w:pPr>
        <w:rPr>
          <w:rFonts w:hint="eastAsia" w:ascii="黑体" w:eastAsia="黑体"/>
          <w:color w:val="auto"/>
          <w:szCs w:val="21"/>
          <w:highlight w:val="none"/>
        </w:rPr>
      </w:pPr>
    </w:p>
    <w:p w14:paraId="59FDF920">
      <w:pPr>
        <w:rPr>
          <w:rFonts w:hint="eastAsia" w:ascii="黑体" w:eastAsia="黑体"/>
          <w:color w:val="auto"/>
          <w:szCs w:val="21"/>
          <w:highlight w:val="none"/>
        </w:rPr>
      </w:pPr>
    </w:p>
    <w:p w14:paraId="0628397B">
      <w:pPr>
        <w:rPr>
          <w:rFonts w:hint="eastAsia" w:ascii="黑体" w:eastAsia="黑体"/>
          <w:color w:val="auto"/>
          <w:szCs w:val="21"/>
          <w:highlight w:val="none"/>
        </w:rPr>
      </w:pPr>
    </w:p>
    <w:p w14:paraId="332C8B4A">
      <w:pPr>
        <w:rPr>
          <w:rFonts w:hint="eastAsia" w:ascii="黑体" w:eastAsia="黑体"/>
          <w:color w:val="auto"/>
          <w:szCs w:val="21"/>
          <w:highlight w:val="none"/>
        </w:rPr>
      </w:pPr>
    </w:p>
    <w:p w14:paraId="30B396C9">
      <w:pPr>
        <w:rPr>
          <w:rFonts w:hint="eastAsia" w:ascii="黑体" w:eastAsia="黑体"/>
          <w:color w:val="auto"/>
          <w:szCs w:val="21"/>
          <w:highlight w:val="none"/>
        </w:rPr>
      </w:pPr>
    </w:p>
    <w:p w14:paraId="20F27758">
      <w:pPr>
        <w:rPr>
          <w:rFonts w:hint="eastAsia" w:ascii="黑体" w:eastAsia="黑体"/>
          <w:color w:val="auto"/>
          <w:szCs w:val="21"/>
          <w:highlight w:val="none"/>
        </w:rPr>
      </w:pPr>
    </w:p>
    <w:p w14:paraId="68310A3F">
      <w:pPr>
        <w:rPr>
          <w:rFonts w:hint="eastAsia" w:ascii="宋体" w:hAnsi="宋体"/>
          <w:color w:val="auto"/>
          <w:szCs w:val="21"/>
          <w:highlight w:val="none"/>
        </w:rPr>
      </w:pPr>
    </w:p>
    <w:p w14:paraId="7E869F62">
      <w:pPr>
        <w:ind w:left="420" w:hanging="420" w:hangingChars="200"/>
        <w:rPr>
          <w:rFonts w:hint="eastAsia" w:ascii="Times New Roman" w:hAnsi="Times New Roman"/>
          <w:color w:val="auto"/>
          <w:szCs w:val="21"/>
          <w:highlight w:val="none"/>
        </w:rPr>
      </w:pPr>
      <w:r>
        <w:rPr>
          <w:rFonts w:hint="eastAsia" w:ascii="宋体" w:hAnsi="宋体"/>
          <w:color w:val="auto"/>
          <w:szCs w:val="21"/>
          <w:highlight w:val="none"/>
        </w:rPr>
        <w:t>注：“总价措施项目价格偏离幅度”指标用于在投标人投标总报价低于招标控制价一定幅度，评标委员会</w:t>
      </w:r>
      <w:r>
        <w:rPr>
          <w:rFonts w:hint="eastAsia"/>
          <w:color w:val="auto"/>
          <w:szCs w:val="21"/>
          <w:highlight w:val="none"/>
        </w:rPr>
        <w:t>启动成本评审工作时，要求投标人进行澄清和说明并提交有关证明材料的依据。</w:t>
      </w:r>
    </w:p>
    <w:p w14:paraId="0B518C45">
      <w:pPr>
        <w:rPr>
          <w:rFonts w:ascii="黑体" w:eastAsia="黑体"/>
          <w:color w:val="auto"/>
          <w:szCs w:val="21"/>
          <w:highlight w:val="none"/>
        </w:rPr>
      </w:pPr>
    </w:p>
    <w:p w14:paraId="2ECA7DB9">
      <w:pPr>
        <w:rPr>
          <w:rFonts w:hint="eastAsia" w:ascii="黑体" w:eastAsia="黑体"/>
          <w:color w:val="auto"/>
          <w:szCs w:val="21"/>
          <w:highlight w:val="none"/>
        </w:rPr>
      </w:pPr>
      <w:r>
        <w:rPr>
          <w:rFonts w:hint="eastAsia" w:ascii="黑体" w:eastAsia="黑体"/>
          <w:color w:val="auto"/>
          <w:szCs w:val="21"/>
          <w:highlight w:val="none"/>
        </w:rPr>
        <w:br w:type="page"/>
      </w:r>
    </w:p>
    <w:p w14:paraId="779AE6E3">
      <w:pPr>
        <w:rPr>
          <w:rFonts w:hint="eastAsia" w:ascii="黑体" w:eastAsia="黑体"/>
          <w:color w:val="auto"/>
          <w:szCs w:val="21"/>
          <w:highlight w:val="none"/>
        </w:rPr>
      </w:pPr>
    </w:p>
    <w:p w14:paraId="1734B68B">
      <w:pPr>
        <w:pStyle w:val="33"/>
        <w:rPr>
          <w:rFonts w:hint="eastAsia" w:ascii="Times New Roman"/>
          <w:color w:val="auto"/>
          <w:highlight w:val="none"/>
        </w:rPr>
      </w:pPr>
      <w:bookmarkStart w:id="805" w:name="_Toc28531862"/>
      <w:bookmarkStart w:id="806" w:name="_Toc14895"/>
      <w:r>
        <w:rPr>
          <w:rFonts w:hint="eastAsia"/>
          <w:color w:val="auto"/>
          <w:highlight w:val="none"/>
        </w:rPr>
        <w:t>附表</w:t>
      </w:r>
      <w:r>
        <w:rPr>
          <w:color w:val="auto"/>
          <w:highlight w:val="none"/>
        </w:rPr>
        <w:t>C-11</w:t>
      </w:r>
      <w:r>
        <w:rPr>
          <w:rFonts w:hint="eastAsia"/>
          <w:color w:val="auto"/>
          <w:highlight w:val="none"/>
        </w:rPr>
        <w:t>：清标报告</w:t>
      </w:r>
      <w:r>
        <w:rPr>
          <w:color w:val="auto"/>
          <w:highlight w:val="none"/>
        </w:rPr>
        <w:t>-</w:t>
      </w:r>
      <w:r>
        <w:rPr>
          <w:rFonts w:hint="eastAsia"/>
          <w:color w:val="auto"/>
          <w:highlight w:val="none"/>
        </w:rPr>
        <w:t>其他项目清单价格分析记录表</w:t>
      </w:r>
      <w:bookmarkEnd w:id="805"/>
      <w:bookmarkEnd w:id="806"/>
    </w:p>
    <w:p w14:paraId="16C7A47C">
      <w:pPr>
        <w:rPr>
          <w:rFonts w:ascii="黑体" w:eastAsia="黑体"/>
          <w:color w:val="auto"/>
          <w:szCs w:val="21"/>
          <w:highlight w:val="none"/>
        </w:rPr>
      </w:pPr>
    </w:p>
    <w:p w14:paraId="23C04AE4">
      <w:pPr>
        <w:rPr>
          <w:rFonts w:hint="eastAsia" w:ascii="黑体" w:eastAsia="黑体"/>
          <w:color w:val="auto"/>
          <w:szCs w:val="21"/>
          <w:highlight w:val="none"/>
        </w:rPr>
      </w:pPr>
    </w:p>
    <w:p w14:paraId="07C439D2">
      <w:pPr>
        <w:spacing w:before="120" w:beforeLines="50" w:after="120" w:afterLines="5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清标报告-其他项目清单价格分析记录表</w:t>
      </w:r>
    </w:p>
    <w:p w14:paraId="370CC2D6">
      <w:pPr>
        <w:rPr>
          <w:rFonts w:hint="eastAsia" w:ascii="宋体" w:hAnsi="宋体"/>
          <w:color w:val="auto"/>
          <w:szCs w:val="21"/>
          <w:highlight w:val="none"/>
        </w:rPr>
      </w:pPr>
    </w:p>
    <w:p w14:paraId="5F025E49">
      <w:pPr>
        <w:rPr>
          <w:rFonts w:hint="eastAsia" w:ascii="宋体" w:hAnsi="宋体"/>
          <w:color w:val="auto"/>
          <w:szCs w:val="21"/>
          <w:highlight w:val="none"/>
        </w:rPr>
      </w:pPr>
      <w:r>
        <w:rPr>
          <w:rFonts w:hint="eastAsia" w:ascii="宋体" w:hAnsi="宋体"/>
          <w:color w:val="auto"/>
          <w:szCs w:val="21"/>
          <w:highlight w:val="none"/>
        </w:rPr>
        <w:t>投标人名称：</w:t>
      </w:r>
    </w:p>
    <w:p w14:paraId="0E083620">
      <w:pPr>
        <w:rPr>
          <w:rFonts w:hint="eastAsia" w:ascii="宋体" w:hAnsi="宋体"/>
          <w:color w:val="auto"/>
          <w:szCs w:val="21"/>
          <w:highlight w:val="none"/>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4026"/>
        <w:gridCol w:w="1259"/>
      </w:tblGrid>
      <w:tr w14:paraId="5A8D10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6" w:space="0"/>
              <w:left w:val="single" w:color="auto" w:sz="6" w:space="0"/>
              <w:bottom w:val="single" w:color="auto" w:sz="4" w:space="0"/>
              <w:right w:val="single" w:color="auto" w:sz="4" w:space="0"/>
            </w:tcBorders>
            <w:noWrap w:val="0"/>
            <w:vAlign w:val="center"/>
          </w:tcPr>
          <w:p w14:paraId="025F0E1E">
            <w:pPr>
              <w:jc w:val="center"/>
              <w:rPr>
                <w:color w:val="auto"/>
                <w:sz w:val="20"/>
                <w:szCs w:val="20"/>
                <w:highlight w:val="none"/>
              </w:rPr>
            </w:pPr>
            <w:r>
              <w:rPr>
                <w:rFonts w:hint="eastAsia"/>
                <w:color w:val="auto"/>
                <w:sz w:val="20"/>
                <w:szCs w:val="20"/>
                <w:highlight w:val="none"/>
              </w:rPr>
              <w:t>单位工程名称</w:t>
            </w:r>
          </w:p>
        </w:tc>
        <w:tc>
          <w:tcPr>
            <w:tcW w:w="5285" w:type="dxa"/>
            <w:gridSpan w:val="2"/>
            <w:tcBorders>
              <w:top w:val="single" w:color="auto" w:sz="6" w:space="0"/>
              <w:left w:val="single" w:color="auto" w:sz="6" w:space="0"/>
              <w:bottom w:val="single" w:color="auto" w:sz="4" w:space="0"/>
              <w:right w:val="single" w:color="auto" w:sz="6" w:space="0"/>
            </w:tcBorders>
            <w:noWrap w:val="0"/>
            <w:vAlign w:val="center"/>
          </w:tcPr>
          <w:p w14:paraId="1777A55E">
            <w:pPr>
              <w:jc w:val="center"/>
              <w:rPr>
                <w:color w:val="auto"/>
                <w:sz w:val="20"/>
                <w:szCs w:val="20"/>
                <w:highlight w:val="none"/>
              </w:rPr>
            </w:pPr>
          </w:p>
        </w:tc>
      </w:tr>
      <w:tr w14:paraId="7D2439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10291014">
            <w:pPr>
              <w:jc w:val="center"/>
              <w:rPr>
                <w:color w:val="auto"/>
                <w:sz w:val="20"/>
                <w:szCs w:val="20"/>
                <w:highlight w:val="none"/>
              </w:rPr>
            </w:pPr>
            <w:r>
              <w:rPr>
                <w:rFonts w:hint="eastAsia"/>
                <w:color w:val="auto"/>
                <w:sz w:val="20"/>
                <w:szCs w:val="20"/>
                <w:highlight w:val="none"/>
              </w:rPr>
              <w:t>项目名称</w:t>
            </w:r>
          </w:p>
        </w:tc>
        <w:tc>
          <w:tcPr>
            <w:tcW w:w="4026" w:type="dxa"/>
            <w:tcBorders>
              <w:top w:val="single" w:color="auto" w:sz="4" w:space="0"/>
              <w:left w:val="single" w:color="auto" w:sz="6" w:space="0"/>
              <w:bottom w:val="single" w:color="auto" w:sz="4" w:space="0"/>
              <w:right w:val="single" w:color="auto" w:sz="6" w:space="0"/>
            </w:tcBorders>
            <w:noWrap w:val="0"/>
            <w:vAlign w:val="center"/>
          </w:tcPr>
          <w:p w14:paraId="0FDE083A">
            <w:pPr>
              <w:jc w:val="center"/>
              <w:rPr>
                <w:color w:val="auto"/>
                <w:sz w:val="20"/>
                <w:szCs w:val="20"/>
                <w:highlight w:val="none"/>
              </w:rPr>
            </w:pPr>
            <w:r>
              <w:rPr>
                <w:rFonts w:hint="eastAsia" w:ascii="宋体" w:hAnsi="宋体"/>
                <w:color w:val="auto"/>
                <w:szCs w:val="21"/>
                <w:highlight w:val="none"/>
              </w:rPr>
              <w:t>企业管理费和利润</w:t>
            </w:r>
          </w:p>
        </w:tc>
        <w:tc>
          <w:tcPr>
            <w:tcW w:w="1259" w:type="dxa"/>
            <w:tcBorders>
              <w:top w:val="single" w:color="auto" w:sz="4" w:space="0"/>
              <w:left w:val="single" w:color="auto" w:sz="6" w:space="0"/>
              <w:bottom w:val="single" w:color="auto" w:sz="4" w:space="0"/>
              <w:right w:val="single" w:color="auto" w:sz="6" w:space="0"/>
            </w:tcBorders>
            <w:noWrap w:val="0"/>
            <w:vAlign w:val="center"/>
          </w:tcPr>
          <w:p w14:paraId="790587E3">
            <w:pPr>
              <w:jc w:val="center"/>
              <w:rPr>
                <w:color w:val="auto"/>
                <w:sz w:val="20"/>
                <w:szCs w:val="20"/>
                <w:highlight w:val="none"/>
              </w:rPr>
            </w:pPr>
            <w:r>
              <w:rPr>
                <w:rFonts w:hint="eastAsia"/>
                <w:color w:val="auto"/>
                <w:sz w:val="20"/>
                <w:szCs w:val="20"/>
                <w:highlight w:val="none"/>
              </w:rPr>
              <w:t>备注</w:t>
            </w:r>
          </w:p>
        </w:tc>
      </w:tr>
      <w:tr w14:paraId="20D6DBA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6" w:space="0"/>
              <w:right w:val="single" w:color="auto" w:sz="4" w:space="0"/>
            </w:tcBorders>
            <w:noWrap w:val="0"/>
            <w:vAlign w:val="center"/>
          </w:tcPr>
          <w:p w14:paraId="349D1A08">
            <w:pPr>
              <w:jc w:val="center"/>
              <w:rPr>
                <w:color w:val="auto"/>
                <w:szCs w:val="21"/>
                <w:highlight w:val="none"/>
              </w:rPr>
            </w:pPr>
            <w:r>
              <w:rPr>
                <w:rFonts w:hint="eastAsia" w:ascii="宋体" w:hAnsi="宋体"/>
                <w:color w:val="auto"/>
                <w:szCs w:val="21"/>
                <w:highlight w:val="none"/>
              </w:rPr>
              <w:t>计日工表</w:t>
            </w:r>
          </w:p>
        </w:tc>
        <w:tc>
          <w:tcPr>
            <w:tcW w:w="4026" w:type="dxa"/>
            <w:tcBorders>
              <w:top w:val="single" w:color="auto" w:sz="4" w:space="0"/>
              <w:left w:val="single" w:color="auto" w:sz="6" w:space="0"/>
              <w:bottom w:val="single" w:color="auto" w:sz="6" w:space="0"/>
              <w:right w:val="single" w:color="auto" w:sz="6" w:space="0"/>
            </w:tcBorders>
            <w:noWrap w:val="0"/>
            <w:vAlign w:val="center"/>
          </w:tcPr>
          <w:p w14:paraId="468C6D30">
            <w:pPr>
              <w:jc w:val="center"/>
              <w:rPr>
                <w:color w:val="auto"/>
                <w:szCs w:val="21"/>
                <w:highlight w:val="none"/>
              </w:rPr>
            </w:pPr>
          </w:p>
        </w:tc>
        <w:tc>
          <w:tcPr>
            <w:tcW w:w="1259" w:type="dxa"/>
            <w:tcBorders>
              <w:top w:val="single" w:color="auto" w:sz="4" w:space="0"/>
              <w:left w:val="single" w:color="auto" w:sz="6" w:space="0"/>
              <w:bottom w:val="single" w:color="auto" w:sz="6" w:space="0"/>
              <w:right w:val="single" w:color="auto" w:sz="6" w:space="0"/>
            </w:tcBorders>
            <w:noWrap w:val="0"/>
            <w:vAlign w:val="center"/>
          </w:tcPr>
          <w:p w14:paraId="59FA3108">
            <w:pPr>
              <w:jc w:val="center"/>
              <w:rPr>
                <w:color w:val="auto"/>
                <w:szCs w:val="21"/>
                <w:highlight w:val="none"/>
              </w:rPr>
            </w:pPr>
          </w:p>
        </w:tc>
      </w:tr>
    </w:tbl>
    <w:p w14:paraId="6348ADD8">
      <w:pPr>
        <w:spacing w:before="480" w:beforeLines="200"/>
        <w:rPr>
          <w:rFonts w:hint="eastAsia" w:ascii="宋体" w:hAnsi="宋体"/>
          <w:color w:val="auto"/>
          <w:szCs w:val="21"/>
          <w:highlight w:val="none"/>
        </w:rPr>
      </w:pPr>
      <w:r>
        <w:rPr>
          <w:rFonts w:hint="eastAsia" w:ascii="宋体" w:hAnsi="宋体"/>
          <w:color w:val="auto"/>
          <w:szCs w:val="21"/>
          <w:highlight w:val="none"/>
        </w:rPr>
        <w:t>评标委员会成员签名：                                 日期：     年     月     日</w:t>
      </w:r>
    </w:p>
    <w:p w14:paraId="5B9904AF">
      <w:pPr>
        <w:rPr>
          <w:rFonts w:hint="eastAsia" w:ascii="黑体" w:hAnsi="Times New Roman" w:eastAsia="黑体"/>
          <w:color w:val="auto"/>
          <w:szCs w:val="21"/>
          <w:highlight w:val="none"/>
        </w:rPr>
      </w:pPr>
    </w:p>
    <w:p w14:paraId="563D0BB6">
      <w:pPr>
        <w:rPr>
          <w:rFonts w:hint="eastAsia" w:ascii="黑体" w:eastAsia="黑体"/>
          <w:color w:val="auto"/>
          <w:szCs w:val="21"/>
          <w:highlight w:val="none"/>
        </w:rPr>
      </w:pPr>
    </w:p>
    <w:p w14:paraId="3552AF80">
      <w:pPr>
        <w:rPr>
          <w:rFonts w:hint="eastAsia" w:ascii="黑体" w:eastAsia="黑体"/>
          <w:color w:val="auto"/>
          <w:szCs w:val="21"/>
          <w:highlight w:val="none"/>
        </w:rPr>
      </w:pPr>
    </w:p>
    <w:p w14:paraId="421280D6">
      <w:pPr>
        <w:rPr>
          <w:rFonts w:hint="eastAsia" w:ascii="黑体" w:eastAsia="黑体"/>
          <w:color w:val="auto"/>
          <w:szCs w:val="21"/>
          <w:highlight w:val="none"/>
        </w:rPr>
      </w:pPr>
    </w:p>
    <w:p w14:paraId="076794CF">
      <w:pPr>
        <w:rPr>
          <w:rFonts w:hint="eastAsia" w:ascii="黑体" w:eastAsia="黑体"/>
          <w:color w:val="auto"/>
          <w:szCs w:val="21"/>
          <w:highlight w:val="none"/>
        </w:rPr>
      </w:pPr>
    </w:p>
    <w:p w14:paraId="036450AC">
      <w:pPr>
        <w:rPr>
          <w:rFonts w:hint="eastAsia" w:ascii="黑体" w:eastAsia="黑体"/>
          <w:color w:val="auto"/>
          <w:szCs w:val="21"/>
          <w:highlight w:val="none"/>
        </w:rPr>
      </w:pPr>
    </w:p>
    <w:p w14:paraId="16080313">
      <w:pPr>
        <w:rPr>
          <w:rFonts w:hint="eastAsia" w:ascii="黑体" w:eastAsia="黑体"/>
          <w:color w:val="auto"/>
          <w:szCs w:val="21"/>
          <w:highlight w:val="none"/>
        </w:rPr>
      </w:pPr>
    </w:p>
    <w:p w14:paraId="369084F8">
      <w:pPr>
        <w:rPr>
          <w:rFonts w:hint="eastAsia" w:ascii="黑体" w:eastAsia="黑体"/>
          <w:color w:val="auto"/>
          <w:szCs w:val="21"/>
          <w:highlight w:val="none"/>
        </w:rPr>
      </w:pPr>
    </w:p>
    <w:p w14:paraId="2D8655EC">
      <w:pPr>
        <w:rPr>
          <w:rFonts w:hint="eastAsia" w:ascii="黑体" w:eastAsia="黑体"/>
          <w:color w:val="auto"/>
          <w:szCs w:val="21"/>
          <w:highlight w:val="none"/>
        </w:rPr>
      </w:pPr>
    </w:p>
    <w:p w14:paraId="5534640B">
      <w:pPr>
        <w:rPr>
          <w:rFonts w:hint="eastAsia" w:ascii="黑体" w:eastAsia="黑体"/>
          <w:color w:val="auto"/>
          <w:szCs w:val="21"/>
          <w:highlight w:val="none"/>
        </w:rPr>
      </w:pPr>
    </w:p>
    <w:p w14:paraId="66DAB303">
      <w:pPr>
        <w:rPr>
          <w:rFonts w:hint="eastAsia" w:ascii="黑体" w:eastAsia="黑体"/>
          <w:color w:val="auto"/>
          <w:szCs w:val="21"/>
          <w:highlight w:val="none"/>
        </w:rPr>
      </w:pPr>
    </w:p>
    <w:p w14:paraId="260F85E9">
      <w:pPr>
        <w:rPr>
          <w:rFonts w:hint="eastAsia" w:ascii="黑体" w:eastAsia="黑体"/>
          <w:color w:val="auto"/>
          <w:szCs w:val="21"/>
          <w:highlight w:val="none"/>
        </w:rPr>
      </w:pPr>
    </w:p>
    <w:p w14:paraId="3F9B14D2">
      <w:pPr>
        <w:rPr>
          <w:rFonts w:hint="eastAsia" w:ascii="黑体" w:eastAsia="黑体"/>
          <w:color w:val="auto"/>
          <w:szCs w:val="21"/>
          <w:highlight w:val="none"/>
        </w:rPr>
      </w:pPr>
    </w:p>
    <w:p w14:paraId="0EDE1284">
      <w:pPr>
        <w:rPr>
          <w:rFonts w:hint="eastAsia" w:ascii="黑体" w:eastAsia="黑体"/>
          <w:color w:val="auto"/>
          <w:szCs w:val="21"/>
          <w:highlight w:val="none"/>
        </w:rPr>
      </w:pPr>
    </w:p>
    <w:p w14:paraId="2B776A46">
      <w:pPr>
        <w:rPr>
          <w:rFonts w:hint="eastAsia" w:ascii="黑体" w:eastAsia="黑体"/>
          <w:color w:val="auto"/>
          <w:szCs w:val="21"/>
          <w:highlight w:val="none"/>
        </w:rPr>
      </w:pPr>
    </w:p>
    <w:p w14:paraId="0A1B0F53">
      <w:pPr>
        <w:rPr>
          <w:rFonts w:hint="eastAsia" w:ascii="黑体" w:eastAsia="黑体"/>
          <w:color w:val="auto"/>
          <w:szCs w:val="21"/>
          <w:highlight w:val="none"/>
        </w:rPr>
      </w:pPr>
    </w:p>
    <w:p w14:paraId="3C5322E2">
      <w:pPr>
        <w:rPr>
          <w:rFonts w:hint="eastAsia" w:ascii="黑体" w:eastAsia="黑体"/>
          <w:color w:val="auto"/>
          <w:szCs w:val="21"/>
          <w:highlight w:val="none"/>
        </w:rPr>
      </w:pPr>
    </w:p>
    <w:p w14:paraId="5F605AB3">
      <w:pPr>
        <w:rPr>
          <w:rFonts w:hint="eastAsia" w:ascii="黑体" w:eastAsia="黑体"/>
          <w:color w:val="auto"/>
          <w:szCs w:val="21"/>
          <w:highlight w:val="none"/>
        </w:rPr>
      </w:pPr>
    </w:p>
    <w:p w14:paraId="424226FC">
      <w:pPr>
        <w:rPr>
          <w:rFonts w:hint="eastAsia" w:ascii="黑体" w:eastAsia="黑体"/>
          <w:color w:val="auto"/>
          <w:szCs w:val="21"/>
          <w:highlight w:val="none"/>
        </w:rPr>
      </w:pPr>
    </w:p>
    <w:p w14:paraId="5EC0FBDE">
      <w:pPr>
        <w:rPr>
          <w:rFonts w:hint="eastAsia" w:ascii="黑体" w:eastAsia="黑体"/>
          <w:color w:val="auto"/>
          <w:szCs w:val="21"/>
          <w:highlight w:val="none"/>
        </w:rPr>
      </w:pPr>
    </w:p>
    <w:p w14:paraId="67A3FC79">
      <w:pPr>
        <w:rPr>
          <w:rFonts w:hint="eastAsia" w:ascii="黑体" w:eastAsia="黑体"/>
          <w:color w:val="auto"/>
          <w:szCs w:val="21"/>
          <w:highlight w:val="none"/>
        </w:rPr>
      </w:pPr>
    </w:p>
    <w:p w14:paraId="25782A03">
      <w:pPr>
        <w:rPr>
          <w:rFonts w:hint="eastAsia" w:ascii="黑体" w:eastAsia="黑体"/>
          <w:color w:val="auto"/>
          <w:szCs w:val="21"/>
          <w:highlight w:val="none"/>
        </w:rPr>
      </w:pPr>
    </w:p>
    <w:p w14:paraId="2231C0D3">
      <w:pPr>
        <w:rPr>
          <w:rFonts w:hint="eastAsia" w:ascii="黑体" w:eastAsia="黑体"/>
          <w:color w:val="auto"/>
          <w:szCs w:val="21"/>
          <w:highlight w:val="none"/>
        </w:rPr>
      </w:pPr>
    </w:p>
    <w:p w14:paraId="08BFF1C7">
      <w:pPr>
        <w:rPr>
          <w:rFonts w:hint="eastAsia" w:ascii="黑体" w:eastAsia="黑体"/>
          <w:color w:val="auto"/>
          <w:szCs w:val="21"/>
          <w:highlight w:val="none"/>
        </w:rPr>
      </w:pPr>
    </w:p>
    <w:p w14:paraId="5B668F17">
      <w:pPr>
        <w:rPr>
          <w:rFonts w:hint="eastAsia" w:ascii="黑体" w:eastAsia="黑体"/>
          <w:color w:val="auto"/>
          <w:szCs w:val="21"/>
          <w:highlight w:val="none"/>
        </w:rPr>
      </w:pPr>
    </w:p>
    <w:p w14:paraId="71309A4E">
      <w:pPr>
        <w:rPr>
          <w:rFonts w:hint="eastAsia" w:ascii="黑体" w:eastAsia="黑体"/>
          <w:color w:val="auto"/>
          <w:szCs w:val="21"/>
          <w:highlight w:val="none"/>
        </w:rPr>
      </w:pPr>
    </w:p>
    <w:p w14:paraId="1729BAFC">
      <w:pPr>
        <w:rPr>
          <w:rFonts w:hint="eastAsia" w:ascii="黑体" w:eastAsia="黑体"/>
          <w:color w:val="auto"/>
          <w:szCs w:val="21"/>
          <w:highlight w:val="none"/>
        </w:rPr>
      </w:pPr>
    </w:p>
    <w:p w14:paraId="6D5EE5AE">
      <w:pPr>
        <w:rPr>
          <w:rFonts w:hint="eastAsia" w:ascii="黑体" w:eastAsia="黑体"/>
          <w:color w:val="auto"/>
          <w:szCs w:val="21"/>
          <w:highlight w:val="none"/>
        </w:rPr>
      </w:pPr>
    </w:p>
    <w:p w14:paraId="75F864EB">
      <w:pPr>
        <w:pStyle w:val="33"/>
        <w:rPr>
          <w:rFonts w:hint="eastAsia" w:ascii="Times New Roman"/>
          <w:color w:val="auto"/>
          <w:highlight w:val="none"/>
        </w:rPr>
      </w:pPr>
      <w:bookmarkStart w:id="807" w:name="_Toc18846"/>
      <w:bookmarkStart w:id="808" w:name="_Toc28531863"/>
      <w:r>
        <w:rPr>
          <w:rFonts w:hint="eastAsia"/>
          <w:color w:val="auto"/>
          <w:highlight w:val="none"/>
        </w:rPr>
        <w:t>附表</w:t>
      </w:r>
      <w:r>
        <w:rPr>
          <w:color w:val="auto"/>
          <w:highlight w:val="none"/>
        </w:rPr>
        <w:t>C-12</w:t>
      </w:r>
      <w:r>
        <w:rPr>
          <w:rFonts w:hint="eastAsia"/>
          <w:color w:val="auto"/>
          <w:highlight w:val="none"/>
        </w:rPr>
        <w:t>：清标报告</w:t>
      </w:r>
      <w:r>
        <w:rPr>
          <w:color w:val="auto"/>
          <w:highlight w:val="none"/>
        </w:rPr>
        <w:t>-</w:t>
      </w:r>
      <w:r>
        <w:rPr>
          <w:rFonts w:hint="eastAsia"/>
          <w:color w:val="auto"/>
          <w:highlight w:val="none"/>
        </w:rPr>
        <w:t>建设项目总人工费分析记录表</w:t>
      </w:r>
      <w:bookmarkEnd w:id="807"/>
      <w:bookmarkEnd w:id="808"/>
    </w:p>
    <w:p w14:paraId="11719D55">
      <w:pPr>
        <w:spacing w:before="120" w:beforeLines="50" w:after="120" w:afterLines="50"/>
        <w:jc w:val="center"/>
        <w:rPr>
          <w:rFonts w:ascii="黑体" w:eastAsia="黑体"/>
          <w:color w:val="auto"/>
          <w:sz w:val="32"/>
          <w:szCs w:val="32"/>
          <w:highlight w:val="none"/>
        </w:rPr>
      </w:pPr>
    </w:p>
    <w:p w14:paraId="214AF966">
      <w:pPr>
        <w:spacing w:before="120" w:beforeLines="50" w:after="120" w:afterLines="5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清标报告-建设项目总人工费分析记录表</w:t>
      </w:r>
    </w:p>
    <w:p w14:paraId="7C98F664">
      <w:pPr>
        <w:spacing w:before="120" w:beforeLines="50" w:after="120" w:afterLines="50"/>
        <w:jc w:val="center"/>
        <w:rPr>
          <w:rFonts w:hint="eastAsia" w:ascii="黑体" w:eastAsia="黑体"/>
          <w:color w:val="auto"/>
          <w:sz w:val="32"/>
          <w:szCs w:val="32"/>
          <w:highlight w:val="none"/>
        </w:rPr>
      </w:pPr>
    </w:p>
    <w:p w14:paraId="0A076A9B">
      <w:pPr>
        <w:rPr>
          <w:rFonts w:hint="eastAsia" w:ascii="宋体" w:hAnsi="宋体"/>
          <w:color w:val="auto"/>
          <w:szCs w:val="21"/>
          <w:highlight w:val="none"/>
        </w:rPr>
      </w:pPr>
      <w:r>
        <w:rPr>
          <w:rFonts w:hint="eastAsia" w:ascii="宋体" w:hAnsi="宋体"/>
          <w:color w:val="auto"/>
          <w:szCs w:val="21"/>
          <w:highlight w:val="none"/>
        </w:rPr>
        <w:t>投标人名称：</w:t>
      </w:r>
    </w:p>
    <w:p w14:paraId="6E8AEA61">
      <w:pPr>
        <w:rPr>
          <w:rFonts w:hint="eastAsia" w:ascii="宋体" w:hAnsi="宋体"/>
          <w:color w:val="auto"/>
          <w:szCs w:val="21"/>
          <w:highlight w:val="none"/>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1324"/>
        <w:gridCol w:w="1351"/>
        <w:gridCol w:w="1351"/>
        <w:gridCol w:w="1259"/>
      </w:tblGrid>
      <w:tr w14:paraId="4E790A7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6" w:space="0"/>
              <w:left w:val="single" w:color="auto" w:sz="6" w:space="0"/>
              <w:bottom w:val="single" w:color="auto" w:sz="4" w:space="0"/>
              <w:right w:val="single" w:color="auto" w:sz="4" w:space="0"/>
            </w:tcBorders>
            <w:noWrap w:val="0"/>
            <w:vAlign w:val="center"/>
          </w:tcPr>
          <w:p w14:paraId="7EB40857">
            <w:pPr>
              <w:jc w:val="center"/>
              <w:rPr>
                <w:color w:val="auto"/>
                <w:sz w:val="20"/>
                <w:szCs w:val="20"/>
                <w:highlight w:val="none"/>
              </w:rPr>
            </w:pPr>
            <w:r>
              <w:rPr>
                <w:rFonts w:hint="eastAsia"/>
                <w:color w:val="auto"/>
                <w:sz w:val="20"/>
                <w:szCs w:val="20"/>
                <w:highlight w:val="none"/>
              </w:rPr>
              <w:t>建设项目名称</w:t>
            </w:r>
          </w:p>
        </w:tc>
        <w:tc>
          <w:tcPr>
            <w:tcW w:w="5285" w:type="dxa"/>
            <w:gridSpan w:val="4"/>
            <w:tcBorders>
              <w:top w:val="single" w:color="auto" w:sz="6" w:space="0"/>
              <w:left w:val="single" w:color="auto" w:sz="6" w:space="0"/>
              <w:bottom w:val="single" w:color="auto" w:sz="4" w:space="0"/>
              <w:right w:val="single" w:color="auto" w:sz="6" w:space="0"/>
            </w:tcBorders>
            <w:noWrap w:val="0"/>
            <w:vAlign w:val="center"/>
          </w:tcPr>
          <w:p w14:paraId="45444E36">
            <w:pPr>
              <w:jc w:val="center"/>
              <w:rPr>
                <w:color w:val="auto"/>
                <w:sz w:val="20"/>
                <w:szCs w:val="20"/>
                <w:highlight w:val="none"/>
              </w:rPr>
            </w:pPr>
          </w:p>
        </w:tc>
      </w:tr>
      <w:tr w14:paraId="6B3262A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1641A42A">
            <w:pPr>
              <w:jc w:val="center"/>
              <w:rPr>
                <w:color w:val="auto"/>
                <w:sz w:val="20"/>
                <w:szCs w:val="20"/>
                <w:highlight w:val="none"/>
              </w:rPr>
            </w:pPr>
            <w:r>
              <w:rPr>
                <w:rFonts w:hint="eastAsia"/>
                <w:color w:val="auto"/>
                <w:sz w:val="20"/>
                <w:szCs w:val="20"/>
                <w:highlight w:val="none"/>
              </w:rPr>
              <w:t>项目名称</w:t>
            </w:r>
          </w:p>
        </w:tc>
        <w:tc>
          <w:tcPr>
            <w:tcW w:w="1324" w:type="dxa"/>
            <w:tcBorders>
              <w:top w:val="single" w:color="auto" w:sz="4" w:space="0"/>
              <w:left w:val="single" w:color="auto" w:sz="6" w:space="0"/>
              <w:bottom w:val="single" w:color="auto" w:sz="4" w:space="0"/>
              <w:right w:val="single" w:color="auto" w:sz="6" w:space="0"/>
            </w:tcBorders>
            <w:noWrap w:val="0"/>
            <w:vAlign w:val="center"/>
          </w:tcPr>
          <w:p w14:paraId="67F14C03">
            <w:pPr>
              <w:jc w:val="center"/>
              <w:rPr>
                <w:color w:val="auto"/>
                <w:sz w:val="20"/>
                <w:szCs w:val="20"/>
                <w:highlight w:val="none"/>
              </w:rPr>
            </w:pPr>
            <w:r>
              <w:rPr>
                <w:rFonts w:hint="eastAsia"/>
                <w:color w:val="auto"/>
                <w:sz w:val="20"/>
                <w:szCs w:val="20"/>
                <w:highlight w:val="none"/>
              </w:rPr>
              <w:t>投标合计</w:t>
            </w:r>
          </w:p>
          <w:p w14:paraId="77CFF275">
            <w:pPr>
              <w:jc w:val="center"/>
              <w:rPr>
                <w:color w:val="auto"/>
                <w:sz w:val="20"/>
                <w:szCs w:val="20"/>
                <w:highlight w:val="none"/>
              </w:rPr>
            </w:pPr>
            <w:r>
              <w:rPr>
                <w:rFonts w:hint="eastAsia"/>
                <w:color w:val="auto"/>
                <w:sz w:val="20"/>
                <w:szCs w:val="20"/>
                <w:highlight w:val="none"/>
              </w:rPr>
              <w:t>金额</w:t>
            </w:r>
          </w:p>
        </w:tc>
        <w:tc>
          <w:tcPr>
            <w:tcW w:w="1351" w:type="dxa"/>
            <w:tcBorders>
              <w:top w:val="single" w:color="auto" w:sz="4" w:space="0"/>
              <w:left w:val="single" w:color="auto" w:sz="6" w:space="0"/>
              <w:bottom w:val="single" w:color="auto" w:sz="4" w:space="0"/>
              <w:right w:val="single" w:color="auto" w:sz="4" w:space="0"/>
            </w:tcBorders>
            <w:noWrap w:val="0"/>
            <w:vAlign w:val="center"/>
          </w:tcPr>
          <w:p w14:paraId="6841A204">
            <w:pPr>
              <w:jc w:val="center"/>
              <w:rPr>
                <w:color w:val="auto"/>
                <w:sz w:val="20"/>
                <w:szCs w:val="20"/>
                <w:highlight w:val="none"/>
              </w:rPr>
            </w:pPr>
            <w:r>
              <w:rPr>
                <w:rFonts w:hint="eastAsia"/>
                <w:color w:val="auto"/>
                <w:sz w:val="20"/>
                <w:szCs w:val="20"/>
                <w:highlight w:val="none"/>
              </w:rPr>
              <w:t>招标控制价的合计金额</w:t>
            </w:r>
          </w:p>
        </w:tc>
        <w:tc>
          <w:tcPr>
            <w:tcW w:w="1351" w:type="dxa"/>
            <w:tcBorders>
              <w:top w:val="single" w:color="auto" w:sz="4" w:space="0"/>
              <w:left w:val="single" w:color="auto" w:sz="4" w:space="0"/>
              <w:bottom w:val="single" w:color="auto" w:sz="4" w:space="0"/>
              <w:right w:val="single" w:color="auto" w:sz="6" w:space="0"/>
            </w:tcBorders>
            <w:noWrap w:val="0"/>
            <w:vAlign w:val="center"/>
          </w:tcPr>
          <w:p w14:paraId="1CDE521F">
            <w:pPr>
              <w:jc w:val="center"/>
              <w:rPr>
                <w:color w:val="auto"/>
                <w:szCs w:val="21"/>
                <w:highlight w:val="none"/>
              </w:rPr>
            </w:pPr>
            <w:r>
              <w:rPr>
                <w:rFonts w:hint="eastAsia"/>
                <w:color w:val="auto"/>
                <w:sz w:val="20"/>
                <w:szCs w:val="20"/>
                <w:highlight w:val="none"/>
              </w:rPr>
              <w:t>偏离幅度</w:t>
            </w:r>
          </w:p>
        </w:tc>
        <w:tc>
          <w:tcPr>
            <w:tcW w:w="1259" w:type="dxa"/>
            <w:tcBorders>
              <w:top w:val="single" w:color="auto" w:sz="4" w:space="0"/>
              <w:left w:val="single" w:color="auto" w:sz="6" w:space="0"/>
              <w:bottom w:val="single" w:color="auto" w:sz="4" w:space="0"/>
              <w:right w:val="single" w:color="auto" w:sz="6" w:space="0"/>
            </w:tcBorders>
            <w:noWrap w:val="0"/>
            <w:vAlign w:val="center"/>
          </w:tcPr>
          <w:p w14:paraId="7E759B9A">
            <w:pPr>
              <w:jc w:val="center"/>
              <w:rPr>
                <w:color w:val="auto"/>
                <w:szCs w:val="21"/>
                <w:highlight w:val="none"/>
              </w:rPr>
            </w:pPr>
            <w:r>
              <w:rPr>
                <w:rFonts w:hint="eastAsia"/>
                <w:color w:val="auto"/>
                <w:sz w:val="20"/>
                <w:szCs w:val="20"/>
                <w:highlight w:val="none"/>
              </w:rPr>
              <w:t>备注</w:t>
            </w:r>
          </w:p>
        </w:tc>
      </w:tr>
      <w:tr w14:paraId="3642019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6" w:space="0"/>
              <w:right w:val="single" w:color="auto" w:sz="4" w:space="0"/>
            </w:tcBorders>
            <w:noWrap w:val="0"/>
            <w:vAlign w:val="center"/>
          </w:tcPr>
          <w:p w14:paraId="21558FBC">
            <w:pPr>
              <w:jc w:val="center"/>
              <w:rPr>
                <w:color w:val="auto"/>
                <w:sz w:val="20"/>
                <w:szCs w:val="20"/>
                <w:highlight w:val="none"/>
              </w:rPr>
            </w:pPr>
            <w:r>
              <w:rPr>
                <w:rFonts w:hint="eastAsia"/>
                <w:color w:val="auto"/>
                <w:sz w:val="20"/>
                <w:szCs w:val="20"/>
                <w:highlight w:val="none"/>
              </w:rPr>
              <w:t>总人工费</w:t>
            </w:r>
          </w:p>
        </w:tc>
        <w:tc>
          <w:tcPr>
            <w:tcW w:w="1324" w:type="dxa"/>
            <w:tcBorders>
              <w:top w:val="single" w:color="auto" w:sz="4" w:space="0"/>
              <w:left w:val="single" w:color="auto" w:sz="6" w:space="0"/>
              <w:bottom w:val="single" w:color="auto" w:sz="6" w:space="0"/>
              <w:right w:val="single" w:color="auto" w:sz="6" w:space="0"/>
            </w:tcBorders>
            <w:noWrap w:val="0"/>
            <w:vAlign w:val="center"/>
          </w:tcPr>
          <w:p w14:paraId="6FCDB5D9">
            <w:pPr>
              <w:jc w:val="center"/>
              <w:rPr>
                <w:color w:val="auto"/>
                <w:sz w:val="20"/>
                <w:szCs w:val="20"/>
                <w:highlight w:val="none"/>
              </w:rPr>
            </w:pPr>
          </w:p>
        </w:tc>
        <w:tc>
          <w:tcPr>
            <w:tcW w:w="1351" w:type="dxa"/>
            <w:tcBorders>
              <w:top w:val="single" w:color="auto" w:sz="4" w:space="0"/>
              <w:left w:val="single" w:color="auto" w:sz="6" w:space="0"/>
              <w:bottom w:val="single" w:color="auto" w:sz="6" w:space="0"/>
              <w:right w:val="single" w:color="auto" w:sz="4" w:space="0"/>
            </w:tcBorders>
            <w:noWrap w:val="0"/>
            <w:vAlign w:val="center"/>
          </w:tcPr>
          <w:p w14:paraId="3E439955">
            <w:pPr>
              <w:jc w:val="center"/>
              <w:rPr>
                <w:color w:val="auto"/>
                <w:sz w:val="20"/>
                <w:szCs w:val="20"/>
                <w:highlight w:val="none"/>
              </w:rPr>
            </w:pPr>
          </w:p>
        </w:tc>
        <w:tc>
          <w:tcPr>
            <w:tcW w:w="1351" w:type="dxa"/>
            <w:tcBorders>
              <w:top w:val="single" w:color="auto" w:sz="4" w:space="0"/>
              <w:left w:val="single" w:color="auto" w:sz="4" w:space="0"/>
              <w:bottom w:val="single" w:color="auto" w:sz="6" w:space="0"/>
              <w:right w:val="single" w:color="auto" w:sz="6" w:space="0"/>
            </w:tcBorders>
            <w:noWrap w:val="0"/>
            <w:vAlign w:val="center"/>
          </w:tcPr>
          <w:p w14:paraId="04399FD2">
            <w:pPr>
              <w:jc w:val="center"/>
              <w:rPr>
                <w:color w:val="auto"/>
                <w:szCs w:val="21"/>
                <w:highlight w:val="none"/>
              </w:rPr>
            </w:pPr>
          </w:p>
        </w:tc>
        <w:tc>
          <w:tcPr>
            <w:tcW w:w="1259" w:type="dxa"/>
            <w:tcBorders>
              <w:top w:val="single" w:color="auto" w:sz="4" w:space="0"/>
              <w:left w:val="single" w:color="auto" w:sz="6" w:space="0"/>
              <w:bottom w:val="single" w:color="auto" w:sz="6" w:space="0"/>
              <w:right w:val="single" w:color="auto" w:sz="6" w:space="0"/>
            </w:tcBorders>
            <w:noWrap w:val="0"/>
            <w:vAlign w:val="center"/>
          </w:tcPr>
          <w:p w14:paraId="321DE2A4">
            <w:pPr>
              <w:jc w:val="center"/>
              <w:rPr>
                <w:color w:val="auto"/>
                <w:szCs w:val="21"/>
                <w:highlight w:val="none"/>
              </w:rPr>
            </w:pPr>
          </w:p>
        </w:tc>
      </w:tr>
    </w:tbl>
    <w:p w14:paraId="38D6ADAD">
      <w:pPr>
        <w:rPr>
          <w:rFonts w:hint="eastAsia" w:ascii="宋体" w:hAnsi="宋体"/>
          <w:color w:val="auto"/>
          <w:szCs w:val="21"/>
          <w:highlight w:val="none"/>
        </w:rPr>
      </w:pPr>
    </w:p>
    <w:p w14:paraId="7038886E">
      <w:pPr>
        <w:rPr>
          <w:rFonts w:hint="eastAsia" w:ascii="黑体" w:hAnsi="Times New Roman" w:eastAsia="黑体"/>
          <w:color w:val="auto"/>
          <w:szCs w:val="21"/>
          <w:highlight w:val="none"/>
        </w:rPr>
      </w:pPr>
      <w:r>
        <w:rPr>
          <w:rFonts w:hint="eastAsia" w:ascii="宋体" w:hAnsi="宋体"/>
          <w:color w:val="auto"/>
          <w:szCs w:val="21"/>
          <w:highlight w:val="none"/>
        </w:rPr>
        <w:t>评标委员会成员签名：                                 日期：     年     月     日</w:t>
      </w:r>
    </w:p>
    <w:p w14:paraId="470E2735">
      <w:pPr>
        <w:rPr>
          <w:rFonts w:hint="eastAsia" w:ascii="黑体" w:eastAsia="黑体"/>
          <w:color w:val="auto"/>
          <w:szCs w:val="21"/>
          <w:highlight w:val="none"/>
        </w:rPr>
      </w:pPr>
    </w:p>
    <w:p w14:paraId="51204F81">
      <w:pPr>
        <w:rPr>
          <w:rFonts w:hint="eastAsia" w:ascii="黑体" w:eastAsia="黑体"/>
          <w:color w:val="auto"/>
          <w:szCs w:val="21"/>
          <w:highlight w:val="none"/>
        </w:rPr>
      </w:pPr>
    </w:p>
    <w:p w14:paraId="6659A51B">
      <w:pPr>
        <w:rPr>
          <w:rFonts w:hint="eastAsia" w:ascii="黑体" w:eastAsia="黑体"/>
          <w:color w:val="auto"/>
          <w:szCs w:val="21"/>
          <w:highlight w:val="none"/>
        </w:rPr>
      </w:pPr>
    </w:p>
    <w:p w14:paraId="1DC0B517">
      <w:pPr>
        <w:rPr>
          <w:rFonts w:hint="eastAsia" w:ascii="黑体" w:eastAsia="黑体"/>
          <w:color w:val="auto"/>
          <w:szCs w:val="21"/>
          <w:highlight w:val="none"/>
        </w:rPr>
      </w:pPr>
    </w:p>
    <w:p w14:paraId="0643086F">
      <w:pPr>
        <w:rPr>
          <w:rFonts w:hint="eastAsia" w:ascii="黑体" w:eastAsia="黑体"/>
          <w:color w:val="auto"/>
          <w:szCs w:val="21"/>
          <w:highlight w:val="none"/>
        </w:rPr>
      </w:pPr>
    </w:p>
    <w:p w14:paraId="7BA122B4">
      <w:pPr>
        <w:rPr>
          <w:rFonts w:hint="eastAsia" w:ascii="黑体" w:eastAsia="黑体"/>
          <w:color w:val="auto"/>
          <w:szCs w:val="21"/>
          <w:highlight w:val="none"/>
        </w:rPr>
      </w:pPr>
    </w:p>
    <w:p w14:paraId="6D6D1678">
      <w:pPr>
        <w:rPr>
          <w:rFonts w:hint="eastAsia" w:ascii="黑体" w:eastAsia="黑体"/>
          <w:color w:val="auto"/>
          <w:szCs w:val="21"/>
          <w:highlight w:val="none"/>
        </w:rPr>
      </w:pPr>
    </w:p>
    <w:p w14:paraId="7AEBFEEE">
      <w:pPr>
        <w:rPr>
          <w:rFonts w:hint="eastAsia" w:ascii="黑体" w:eastAsia="黑体"/>
          <w:color w:val="auto"/>
          <w:szCs w:val="21"/>
          <w:highlight w:val="none"/>
        </w:rPr>
      </w:pPr>
    </w:p>
    <w:p w14:paraId="4D0D8647">
      <w:pPr>
        <w:rPr>
          <w:rFonts w:hint="eastAsia" w:ascii="黑体" w:eastAsia="黑体"/>
          <w:color w:val="auto"/>
          <w:szCs w:val="21"/>
          <w:highlight w:val="none"/>
        </w:rPr>
      </w:pPr>
    </w:p>
    <w:p w14:paraId="7F75E061">
      <w:pPr>
        <w:rPr>
          <w:rFonts w:hint="eastAsia" w:ascii="黑体" w:eastAsia="黑体"/>
          <w:color w:val="auto"/>
          <w:szCs w:val="21"/>
          <w:highlight w:val="none"/>
        </w:rPr>
      </w:pPr>
    </w:p>
    <w:p w14:paraId="65F70020">
      <w:pPr>
        <w:rPr>
          <w:rFonts w:hint="eastAsia" w:ascii="黑体" w:eastAsia="黑体"/>
          <w:color w:val="auto"/>
          <w:szCs w:val="21"/>
          <w:highlight w:val="none"/>
        </w:rPr>
      </w:pPr>
    </w:p>
    <w:p w14:paraId="6B1FB509">
      <w:pPr>
        <w:rPr>
          <w:rFonts w:hint="eastAsia" w:ascii="黑体" w:eastAsia="黑体"/>
          <w:color w:val="auto"/>
          <w:szCs w:val="21"/>
          <w:highlight w:val="none"/>
        </w:rPr>
      </w:pPr>
    </w:p>
    <w:p w14:paraId="6D637612">
      <w:pPr>
        <w:rPr>
          <w:rFonts w:hint="eastAsia" w:ascii="黑体" w:eastAsia="黑体"/>
          <w:color w:val="auto"/>
          <w:szCs w:val="21"/>
          <w:highlight w:val="none"/>
        </w:rPr>
      </w:pPr>
    </w:p>
    <w:p w14:paraId="5055A086">
      <w:pPr>
        <w:rPr>
          <w:rFonts w:hint="eastAsia" w:ascii="黑体" w:eastAsia="黑体"/>
          <w:color w:val="auto"/>
          <w:szCs w:val="21"/>
          <w:highlight w:val="none"/>
        </w:rPr>
      </w:pPr>
    </w:p>
    <w:p w14:paraId="29F69392">
      <w:pPr>
        <w:rPr>
          <w:rFonts w:hint="eastAsia" w:ascii="黑体" w:eastAsia="黑体"/>
          <w:color w:val="auto"/>
          <w:szCs w:val="21"/>
          <w:highlight w:val="none"/>
        </w:rPr>
      </w:pPr>
    </w:p>
    <w:p w14:paraId="0126E6B4">
      <w:pPr>
        <w:rPr>
          <w:rFonts w:hint="eastAsia" w:ascii="黑体" w:eastAsia="黑体"/>
          <w:color w:val="auto"/>
          <w:szCs w:val="21"/>
          <w:highlight w:val="none"/>
        </w:rPr>
      </w:pPr>
    </w:p>
    <w:p w14:paraId="76B8541A">
      <w:pPr>
        <w:rPr>
          <w:rFonts w:hint="eastAsia" w:ascii="黑体" w:eastAsia="黑体"/>
          <w:color w:val="auto"/>
          <w:szCs w:val="21"/>
          <w:highlight w:val="none"/>
        </w:rPr>
      </w:pPr>
    </w:p>
    <w:p w14:paraId="6BDE800B">
      <w:pPr>
        <w:rPr>
          <w:rFonts w:hint="eastAsia" w:ascii="黑体" w:eastAsia="黑体"/>
          <w:color w:val="auto"/>
          <w:szCs w:val="21"/>
          <w:highlight w:val="none"/>
        </w:rPr>
      </w:pPr>
    </w:p>
    <w:p w14:paraId="4A966353">
      <w:pPr>
        <w:rPr>
          <w:rFonts w:hint="eastAsia" w:ascii="黑体" w:eastAsia="黑体"/>
          <w:color w:val="auto"/>
          <w:szCs w:val="21"/>
          <w:highlight w:val="none"/>
        </w:rPr>
      </w:pPr>
    </w:p>
    <w:p w14:paraId="7E26C9B8">
      <w:pPr>
        <w:rPr>
          <w:rFonts w:hint="eastAsia" w:ascii="黑体" w:eastAsia="黑体"/>
          <w:color w:val="auto"/>
          <w:szCs w:val="21"/>
          <w:highlight w:val="none"/>
        </w:rPr>
      </w:pPr>
    </w:p>
    <w:p w14:paraId="53072F09">
      <w:pPr>
        <w:rPr>
          <w:rFonts w:hint="eastAsia" w:ascii="黑体" w:eastAsia="黑体"/>
          <w:color w:val="auto"/>
          <w:szCs w:val="21"/>
          <w:highlight w:val="none"/>
        </w:rPr>
      </w:pPr>
    </w:p>
    <w:p w14:paraId="77B19F69">
      <w:pPr>
        <w:rPr>
          <w:rFonts w:hint="eastAsia" w:ascii="黑体" w:eastAsia="黑体"/>
          <w:color w:val="auto"/>
          <w:szCs w:val="21"/>
          <w:highlight w:val="none"/>
        </w:rPr>
      </w:pPr>
    </w:p>
    <w:p w14:paraId="74FFDCE9">
      <w:pPr>
        <w:rPr>
          <w:rFonts w:hint="eastAsia" w:ascii="黑体" w:eastAsia="黑体"/>
          <w:color w:val="auto"/>
          <w:szCs w:val="21"/>
          <w:highlight w:val="none"/>
        </w:rPr>
      </w:pPr>
    </w:p>
    <w:p w14:paraId="551D80A2">
      <w:pPr>
        <w:rPr>
          <w:rFonts w:hint="eastAsia" w:ascii="黑体" w:eastAsia="黑体"/>
          <w:color w:val="auto"/>
          <w:szCs w:val="21"/>
          <w:highlight w:val="none"/>
        </w:rPr>
      </w:pPr>
      <w:r>
        <w:rPr>
          <w:rFonts w:ascii="黑体" w:eastAsia="黑体"/>
          <w:color w:val="auto"/>
          <w:szCs w:val="21"/>
          <w:highlight w:val="none"/>
        </w:rPr>
        <w:br w:type="textWrapping"/>
      </w:r>
      <w:r>
        <w:rPr>
          <w:rFonts w:hint="eastAsia" w:ascii="黑体" w:eastAsia="黑体"/>
          <w:color w:val="auto"/>
          <w:szCs w:val="21"/>
          <w:highlight w:val="none"/>
        </w:rPr>
        <w:br w:type="textWrapping"/>
      </w:r>
    </w:p>
    <w:p w14:paraId="62A4EF38">
      <w:pPr>
        <w:rPr>
          <w:rFonts w:hint="eastAsia" w:ascii="黑体" w:eastAsia="黑体"/>
          <w:color w:val="auto"/>
          <w:szCs w:val="21"/>
          <w:highlight w:val="none"/>
        </w:rPr>
      </w:pPr>
      <w:r>
        <w:rPr>
          <w:rFonts w:ascii="黑体" w:eastAsia="黑体"/>
          <w:color w:val="auto"/>
          <w:szCs w:val="21"/>
          <w:highlight w:val="none"/>
        </w:rPr>
        <w:br w:type="textWrapping"/>
      </w:r>
    </w:p>
    <w:p w14:paraId="3F05AA25">
      <w:pPr>
        <w:rPr>
          <w:rFonts w:hint="eastAsia" w:ascii="黑体" w:eastAsia="黑体"/>
          <w:color w:val="auto"/>
          <w:szCs w:val="21"/>
          <w:highlight w:val="none"/>
        </w:rPr>
      </w:pPr>
    </w:p>
    <w:p w14:paraId="4842B10A">
      <w:pPr>
        <w:rPr>
          <w:rFonts w:hint="eastAsia" w:ascii="黑体" w:eastAsia="黑体"/>
          <w:color w:val="auto"/>
          <w:szCs w:val="21"/>
          <w:highlight w:val="none"/>
        </w:rPr>
      </w:pPr>
    </w:p>
    <w:p w14:paraId="5A554EFA">
      <w:pPr>
        <w:rPr>
          <w:rFonts w:hint="eastAsia" w:ascii="黑体" w:eastAsia="黑体"/>
          <w:color w:val="auto"/>
          <w:szCs w:val="21"/>
          <w:highlight w:val="none"/>
        </w:rPr>
      </w:pPr>
    </w:p>
    <w:p w14:paraId="5E5B8EC0">
      <w:pPr>
        <w:pStyle w:val="33"/>
        <w:rPr>
          <w:rFonts w:hint="eastAsia" w:ascii="Times New Roman"/>
          <w:color w:val="auto"/>
          <w:highlight w:val="none"/>
        </w:rPr>
      </w:pPr>
      <w:bookmarkStart w:id="809" w:name="_Toc13725"/>
      <w:bookmarkStart w:id="810" w:name="_Toc28531864"/>
      <w:r>
        <w:rPr>
          <w:rFonts w:hint="eastAsia"/>
          <w:color w:val="auto"/>
          <w:highlight w:val="none"/>
        </w:rPr>
        <w:t>附表</w:t>
      </w:r>
      <w:r>
        <w:rPr>
          <w:color w:val="auto"/>
          <w:highlight w:val="none"/>
        </w:rPr>
        <w:t>C-13</w:t>
      </w:r>
      <w:r>
        <w:rPr>
          <w:rFonts w:hint="eastAsia"/>
          <w:color w:val="auto"/>
          <w:highlight w:val="none"/>
        </w:rPr>
        <w:t>：清标报告</w:t>
      </w:r>
      <w:r>
        <w:rPr>
          <w:color w:val="auto"/>
          <w:highlight w:val="none"/>
        </w:rPr>
        <w:t>-</w:t>
      </w:r>
      <w:r>
        <w:rPr>
          <w:rFonts w:hint="eastAsia"/>
          <w:color w:val="auto"/>
          <w:highlight w:val="none"/>
        </w:rPr>
        <w:t>单位工程投标报价分析记录表</w:t>
      </w:r>
      <w:bookmarkEnd w:id="809"/>
      <w:bookmarkEnd w:id="810"/>
    </w:p>
    <w:p w14:paraId="69E71A7E">
      <w:pPr>
        <w:rPr>
          <w:rFonts w:ascii="黑体" w:eastAsia="黑体"/>
          <w:color w:val="auto"/>
          <w:szCs w:val="21"/>
          <w:highlight w:val="none"/>
        </w:rPr>
      </w:pPr>
    </w:p>
    <w:p w14:paraId="0E2EAE79">
      <w:pPr>
        <w:spacing w:before="120" w:beforeLines="50" w:after="120" w:afterLines="50"/>
        <w:jc w:val="center"/>
        <w:rPr>
          <w:rFonts w:hint="eastAsia" w:ascii="黑体" w:eastAsia="黑体"/>
          <w:color w:val="auto"/>
          <w:sz w:val="32"/>
          <w:szCs w:val="32"/>
          <w:highlight w:val="none"/>
        </w:rPr>
      </w:pPr>
    </w:p>
    <w:p w14:paraId="6270D4DF">
      <w:pPr>
        <w:spacing w:before="120" w:beforeLines="50" w:after="120" w:afterLines="50"/>
        <w:jc w:val="center"/>
        <w:rPr>
          <w:rFonts w:hint="eastAsia" w:ascii="黑体" w:eastAsia="黑体"/>
          <w:color w:val="auto"/>
          <w:sz w:val="32"/>
          <w:szCs w:val="32"/>
          <w:highlight w:val="none"/>
        </w:rPr>
      </w:pPr>
      <w:r>
        <w:rPr>
          <w:rFonts w:hint="eastAsia" w:ascii="黑体" w:eastAsia="黑体"/>
          <w:color w:val="auto"/>
          <w:sz w:val="32"/>
          <w:szCs w:val="32"/>
          <w:highlight w:val="none"/>
        </w:rPr>
        <w:t>清标报告-单位工程投标报价分析记录表</w:t>
      </w:r>
    </w:p>
    <w:p w14:paraId="6602EED1">
      <w:pPr>
        <w:spacing w:before="120" w:beforeLines="50" w:after="120" w:afterLines="50"/>
        <w:jc w:val="center"/>
        <w:rPr>
          <w:rFonts w:hint="eastAsia" w:ascii="黑体" w:eastAsia="黑体"/>
          <w:color w:val="auto"/>
          <w:sz w:val="32"/>
          <w:szCs w:val="32"/>
          <w:highlight w:val="none"/>
        </w:rPr>
      </w:pPr>
    </w:p>
    <w:p w14:paraId="580E9C18">
      <w:pPr>
        <w:rPr>
          <w:rFonts w:hint="eastAsia" w:ascii="宋体" w:hAnsi="宋体"/>
          <w:color w:val="auto"/>
          <w:szCs w:val="21"/>
          <w:highlight w:val="none"/>
        </w:rPr>
      </w:pPr>
      <w:r>
        <w:rPr>
          <w:rFonts w:hint="eastAsia" w:ascii="宋体" w:hAnsi="宋体"/>
          <w:color w:val="auto"/>
          <w:szCs w:val="21"/>
          <w:highlight w:val="none"/>
        </w:rPr>
        <w:t>投标人名称：</w:t>
      </w:r>
    </w:p>
    <w:p w14:paraId="4C5C5C97">
      <w:pPr>
        <w:rPr>
          <w:rFonts w:hint="eastAsia" w:ascii="宋体" w:hAnsi="宋体"/>
          <w:color w:val="auto"/>
          <w:szCs w:val="21"/>
          <w:highlight w:val="none"/>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1324"/>
        <w:gridCol w:w="1351"/>
        <w:gridCol w:w="1351"/>
        <w:gridCol w:w="1259"/>
      </w:tblGrid>
      <w:tr w14:paraId="0AD4963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6" w:space="0"/>
              <w:left w:val="single" w:color="auto" w:sz="6" w:space="0"/>
              <w:bottom w:val="single" w:color="auto" w:sz="4" w:space="0"/>
              <w:right w:val="single" w:color="auto" w:sz="4" w:space="0"/>
            </w:tcBorders>
            <w:noWrap w:val="0"/>
            <w:vAlign w:val="center"/>
          </w:tcPr>
          <w:p w14:paraId="0CC96F76">
            <w:pPr>
              <w:jc w:val="center"/>
              <w:rPr>
                <w:color w:val="auto"/>
                <w:sz w:val="20"/>
                <w:szCs w:val="20"/>
                <w:highlight w:val="none"/>
              </w:rPr>
            </w:pPr>
            <w:r>
              <w:rPr>
                <w:rFonts w:hint="eastAsia"/>
                <w:color w:val="auto"/>
                <w:sz w:val="20"/>
                <w:szCs w:val="20"/>
                <w:highlight w:val="none"/>
              </w:rPr>
              <w:t>建设项目名称</w:t>
            </w:r>
          </w:p>
        </w:tc>
        <w:tc>
          <w:tcPr>
            <w:tcW w:w="5285" w:type="dxa"/>
            <w:gridSpan w:val="4"/>
            <w:tcBorders>
              <w:top w:val="single" w:color="auto" w:sz="6" w:space="0"/>
              <w:left w:val="single" w:color="auto" w:sz="6" w:space="0"/>
              <w:bottom w:val="single" w:color="auto" w:sz="4" w:space="0"/>
              <w:right w:val="single" w:color="auto" w:sz="6" w:space="0"/>
            </w:tcBorders>
            <w:noWrap w:val="0"/>
            <w:vAlign w:val="center"/>
          </w:tcPr>
          <w:p w14:paraId="18B9230F">
            <w:pPr>
              <w:jc w:val="center"/>
              <w:rPr>
                <w:color w:val="auto"/>
                <w:sz w:val="20"/>
                <w:szCs w:val="20"/>
                <w:highlight w:val="none"/>
              </w:rPr>
            </w:pPr>
          </w:p>
        </w:tc>
      </w:tr>
      <w:tr w14:paraId="1B08236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539EEEF3">
            <w:pPr>
              <w:jc w:val="center"/>
              <w:rPr>
                <w:color w:val="auto"/>
                <w:sz w:val="20"/>
                <w:szCs w:val="20"/>
                <w:highlight w:val="none"/>
              </w:rPr>
            </w:pPr>
            <w:r>
              <w:rPr>
                <w:rFonts w:hint="eastAsia"/>
                <w:color w:val="auto"/>
                <w:sz w:val="20"/>
                <w:szCs w:val="20"/>
                <w:highlight w:val="none"/>
              </w:rPr>
              <w:t>单位工程名称</w:t>
            </w:r>
          </w:p>
        </w:tc>
        <w:tc>
          <w:tcPr>
            <w:tcW w:w="1324" w:type="dxa"/>
            <w:tcBorders>
              <w:top w:val="single" w:color="auto" w:sz="4" w:space="0"/>
              <w:left w:val="single" w:color="auto" w:sz="6" w:space="0"/>
              <w:bottom w:val="single" w:color="auto" w:sz="4" w:space="0"/>
              <w:right w:val="single" w:color="auto" w:sz="6" w:space="0"/>
            </w:tcBorders>
            <w:noWrap w:val="0"/>
            <w:vAlign w:val="center"/>
          </w:tcPr>
          <w:p w14:paraId="07915BF0">
            <w:pPr>
              <w:jc w:val="center"/>
              <w:rPr>
                <w:color w:val="auto"/>
                <w:sz w:val="20"/>
                <w:szCs w:val="20"/>
                <w:highlight w:val="none"/>
              </w:rPr>
            </w:pPr>
            <w:r>
              <w:rPr>
                <w:rFonts w:hint="eastAsia"/>
                <w:color w:val="auto"/>
                <w:sz w:val="20"/>
                <w:szCs w:val="20"/>
                <w:highlight w:val="none"/>
              </w:rPr>
              <w:t>投标合计</w:t>
            </w:r>
          </w:p>
          <w:p w14:paraId="4A055B1E">
            <w:pPr>
              <w:jc w:val="center"/>
              <w:rPr>
                <w:color w:val="auto"/>
                <w:sz w:val="20"/>
                <w:szCs w:val="20"/>
                <w:highlight w:val="none"/>
              </w:rPr>
            </w:pPr>
            <w:r>
              <w:rPr>
                <w:rFonts w:hint="eastAsia"/>
                <w:color w:val="auto"/>
                <w:sz w:val="20"/>
                <w:szCs w:val="20"/>
                <w:highlight w:val="none"/>
              </w:rPr>
              <w:t>金额</w:t>
            </w:r>
          </w:p>
        </w:tc>
        <w:tc>
          <w:tcPr>
            <w:tcW w:w="1351" w:type="dxa"/>
            <w:tcBorders>
              <w:top w:val="single" w:color="auto" w:sz="4" w:space="0"/>
              <w:left w:val="single" w:color="auto" w:sz="6" w:space="0"/>
              <w:bottom w:val="single" w:color="auto" w:sz="4" w:space="0"/>
              <w:right w:val="single" w:color="auto" w:sz="4" w:space="0"/>
            </w:tcBorders>
            <w:noWrap w:val="0"/>
            <w:vAlign w:val="center"/>
          </w:tcPr>
          <w:p w14:paraId="18F304ED">
            <w:pPr>
              <w:jc w:val="center"/>
              <w:rPr>
                <w:color w:val="auto"/>
                <w:sz w:val="20"/>
                <w:szCs w:val="20"/>
                <w:highlight w:val="none"/>
              </w:rPr>
            </w:pPr>
            <w:r>
              <w:rPr>
                <w:rFonts w:hint="eastAsia"/>
                <w:color w:val="auto"/>
                <w:sz w:val="20"/>
                <w:szCs w:val="20"/>
                <w:highlight w:val="none"/>
              </w:rPr>
              <w:t>招标控制价的合计金额</w:t>
            </w:r>
          </w:p>
        </w:tc>
        <w:tc>
          <w:tcPr>
            <w:tcW w:w="1351" w:type="dxa"/>
            <w:tcBorders>
              <w:top w:val="single" w:color="auto" w:sz="4" w:space="0"/>
              <w:left w:val="single" w:color="auto" w:sz="4" w:space="0"/>
              <w:bottom w:val="single" w:color="auto" w:sz="4" w:space="0"/>
              <w:right w:val="single" w:color="auto" w:sz="6" w:space="0"/>
            </w:tcBorders>
            <w:noWrap w:val="0"/>
            <w:vAlign w:val="center"/>
          </w:tcPr>
          <w:p w14:paraId="02D0B856">
            <w:pPr>
              <w:jc w:val="center"/>
              <w:rPr>
                <w:color w:val="auto"/>
                <w:szCs w:val="21"/>
                <w:highlight w:val="none"/>
              </w:rPr>
            </w:pPr>
            <w:r>
              <w:rPr>
                <w:rFonts w:hint="eastAsia"/>
                <w:color w:val="auto"/>
                <w:sz w:val="20"/>
                <w:szCs w:val="20"/>
                <w:highlight w:val="none"/>
              </w:rPr>
              <w:t>偏离幅度</w:t>
            </w:r>
          </w:p>
        </w:tc>
        <w:tc>
          <w:tcPr>
            <w:tcW w:w="1259" w:type="dxa"/>
            <w:tcBorders>
              <w:top w:val="single" w:color="auto" w:sz="4" w:space="0"/>
              <w:left w:val="single" w:color="auto" w:sz="6" w:space="0"/>
              <w:bottom w:val="single" w:color="auto" w:sz="4" w:space="0"/>
              <w:right w:val="single" w:color="auto" w:sz="6" w:space="0"/>
            </w:tcBorders>
            <w:noWrap w:val="0"/>
            <w:vAlign w:val="center"/>
          </w:tcPr>
          <w:p w14:paraId="5D23265E">
            <w:pPr>
              <w:jc w:val="center"/>
              <w:rPr>
                <w:color w:val="auto"/>
                <w:szCs w:val="21"/>
                <w:highlight w:val="none"/>
              </w:rPr>
            </w:pPr>
            <w:r>
              <w:rPr>
                <w:rFonts w:hint="eastAsia"/>
                <w:color w:val="auto"/>
                <w:sz w:val="20"/>
                <w:szCs w:val="20"/>
                <w:highlight w:val="none"/>
              </w:rPr>
              <w:t>备注</w:t>
            </w:r>
          </w:p>
        </w:tc>
      </w:tr>
      <w:tr w14:paraId="603DCE8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76B01512">
            <w:pPr>
              <w:jc w:val="center"/>
              <w:rPr>
                <w:color w:val="auto"/>
                <w:sz w:val="20"/>
                <w:szCs w:val="20"/>
                <w:highlight w:val="none"/>
              </w:rPr>
            </w:pPr>
          </w:p>
        </w:tc>
        <w:tc>
          <w:tcPr>
            <w:tcW w:w="1324" w:type="dxa"/>
            <w:tcBorders>
              <w:top w:val="single" w:color="auto" w:sz="4" w:space="0"/>
              <w:left w:val="single" w:color="auto" w:sz="6" w:space="0"/>
              <w:bottom w:val="single" w:color="auto" w:sz="4" w:space="0"/>
              <w:right w:val="single" w:color="auto" w:sz="6" w:space="0"/>
            </w:tcBorders>
            <w:noWrap w:val="0"/>
            <w:vAlign w:val="center"/>
          </w:tcPr>
          <w:p w14:paraId="22E3D5D8">
            <w:pPr>
              <w:jc w:val="center"/>
              <w:rPr>
                <w:color w:val="auto"/>
                <w:sz w:val="20"/>
                <w:szCs w:val="20"/>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292807F8">
            <w:pPr>
              <w:jc w:val="center"/>
              <w:rPr>
                <w:color w:val="auto"/>
                <w:sz w:val="20"/>
                <w:szCs w:val="20"/>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7599CC42">
            <w:pPr>
              <w:jc w:val="center"/>
              <w:rPr>
                <w:color w:val="auto"/>
                <w:szCs w:val="21"/>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167F0919">
            <w:pPr>
              <w:jc w:val="center"/>
              <w:rPr>
                <w:color w:val="auto"/>
                <w:szCs w:val="21"/>
                <w:highlight w:val="none"/>
              </w:rPr>
            </w:pPr>
          </w:p>
        </w:tc>
      </w:tr>
      <w:tr w14:paraId="5564586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1596A890">
            <w:pPr>
              <w:jc w:val="center"/>
              <w:rPr>
                <w:color w:val="auto"/>
                <w:sz w:val="20"/>
                <w:szCs w:val="20"/>
                <w:highlight w:val="none"/>
              </w:rPr>
            </w:pPr>
          </w:p>
        </w:tc>
        <w:tc>
          <w:tcPr>
            <w:tcW w:w="1324" w:type="dxa"/>
            <w:tcBorders>
              <w:top w:val="single" w:color="auto" w:sz="4" w:space="0"/>
              <w:left w:val="single" w:color="auto" w:sz="6" w:space="0"/>
              <w:bottom w:val="single" w:color="auto" w:sz="4" w:space="0"/>
              <w:right w:val="single" w:color="auto" w:sz="6" w:space="0"/>
            </w:tcBorders>
            <w:noWrap w:val="0"/>
            <w:vAlign w:val="center"/>
          </w:tcPr>
          <w:p w14:paraId="289B4213">
            <w:pPr>
              <w:jc w:val="center"/>
              <w:rPr>
                <w:color w:val="auto"/>
                <w:sz w:val="20"/>
                <w:szCs w:val="20"/>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0992C92D">
            <w:pPr>
              <w:jc w:val="center"/>
              <w:rPr>
                <w:color w:val="auto"/>
                <w:sz w:val="20"/>
                <w:szCs w:val="20"/>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21CE8F93">
            <w:pPr>
              <w:jc w:val="center"/>
              <w:rPr>
                <w:color w:val="auto"/>
                <w:szCs w:val="21"/>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1EC3CCA8">
            <w:pPr>
              <w:jc w:val="center"/>
              <w:rPr>
                <w:color w:val="auto"/>
                <w:szCs w:val="21"/>
                <w:highlight w:val="none"/>
              </w:rPr>
            </w:pPr>
          </w:p>
        </w:tc>
      </w:tr>
      <w:tr w14:paraId="6DFBF2C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4338FE1A">
            <w:pPr>
              <w:jc w:val="center"/>
              <w:rPr>
                <w:color w:val="auto"/>
                <w:sz w:val="20"/>
                <w:szCs w:val="20"/>
                <w:highlight w:val="none"/>
              </w:rPr>
            </w:pPr>
          </w:p>
        </w:tc>
        <w:tc>
          <w:tcPr>
            <w:tcW w:w="1324" w:type="dxa"/>
            <w:tcBorders>
              <w:top w:val="single" w:color="auto" w:sz="4" w:space="0"/>
              <w:left w:val="single" w:color="auto" w:sz="6" w:space="0"/>
              <w:bottom w:val="single" w:color="auto" w:sz="4" w:space="0"/>
              <w:right w:val="single" w:color="auto" w:sz="6" w:space="0"/>
            </w:tcBorders>
            <w:noWrap w:val="0"/>
            <w:vAlign w:val="center"/>
          </w:tcPr>
          <w:p w14:paraId="514AFBF1">
            <w:pPr>
              <w:jc w:val="center"/>
              <w:rPr>
                <w:color w:val="auto"/>
                <w:sz w:val="20"/>
                <w:szCs w:val="20"/>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58BF1A53">
            <w:pPr>
              <w:jc w:val="center"/>
              <w:rPr>
                <w:color w:val="auto"/>
                <w:sz w:val="20"/>
                <w:szCs w:val="20"/>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730BA781">
            <w:pPr>
              <w:jc w:val="center"/>
              <w:rPr>
                <w:color w:val="auto"/>
                <w:szCs w:val="21"/>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358B9467">
            <w:pPr>
              <w:jc w:val="center"/>
              <w:rPr>
                <w:color w:val="auto"/>
                <w:szCs w:val="21"/>
                <w:highlight w:val="none"/>
              </w:rPr>
            </w:pPr>
          </w:p>
        </w:tc>
      </w:tr>
      <w:tr w14:paraId="274174D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45F6034F">
            <w:pPr>
              <w:jc w:val="center"/>
              <w:rPr>
                <w:color w:val="auto"/>
                <w:sz w:val="20"/>
                <w:szCs w:val="20"/>
                <w:highlight w:val="none"/>
              </w:rPr>
            </w:pPr>
          </w:p>
        </w:tc>
        <w:tc>
          <w:tcPr>
            <w:tcW w:w="1324" w:type="dxa"/>
            <w:tcBorders>
              <w:top w:val="single" w:color="auto" w:sz="4" w:space="0"/>
              <w:left w:val="single" w:color="auto" w:sz="6" w:space="0"/>
              <w:bottom w:val="single" w:color="auto" w:sz="4" w:space="0"/>
              <w:right w:val="single" w:color="auto" w:sz="6" w:space="0"/>
            </w:tcBorders>
            <w:noWrap w:val="0"/>
            <w:vAlign w:val="center"/>
          </w:tcPr>
          <w:p w14:paraId="761DF641">
            <w:pPr>
              <w:jc w:val="center"/>
              <w:rPr>
                <w:color w:val="auto"/>
                <w:sz w:val="20"/>
                <w:szCs w:val="20"/>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45D0419C">
            <w:pPr>
              <w:jc w:val="center"/>
              <w:rPr>
                <w:color w:val="auto"/>
                <w:sz w:val="20"/>
                <w:szCs w:val="20"/>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701FB6A3">
            <w:pPr>
              <w:jc w:val="center"/>
              <w:rPr>
                <w:color w:val="auto"/>
                <w:szCs w:val="21"/>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79A89E22">
            <w:pPr>
              <w:jc w:val="center"/>
              <w:rPr>
                <w:color w:val="auto"/>
                <w:szCs w:val="21"/>
                <w:highlight w:val="none"/>
              </w:rPr>
            </w:pPr>
          </w:p>
        </w:tc>
      </w:tr>
      <w:tr w14:paraId="679759B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4" w:space="0"/>
              <w:right w:val="single" w:color="auto" w:sz="4" w:space="0"/>
            </w:tcBorders>
            <w:noWrap w:val="0"/>
            <w:vAlign w:val="center"/>
          </w:tcPr>
          <w:p w14:paraId="1D793808">
            <w:pPr>
              <w:jc w:val="center"/>
              <w:rPr>
                <w:color w:val="auto"/>
                <w:sz w:val="20"/>
                <w:szCs w:val="20"/>
                <w:highlight w:val="none"/>
              </w:rPr>
            </w:pPr>
          </w:p>
        </w:tc>
        <w:tc>
          <w:tcPr>
            <w:tcW w:w="1324" w:type="dxa"/>
            <w:tcBorders>
              <w:top w:val="single" w:color="auto" w:sz="4" w:space="0"/>
              <w:left w:val="single" w:color="auto" w:sz="6" w:space="0"/>
              <w:bottom w:val="single" w:color="auto" w:sz="4" w:space="0"/>
              <w:right w:val="single" w:color="auto" w:sz="6" w:space="0"/>
            </w:tcBorders>
            <w:noWrap w:val="0"/>
            <w:vAlign w:val="center"/>
          </w:tcPr>
          <w:p w14:paraId="348E257E">
            <w:pPr>
              <w:jc w:val="center"/>
              <w:rPr>
                <w:color w:val="auto"/>
                <w:sz w:val="20"/>
                <w:szCs w:val="20"/>
                <w:highlight w:val="none"/>
              </w:rPr>
            </w:pPr>
          </w:p>
        </w:tc>
        <w:tc>
          <w:tcPr>
            <w:tcW w:w="1351" w:type="dxa"/>
            <w:tcBorders>
              <w:top w:val="single" w:color="auto" w:sz="4" w:space="0"/>
              <w:left w:val="single" w:color="auto" w:sz="6" w:space="0"/>
              <w:bottom w:val="single" w:color="auto" w:sz="4" w:space="0"/>
              <w:right w:val="single" w:color="auto" w:sz="4" w:space="0"/>
            </w:tcBorders>
            <w:noWrap w:val="0"/>
            <w:vAlign w:val="center"/>
          </w:tcPr>
          <w:p w14:paraId="01557A45">
            <w:pPr>
              <w:jc w:val="center"/>
              <w:rPr>
                <w:color w:val="auto"/>
                <w:sz w:val="20"/>
                <w:szCs w:val="20"/>
                <w:highlight w:val="none"/>
              </w:rPr>
            </w:pPr>
          </w:p>
        </w:tc>
        <w:tc>
          <w:tcPr>
            <w:tcW w:w="1351" w:type="dxa"/>
            <w:tcBorders>
              <w:top w:val="single" w:color="auto" w:sz="4" w:space="0"/>
              <w:left w:val="single" w:color="auto" w:sz="4" w:space="0"/>
              <w:bottom w:val="single" w:color="auto" w:sz="4" w:space="0"/>
              <w:right w:val="single" w:color="auto" w:sz="6" w:space="0"/>
            </w:tcBorders>
            <w:noWrap w:val="0"/>
            <w:vAlign w:val="center"/>
          </w:tcPr>
          <w:p w14:paraId="075B889A">
            <w:pPr>
              <w:jc w:val="center"/>
              <w:rPr>
                <w:color w:val="auto"/>
                <w:szCs w:val="21"/>
                <w:highlight w:val="none"/>
              </w:rPr>
            </w:pPr>
          </w:p>
        </w:tc>
        <w:tc>
          <w:tcPr>
            <w:tcW w:w="1259" w:type="dxa"/>
            <w:tcBorders>
              <w:top w:val="single" w:color="auto" w:sz="4" w:space="0"/>
              <w:left w:val="single" w:color="auto" w:sz="6" w:space="0"/>
              <w:bottom w:val="single" w:color="auto" w:sz="4" w:space="0"/>
              <w:right w:val="single" w:color="auto" w:sz="6" w:space="0"/>
            </w:tcBorders>
            <w:noWrap w:val="0"/>
            <w:vAlign w:val="center"/>
          </w:tcPr>
          <w:p w14:paraId="53C85C79">
            <w:pPr>
              <w:jc w:val="center"/>
              <w:rPr>
                <w:color w:val="auto"/>
                <w:szCs w:val="21"/>
                <w:highlight w:val="none"/>
              </w:rPr>
            </w:pPr>
          </w:p>
        </w:tc>
      </w:tr>
      <w:tr w14:paraId="4D3BC85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tcBorders>
              <w:top w:val="single" w:color="auto" w:sz="4" w:space="0"/>
              <w:left w:val="single" w:color="auto" w:sz="6" w:space="0"/>
              <w:bottom w:val="single" w:color="auto" w:sz="6" w:space="0"/>
              <w:right w:val="single" w:color="auto" w:sz="4" w:space="0"/>
            </w:tcBorders>
            <w:noWrap w:val="0"/>
            <w:vAlign w:val="center"/>
          </w:tcPr>
          <w:p w14:paraId="083000B5">
            <w:pPr>
              <w:jc w:val="center"/>
              <w:rPr>
                <w:color w:val="auto"/>
                <w:sz w:val="20"/>
                <w:szCs w:val="20"/>
                <w:highlight w:val="none"/>
              </w:rPr>
            </w:pPr>
          </w:p>
        </w:tc>
        <w:tc>
          <w:tcPr>
            <w:tcW w:w="1324" w:type="dxa"/>
            <w:tcBorders>
              <w:top w:val="single" w:color="auto" w:sz="4" w:space="0"/>
              <w:left w:val="single" w:color="auto" w:sz="6" w:space="0"/>
              <w:bottom w:val="single" w:color="auto" w:sz="6" w:space="0"/>
              <w:right w:val="single" w:color="auto" w:sz="6" w:space="0"/>
            </w:tcBorders>
            <w:noWrap w:val="0"/>
            <w:vAlign w:val="center"/>
          </w:tcPr>
          <w:p w14:paraId="1E79EDDC">
            <w:pPr>
              <w:jc w:val="center"/>
              <w:rPr>
                <w:color w:val="auto"/>
                <w:sz w:val="20"/>
                <w:szCs w:val="20"/>
                <w:highlight w:val="none"/>
              </w:rPr>
            </w:pPr>
          </w:p>
        </w:tc>
        <w:tc>
          <w:tcPr>
            <w:tcW w:w="1351" w:type="dxa"/>
            <w:tcBorders>
              <w:top w:val="single" w:color="auto" w:sz="4" w:space="0"/>
              <w:left w:val="single" w:color="auto" w:sz="6" w:space="0"/>
              <w:bottom w:val="single" w:color="auto" w:sz="6" w:space="0"/>
              <w:right w:val="single" w:color="auto" w:sz="4" w:space="0"/>
            </w:tcBorders>
            <w:noWrap w:val="0"/>
            <w:vAlign w:val="center"/>
          </w:tcPr>
          <w:p w14:paraId="64AD3CD9">
            <w:pPr>
              <w:jc w:val="center"/>
              <w:rPr>
                <w:color w:val="auto"/>
                <w:sz w:val="20"/>
                <w:szCs w:val="20"/>
                <w:highlight w:val="none"/>
              </w:rPr>
            </w:pPr>
          </w:p>
        </w:tc>
        <w:tc>
          <w:tcPr>
            <w:tcW w:w="1351" w:type="dxa"/>
            <w:tcBorders>
              <w:top w:val="single" w:color="auto" w:sz="4" w:space="0"/>
              <w:left w:val="single" w:color="auto" w:sz="4" w:space="0"/>
              <w:bottom w:val="single" w:color="auto" w:sz="6" w:space="0"/>
              <w:right w:val="single" w:color="auto" w:sz="6" w:space="0"/>
            </w:tcBorders>
            <w:noWrap w:val="0"/>
            <w:vAlign w:val="center"/>
          </w:tcPr>
          <w:p w14:paraId="01586B55">
            <w:pPr>
              <w:jc w:val="center"/>
              <w:rPr>
                <w:color w:val="auto"/>
                <w:szCs w:val="21"/>
                <w:highlight w:val="none"/>
              </w:rPr>
            </w:pPr>
          </w:p>
        </w:tc>
        <w:tc>
          <w:tcPr>
            <w:tcW w:w="1259" w:type="dxa"/>
            <w:tcBorders>
              <w:top w:val="single" w:color="auto" w:sz="4" w:space="0"/>
              <w:left w:val="single" w:color="auto" w:sz="6" w:space="0"/>
              <w:bottom w:val="single" w:color="auto" w:sz="6" w:space="0"/>
              <w:right w:val="single" w:color="auto" w:sz="6" w:space="0"/>
            </w:tcBorders>
            <w:noWrap w:val="0"/>
            <w:vAlign w:val="center"/>
          </w:tcPr>
          <w:p w14:paraId="00F067BF">
            <w:pPr>
              <w:jc w:val="center"/>
              <w:rPr>
                <w:color w:val="auto"/>
                <w:szCs w:val="21"/>
                <w:highlight w:val="none"/>
              </w:rPr>
            </w:pPr>
          </w:p>
        </w:tc>
      </w:tr>
    </w:tbl>
    <w:p w14:paraId="49790E89">
      <w:pPr>
        <w:rPr>
          <w:rFonts w:hint="eastAsia" w:ascii="宋体" w:hAnsi="宋体"/>
          <w:color w:val="auto"/>
          <w:szCs w:val="21"/>
          <w:highlight w:val="none"/>
        </w:rPr>
      </w:pPr>
    </w:p>
    <w:p w14:paraId="4DC3BFF1">
      <w:pPr>
        <w:spacing w:line="420" w:lineRule="exact"/>
        <w:jc w:val="center"/>
        <w:rPr>
          <w:rFonts w:hint="eastAsia" w:ascii="Times New Roman" w:hAnsi="Times New Roman"/>
          <w:b/>
          <w:color w:val="auto"/>
          <w:sz w:val="20"/>
          <w:szCs w:val="20"/>
          <w:highlight w:val="none"/>
        </w:rPr>
      </w:pPr>
      <w:r>
        <w:rPr>
          <w:rFonts w:hint="eastAsia" w:ascii="宋体" w:hAnsi="宋体"/>
          <w:color w:val="auto"/>
          <w:szCs w:val="21"/>
          <w:highlight w:val="none"/>
        </w:rPr>
        <w:t>评标委员会成员签名：                                 日期：     年     月     日</w:t>
      </w:r>
      <w:r>
        <w:rPr>
          <w:rFonts w:ascii="宋体" w:hAnsi="宋体"/>
          <w:color w:val="auto"/>
          <w:szCs w:val="21"/>
          <w:highlight w:val="none"/>
        </w:rPr>
        <w:br w:type="textWrapping"/>
      </w:r>
    </w:p>
    <w:p w14:paraId="2220FF4E">
      <w:pPr>
        <w:spacing w:line="440" w:lineRule="exact"/>
        <w:ind w:firstLine="420" w:firstLineChars="200"/>
        <w:jc w:val="center"/>
        <w:rPr>
          <w:rFonts w:ascii="黑体" w:hAnsi="黑体" w:eastAsia="黑体" w:cs="黑体"/>
          <w:color w:val="auto"/>
          <w:sz w:val="32"/>
          <w:szCs w:val="32"/>
          <w:highlight w:val="none"/>
        </w:rPr>
      </w:pPr>
      <w:r>
        <w:rPr>
          <w:color w:val="auto"/>
          <w:highlight w:val="none"/>
        </w:rPr>
        <w:br w:type="page"/>
      </w:r>
      <w:r>
        <w:rPr>
          <w:rFonts w:hint="eastAsia" w:ascii="黑体" w:hAnsi="黑体" w:eastAsia="黑体" w:cs="黑体"/>
          <w:color w:val="auto"/>
          <w:sz w:val="32"/>
          <w:szCs w:val="32"/>
          <w:highlight w:val="none"/>
        </w:rPr>
        <w:t>清标报告</w:t>
      </w:r>
    </w:p>
    <w:p w14:paraId="57D04632">
      <w:pPr>
        <w:spacing w:line="440" w:lineRule="exact"/>
        <w:ind w:firstLine="420" w:firstLineChars="200"/>
        <w:jc w:val="left"/>
        <w:rPr>
          <w:rFonts w:hint="eastAsia" w:ascii="宋体" w:hAnsi="宋体" w:cs="宋体"/>
          <w:color w:val="auto"/>
          <w:szCs w:val="21"/>
          <w:highlight w:val="none"/>
        </w:rPr>
      </w:pPr>
    </w:p>
    <w:p w14:paraId="41AC662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项目名称：</w:t>
      </w:r>
    </w:p>
    <w:p w14:paraId="7107858C">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清标内容：</w:t>
      </w:r>
    </w:p>
    <w:p w14:paraId="31A0B43B">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1、已标价工程量清单符合检查情况</w:t>
      </w:r>
    </w:p>
    <w:p w14:paraId="2F218CAE">
      <w:pPr>
        <w:spacing w:line="440" w:lineRule="exact"/>
        <w:ind w:firstLine="420" w:firstLineChars="200"/>
        <w:jc w:val="left"/>
        <w:rPr>
          <w:rFonts w:hint="eastAsia" w:ascii="宋体" w:hAnsi="宋体" w:cs="宋体"/>
          <w:color w:val="auto"/>
          <w:szCs w:val="21"/>
          <w:highlight w:val="none"/>
        </w:rPr>
      </w:pPr>
    </w:p>
    <w:p w14:paraId="222B48C3">
      <w:pPr>
        <w:spacing w:line="440" w:lineRule="exact"/>
        <w:ind w:firstLine="420" w:firstLineChars="200"/>
        <w:jc w:val="left"/>
        <w:rPr>
          <w:rFonts w:hint="eastAsia" w:ascii="宋体" w:hAnsi="宋体" w:cs="宋体"/>
          <w:color w:val="auto"/>
          <w:szCs w:val="21"/>
          <w:highlight w:val="none"/>
        </w:rPr>
      </w:pPr>
    </w:p>
    <w:p w14:paraId="1B56DB9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2、已标价工程量清单算术错误修正情况</w:t>
      </w:r>
    </w:p>
    <w:p w14:paraId="22873149">
      <w:pPr>
        <w:spacing w:line="440" w:lineRule="exact"/>
        <w:ind w:firstLine="420" w:firstLineChars="200"/>
        <w:jc w:val="left"/>
        <w:rPr>
          <w:rFonts w:hint="eastAsia" w:ascii="宋体" w:hAnsi="宋体" w:cs="宋体"/>
          <w:color w:val="auto"/>
          <w:szCs w:val="21"/>
          <w:highlight w:val="none"/>
        </w:rPr>
      </w:pPr>
    </w:p>
    <w:p w14:paraId="390E936E">
      <w:pPr>
        <w:spacing w:line="440" w:lineRule="exact"/>
        <w:ind w:firstLine="420" w:firstLineChars="200"/>
        <w:jc w:val="left"/>
        <w:rPr>
          <w:rFonts w:hint="eastAsia" w:ascii="宋体" w:hAnsi="宋体" w:cs="宋体"/>
          <w:color w:val="auto"/>
          <w:szCs w:val="21"/>
          <w:highlight w:val="none"/>
        </w:rPr>
      </w:pPr>
    </w:p>
    <w:p w14:paraId="2A99FB10">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3、已标价工程量清单偏差分析情况</w:t>
      </w:r>
    </w:p>
    <w:p w14:paraId="12D923F5">
      <w:pPr>
        <w:spacing w:line="440" w:lineRule="exact"/>
        <w:ind w:firstLine="420" w:firstLineChars="200"/>
        <w:jc w:val="left"/>
        <w:rPr>
          <w:rFonts w:hint="eastAsia" w:ascii="宋体" w:hAnsi="宋体" w:cs="宋体"/>
          <w:color w:val="auto"/>
          <w:szCs w:val="21"/>
          <w:highlight w:val="none"/>
        </w:rPr>
      </w:pPr>
    </w:p>
    <w:p w14:paraId="240A25FD">
      <w:pPr>
        <w:spacing w:line="440" w:lineRule="exact"/>
        <w:ind w:firstLine="420" w:firstLineChars="200"/>
        <w:jc w:val="left"/>
        <w:rPr>
          <w:rFonts w:hint="eastAsia" w:ascii="宋体" w:hAnsi="宋体" w:cs="宋体"/>
          <w:color w:val="auto"/>
          <w:szCs w:val="21"/>
          <w:highlight w:val="none"/>
        </w:rPr>
      </w:pPr>
    </w:p>
    <w:p w14:paraId="13B78A3A">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4、投标报价一致或呈规律性差异比较，判决否决投标情况</w:t>
      </w:r>
    </w:p>
    <w:p w14:paraId="1D2B56E4">
      <w:pPr>
        <w:spacing w:line="440" w:lineRule="exact"/>
        <w:ind w:firstLine="420" w:firstLineChars="200"/>
        <w:jc w:val="left"/>
        <w:rPr>
          <w:rFonts w:hint="eastAsia" w:ascii="宋体" w:hAnsi="宋体" w:cs="宋体"/>
          <w:color w:val="auto"/>
          <w:szCs w:val="21"/>
          <w:highlight w:val="none"/>
        </w:rPr>
      </w:pPr>
    </w:p>
    <w:p w14:paraId="5745A5F5">
      <w:pPr>
        <w:spacing w:line="440" w:lineRule="exact"/>
        <w:ind w:firstLine="420" w:firstLineChars="200"/>
        <w:jc w:val="left"/>
        <w:rPr>
          <w:rFonts w:hint="eastAsia" w:ascii="宋体" w:hAnsi="宋体" w:cs="宋体"/>
          <w:color w:val="auto"/>
          <w:szCs w:val="21"/>
          <w:highlight w:val="none"/>
        </w:rPr>
      </w:pPr>
    </w:p>
    <w:p w14:paraId="5BB8BF3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5、投标报价合理性分析情况</w:t>
      </w:r>
    </w:p>
    <w:p w14:paraId="1A03FC54">
      <w:pPr>
        <w:spacing w:line="440" w:lineRule="exact"/>
        <w:ind w:firstLine="420" w:firstLineChars="200"/>
        <w:jc w:val="left"/>
        <w:rPr>
          <w:rFonts w:hint="eastAsia" w:ascii="宋体" w:hAnsi="宋体" w:cs="宋体"/>
          <w:color w:val="auto"/>
          <w:szCs w:val="21"/>
          <w:highlight w:val="none"/>
        </w:rPr>
      </w:pPr>
    </w:p>
    <w:p w14:paraId="26C599DF">
      <w:pPr>
        <w:spacing w:line="440" w:lineRule="exact"/>
        <w:ind w:firstLine="420" w:firstLineChars="200"/>
        <w:jc w:val="left"/>
        <w:rPr>
          <w:rFonts w:hint="eastAsia" w:ascii="宋体" w:hAnsi="宋体" w:cs="宋体"/>
          <w:color w:val="auto"/>
          <w:szCs w:val="21"/>
          <w:highlight w:val="none"/>
        </w:rPr>
      </w:pPr>
    </w:p>
    <w:p w14:paraId="4A1AE48A">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6、其他需要说明情况</w:t>
      </w:r>
    </w:p>
    <w:p w14:paraId="7EEE6763">
      <w:pPr>
        <w:spacing w:line="440" w:lineRule="exact"/>
        <w:ind w:firstLine="420" w:firstLineChars="200"/>
        <w:jc w:val="left"/>
        <w:rPr>
          <w:rFonts w:hint="eastAsia" w:ascii="宋体" w:hAnsi="宋体" w:cs="宋体"/>
          <w:color w:val="auto"/>
          <w:szCs w:val="21"/>
          <w:highlight w:val="none"/>
        </w:rPr>
      </w:pPr>
    </w:p>
    <w:p w14:paraId="650DD4D7">
      <w:pPr>
        <w:spacing w:line="440" w:lineRule="exact"/>
        <w:ind w:firstLine="420" w:firstLineChars="200"/>
        <w:jc w:val="left"/>
        <w:rPr>
          <w:rFonts w:hint="eastAsia" w:ascii="宋体" w:hAnsi="宋体" w:cs="宋体"/>
          <w:color w:val="auto"/>
          <w:szCs w:val="21"/>
          <w:highlight w:val="none"/>
        </w:rPr>
      </w:pPr>
    </w:p>
    <w:p w14:paraId="35028DE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评标委员会成员签名：                       日期 ：   年   月   日</w:t>
      </w:r>
    </w:p>
    <w:p w14:paraId="3563D763">
      <w:pPr>
        <w:spacing w:line="440" w:lineRule="exact"/>
        <w:ind w:firstLine="420" w:firstLineChars="200"/>
        <w:jc w:val="left"/>
        <w:rPr>
          <w:rFonts w:hint="eastAsia" w:ascii="宋体" w:hAnsi="宋体" w:cs="宋体"/>
          <w:color w:val="auto"/>
          <w:szCs w:val="21"/>
          <w:highlight w:val="none"/>
        </w:rPr>
      </w:pPr>
    </w:p>
    <w:p w14:paraId="2623AB70">
      <w:pPr>
        <w:spacing w:line="440" w:lineRule="exact"/>
        <w:ind w:firstLine="420" w:firstLineChars="200"/>
        <w:jc w:val="left"/>
        <w:rPr>
          <w:rFonts w:hint="eastAsia" w:ascii="宋体" w:hAnsi="宋体" w:cs="宋体"/>
          <w:color w:val="auto"/>
          <w:szCs w:val="21"/>
          <w:highlight w:val="none"/>
        </w:rPr>
      </w:pPr>
    </w:p>
    <w:p w14:paraId="46BD9FAF">
      <w:pPr>
        <w:spacing w:line="440" w:lineRule="exact"/>
        <w:ind w:firstLine="420" w:firstLineChars="200"/>
        <w:jc w:val="left"/>
        <w:rPr>
          <w:rFonts w:hint="eastAsia" w:ascii="宋体" w:hAnsi="宋体" w:cs="宋体"/>
          <w:color w:val="auto"/>
          <w:szCs w:val="21"/>
          <w:highlight w:val="none"/>
        </w:rPr>
      </w:pPr>
    </w:p>
    <w:p w14:paraId="0E88999D">
      <w:pPr>
        <w:spacing w:line="440" w:lineRule="exact"/>
        <w:ind w:firstLine="420" w:firstLineChars="200"/>
        <w:jc w:val="left"/>
        <w:rPr>
          <w:rFonts w:hint="eastAsia" w:ascii="宋体" w:hAnsi="宋体" w:cs="宋体"/>
          <w:color w:val="auto"/>
          <w:szCs w:val="21"/>
          <w:highlight w:val="none"/>
        </w:rPr>
      </w:pPr>
    </w:p>
    <w:p w14:paraId="583C8D04">
      <w:pPr>
        <w:spacing w:line="440" w:lineRule="exact"/>
        <w:ind w:firstLine="420" w:firstLineChars="200"/>
        <w:jc w:val="left"/>
        <w:rPr>
          <w:rFonts w:hint="eastAsia" w:ascii="宋体" w:hAnsi="宋体" w:cs="宋体"/>
          <w:color w:val="auto"/>
          <w:szCs w:val="21"/>
          <w:highlight w:val="none"/>
        </w:rPr>
      </w:pPr>
    </w:p>
    <w:p w14:paraId="4A2AD99F">
      <w:pPr>
        <w:spacing w:line="440" w:lineRule="exact"/>
        <w:ind w:firstLine="420" w:firstLineChars="200"/>
        <w:jc w:val="left"/>
        <w:rPr>
          <w:rFonts w:hint="eastAsia" w:ascii="宋体" w:hAnsi="宋体" w:cs="宋体"/>
          <w:color w:val="auto"/>
          <w:szCs w:val="21"/>
          <w:highlight w:val="none"/>
        </w:rPr>
      </w:pPr>
    </w:p>
    <w:p w14:paraId="293EC8F4">
      <w:pPr>
        <w:spacing w:line="440" w:lineRule="exact"/>
        <w:ind w:firstLine="420" w:firstLineChars="200"/>
        <w:jc w:val="left"/>
        <w:rPr>
          <w:rFonts w:hint="eastAsia" w:ascii="宋体" w:hAnsi="宋体" w:cs="宋体"/>
          <w:color w:val="auto"/>
          <w:szCs w:val="21"/>
          <w:highlight w:val="none"/>
        </w:rPr>
      </w:pPr>
    </w:p>
    <w:p w14:paraId="195718FC">
      <w:pPr>
        <w:spacing w:line="440" w:lineRule="exact"/>
        <w:ind w:firstLine="420" w:firstLineChars="200"/>
        <w:jc w:val="left"/>
        <w:rPr>
          <w:rFonts w:hint="eastAsia" w:ascii="宋体" w:hAnsi="宋体" w:cs="宋体"/>
          <w:color w:val="auto"/>
          <w:szCs w:val="21"/>
          <w:highlight w:val="none"/>
        </w:rPr>
      </w:pPr>
    </w:p>
    <w:p w14:paraId="2C1AB289">
      <w:pPr>
        <w:spacing w:line="440" w:lineRule="exact"/>
        <w:ind w:firstLine="640" w:firstLineChars="20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定标候选人的确定</w:t>
      </w:r>
    </w:p>
    <w:p w14:paraId="292FBCB2">
      <w:pPr>
        <w:spacing w:line="440" w:lineRule="exact"/>
        <w:ind w:firstLine="420" w:firstLineChars="200"/>
        <w:jc w:val="left"/>
        <w:rPr>
          <w:rFonts w:hint="eastAsia" w:ascii="宋体" w:hAnsi="宋体" w:cs="宋体"/>
          <w:color w:val="auto"/>
          <w:szCs w:val="21"/>
          <w:highlight w:val="none"/>
        </w:rPr>
      </w:pPr>
    </w:p>
    <w:p w14:paraId="35FC5F2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由招标人根据招标项目特点和实际需要，科学、合理制定定标候选人确定办法，并在招标文件中明确。详细评审工作完成后，评标委员会根据招标文件规定的定标候选人确定办法向招标人推荐不排序的定标候选人。</w:t>
      </w:r>
    </w:p>
    <w:p w14:paraId="6104816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定标候选人（不标明排列顺序）原则上不得少于3家，不超过7家，具体数量应在招标文件中明确。</w:t>
      </w:r>
    </w:p>
    <w:p w14:paraId="6A42AC2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报价、技术标和商务标采用定性方式评审的，详细评审完成后，由评标委员会从投标报价、技术标和商务标均评审合格，且以招标控制价为基准，投标报价低于招标控制价的幅度超过“投标竞争下浮率”（投标竞争下浮率的值为整数，具体由招标人结合项目特点和需要在招标文件中明确）的投标人中，按照投标报价由低到高顺序确定定标候选人，若因某几个投标人的投标报价相同且不存在违法违规的行为，导致符合招标文件要求的定标候选人数量超过招标文件规定数量的，评标委员会可以将这几个投标报价相同的投标人一同确定为定标候选人。</w:t>
      </w:r>
    </w:p>
    <w:p w14:paraId="24B2387F">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报价采用定性方式评审、技术标和商务标采用定量方式评审的，评标委员会按照技术标和商务标评审得分从高到低顺序，确定排序在前且以招标控制价为基准，投标报价低于招标控制价的幅度超过“投标竞争下浮率” （投标竞争下浮率的值为整数，具体由招标人结合项目特点和需要在招标文件中明确）的投标人确定为定标候选人。得分相同的投标价格低优先。</w:t>
      </w:r>
    </w:p>
    <w:p w14:paraId="796C5556">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经评标委员会评审，最终符合招标文件要求的定标候选人少于招标文件规定的数量，但达到3家及以上的，按实际具体定标候选人数量推荐给招标人。经评标委员会评审，最终符合招标文件要求的定标候选人数量不足3家时，由评标委员会作出是否具有竞争性认定，如具有竞争性，可以推荐给招标人，由招标人定标，否则，招标人应重新招标。</w:t>
      </w:r>
    </w:p>
    <w:p w14:paraId="0DA37D7E">
      <w:pPr>
        <w:spacing w:line="440" w:lineRule="exact"/>
        <w:ind w:firstLine="420" w:firstLineChars="200"/>
        <w:jc w:val="left"/>
        <w:rPr>
          <w:rFonts w:hint="eastAsia" w:ascii="宋体" w:hAnsi="宋体" w:cs="宋体"/>
          <w:color w:val="auto"/>
          <w:szCs w:val="21"/>
          <w:highlight w:val="none"/>
        </w:rPr>
      </w:pPr>
    </w:p>
    <w:p w14:paraId="6736B1E3">
      <w:pPr>
        <w:spacing w:line="440" w:lineRule="exact"/>
        <w:ind w:firstLine="420" w:firstLineChars="200"/>
        <w:jc w:val="left"/>
        <w:rPr>
          <w:rFonts w:hint="eastAsia" w:ascii="宋体" w:hAnsi="宋体" w:cs="宋体"/>
          <w:color w:val="auto"/>
          <w:szCs w:val="21"/>
          <w:highlight w:val="none"/>
        </w:rPr>
      </w:pPr>
    </w:p>
    <w:p w14:paraId="25B3F0C2">
      <w:pPr>
        <w:spacing w:line="440" w:lineRule="exact"/>
        <w:ind w:firstLine="420" w:firstLineChars="200"/>
        <w:jc w:val="left"/>
        <w:rPr>
          <w:rFonts w:hint="eastAsia" w:ascii="宋体" w:hAnsi="宋体" w:cs="宋体"/>
          <w:color w:val="auto"/>
          <w:szCs w:val="21"/>
          <w:highlight w:val="none"/>
        </w:rPr>
      </w:pPr>
    </w:p>
    <w:p w14:paraId="119AA57A">
      <w:pPr>
        <w:spacing w:line="440" w:lineRule="exact"/>
        <w:ind w:firstLine="420" w:firstLineChars="200"/>
        <w:jc w:val="left"/>
        <w:rPr>
          <w:rFonts w:hint="eastAsia" w:ascii="宋体" w:hAnsi="宋体" w:cs="宋体"/>
          <w:color w:val="auto"/>
          <w:szCs w:val="21"/>
          <w:highlight w:val="none"/>
        </w:rPr>
      </w:pPr>
    </w:p>
    <w:p w14:paraId="7CC19648">
      <w:pPr>
        <w:spacing w:line="440" w:lineRule="exact"/>
        <w:ind w:firstLine="420" w:firstLineChars="200"/>
        <w:jc w:val="left"/>
        <w:rPr>
          <w:rFonts w:hint="eastAsia" w:ascii="宋体" w:hAnsi="宋体" w:cs="宋体"/>
          <w:color w:val="auto"/>
          <w:szCs w:val="21"/>
          <w:highlight w:val="none"/>
        </w:rPr>
      </w:pPr>
    </w:p>
    <w:p w14:paraId="61FA6DF1">
      <w:pPr>
        <w:spacing w:line="440" w:lineRule="exact"/>
        <w:ind w:firstLine="420" w:firstLineChars="200"/>
        <w:jc w:val="left"/>
        <w:rPr>
          <w:rFonts w:hint="eastAsia" w:ascii="宋体" w:hAnsi="宋体" w:cs="宋体"/>
          <w:color w:val="auto"/>
          <w:szCs w:val="21"/>
          <w:highlight w:val="none"/>
        </w:rPr>
      </w:pPr>
    </w:p>
    <w:p w14:paraId="439744B2">
      <w:pPr>
        <w:spacing w:line="440" w:lineRule="exact"/>
        <w:ind w:firstLine="420" w:firstLineChars="200"/>
        <w:jc w:val="left"/>
        <w:rPr>
          <w:rFonts w:hint="eastAsia" w:ascii="宋体" w:hAnsi="宋体" w:cs="宋体"/>
          <w:color w:val="auto"/>
          <w:szCs w:val="21"/>
          <w:highlight w:val="none"/>
        </w:rPr>
      </w:pPr>
    </w:p>
    <w:p w14:paraId="40FDA246">
      <w:pPr>
        <w:spacing w:line="440" w:lineRule="exact"/>
        <w:ind w:firstLine="640" w:firstLineChars="200"/>
        <w:jc w:val="center"/>
        <w:rPr>
          <w:rFonts w:hint="eastAsia" w:ascii="黑体" w:hAnsi="黑体" w:eastAsia="黑体" w:cs="黑体"/>
          <w:color w:val="auto"/>
          <w:sz w:val="32"/>
          <w:szCs w:val="32"/>
          <w:highlight w:val="none"/>
        </w:rPr>
      </w:pPr>
    </w:p>
    <w:p w14:paraId="1E1A89BA">
      <w:pPr>
        <w:spacing w:line="440" w:lineRule="exact"/>
        <w:ind w:firstLine="640" w:firstLineChars="20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编制评标报告</w:t>
      </w:r>
    </w:p>
    <w:p w14:paraId="2AD13F74">
      <w:pPr>
        <w:spacing w:line="440" w:lineRule="exact"/>
        <w:ind w:firstLine="420" w:firstLineChars="200"/>
        <w:jc w:val="left"/>
        <w:rPr>
          <w:rFonts w:hint="eastAsia" w:ascii="宋体" w:hAnsi="宋体" w:cs="宋体"/>
          <w:color w:val="auto"/>
          <w:szCs w:val="21"/>
          <w:highlight w:val="none"/>
        </w:rPr>
      </w:pPr>
    </w:p>
    <w:p w14:paraId="5E6422C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评标完成后，评标委员会应当向招标人提交书面评标报告，评标报告应包括以下内容：</w:t>
      </w:r>
    </w:p>
    <w:p w14:paraId="5125594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1.基本情况和数据表；</w:t>
      </w:r>
    </w:p>
    <w:p w14:paraId="12F29B6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2.评标委员会成员名单；</w:t>
      </w:r>
    </w:p>
    <w:p w14:paraId="4C283C5D">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3.开标记录；</w:t>
      </w:r>
    </w:p>
    <w:p w14:paraId="169CEB5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4.澄清和说明情况记录； </w:t>
      </w:r>
    </w:p>
    <w:p w14:paraId="4E5CB95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5.无效投标判定情况说明；</w:t>
      </w:r>
    </w:p>
    <w:p w14:paraId="2681FFC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6.评标委员会及个人评分记录、评审意见记录（投标人投标文件的主要技术性优势，存在的问题和缺陷，可能由此引发的合同履约风险以及其他意见）；</w:t>
      </w:r>
    </w:p>
    <w:p w14:paraId="45DDB0EC">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7.推荐定标候选人名单（不标明排序）;</w:t>
      </w:r>
    </w:p>
    <w:p w14:paraId="6241F74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8.其他内容。</w:t>
      </w:r>
    </w:p>
    <w:p w14:paraId="043D03BE">
      <w:pPr>
        <w:spacing w:line="440" w:lineRule="exact"/>
        <w:ind w:firstLine="420" w:firstLineChars="200"/>
        <w:jc w:val="left"/>
        <w:rPr>
          <w:rFonts w:hint="eastAsia" w:ascii="宋体" w:hAnsi="宋体" w:cs="宋体"/>
          <w:color w:val="auto"/>
          <w:szCs w:val="21"/>
          <w:highlight w:val="none"/>
        </w:rPr>
      </w:pPr>
    </w:p>
    <w:p w14:paraId="03E24010">
      <w:pPr>
        <w:spacing w:line="440" w:lineRule="exact"/>
        <w:ind w:firstLine="420" w:firstLineChars="200"/>
        <w:jc w:val="left"/>
        <w:rPr>
          <w:rFonts w:hint="eastAsia" w:ascii="宋体" w:hAnsi="宋体" w:cs="宋体"/>
          <w:color w:val="auto"/>
          <w:szCs w:val="21"/>
          <w:highlight w:val="none"/>
        </w:rPr>
      </w:pPr>
    </w:p>
    <w:p w14:paraId="58452BD1">
      <w:pPr>
        <w:spacing w:line="440" w:lineRule="exact"/>
        <w:ind w:firstLine="420" w:firstLineChars="200"/>
        <w:jc w:val="left"/>
        <w:rPr>
          <w:rFonts w:hint="eastAsia" w:ascii="宋体" w:hAnsi="宋体" w:cs="宋体"/>
          <w:color w:val="auto"/>
          <w:szCs w:val="21"/>
          <w:highlight w:val="none"/>
        </w:rPr>
      </w:pPr>
    </w:p>
    <w:p w14:paraId="7198203D">
      <w:pPr>
        <w:spacing w:line="440" w:lineRule="exact"/>
        <w:ind w:firstLine="420" w:firstLineChars="200"/>
        <w:jc w:val="left"/>
        <w:rPr>
          <w:rFonts w:hint="eastAsia" w:ascii="宋体" w:hAnsi="宋体" w:cs="宋体"/>
          <w:color w:val="auto"/>
          <w:szCs w:val="21"/>
          <w:highlight w:val="none"/>
        </w:rPr>
      </w:pPr>
    </w:p>
    <w:p w14:paraId="450397D4">
      <w:pPr>
        <w:spacing w:line="440" w:lineRule="exact"/>
        <w:ind w:firstLine="420" w:firstLineChars="200"/>
        <w:jc w:val="left"/>
        <w:rPr>
          <w:rFonts w:hint="eastAsia" w:ascii="宋体" w:hAnsi="宋体" w:cs="宋体"/>
          <w:color w:val="auto"/>
          <w:szCs w:val="21"/>
          <w:highlight w:val="none"/>
        </w:rPr>
      </w:pPr>
    </w:p>
    <w:p w14:paraId="7A7754A4">
      <w:pPr>
        <w:spacing w:line="440" w:lineRule="exact"/>
        <w:ind w:firstLine="420" w:firstLineChars="200"/>
        <w:jc w:val="left"/>
        <w:rPr>
          <w:rFonts w:hint="eastAsia" w:ascii="宋体" w:hAnsi="宋体" w:cs="宋体"/>
          <w:color w:val="auto"/>
          <w:szCs w:val="21"/>
          <w:highlight w:val="none"/>
        </w:rPr>
      </w:pPr>
    </w:p>
    <w:p w14:paraId="69434AE9">
      <w:pPr>
        <w:spacing w:line="440" w:lineRule="exact"/>
        <w:ind w:firstLine="420" w:firstLineChars="200"/>
        <w:jc w:val="left"/>
        <w:rPr>
          <w:rFonts w:hint="eastAsia" w:ascii="宋体" w:hAnsi="宋体" w:cs="宋体"/>
          <w:color w:val="auto"/>
          <w:szCs w:val="21"/>
          <w:highlight w:val="none"/>
        </w:rPr>
      </w:pPr>
    </w:p>
    <w:p w14:paraId="664909FA">
      <w:pPr>
        <w:spacing w:line="440" w:lineRule="exact"/>
        <w:ind w:firstLine="420" w:firstLineChars="200"/>
        <w:jc w:val="left"/>
        <w:rPr>
          <w:rFonts w:hint="eastAsia" w:ascii="宋体" w:hAnsi="宋体" w:cs="宋体"/>
          <w:color w:val="auto"/>
          <w:szCs w:val="21"/>
          <w:highlight w:val="none"/>
        </w:rPr>
      </w:pPr>
    </w:p>
    <w:p w14:paraId="51145F19">
      <w:pPr>
        <w:spacing w:line="440" w:lineRule="exact"/>
        <w:ind w:firstLine="420" w:firstLineChars="200"/>
        <w:jc w:val="left"/>
        <w:rPr>
          <w:rFonts w:hint="eastAsia" w:ascii="宋体" w:hAnsi="宋体" w:cs="宋体"/>
          <w:color w:val="auto"/>
          <w:szCs w:val="21"/>
          <w:highlight w:val="none"/>
        </w:rPr>
      </w:pPr>
    </w:p>
    <w:p w14:paraId="75617109">
      <w:pPr>
        <w:spacing w:line="440" w:lineRule="exact"/>
        <w:ind w:firstLine="420" w:firstLineChars="200"/>
        <w:jc w:val="left"/>
        <w:rPr>
          <w:rFonts w:hint="eastAsia" w:ascii="宋体" w:hAnsi="宋体" w:cs="宋体"/>
          <w:color w:val="auto"/>
          <w:szCs w:val="21"/>
          <w:highlight w:val="none"/>
        </w:rPr>
      </w:pPr>
    </w:p>
    <w:p w14:paraId="1D3FDEF2">
      <w:pPr>
        <w:spacing w:line="440" w:lineRule="exact"/>
        <w:ind w:firstLine="420" w:firstLineChars="200"/>
        <w:jc w:val="left"/>
        <w:rPr>
          <w:rFonts w:hint="eastAsia" w:ascii="宋体" w:hAnsi="宋体" w:cs="宋体"/>
          <w:color w:val="auto"/>
          <w:szCs w:val="21"/>
          <w:highlight w:val="none"/>
        </w:rPr>
      </w:pPr>
    </w:p>
    <w:p w14:paraId="59328B51">
      <w:pPr>
        <w:spacing w:line="440" w:lineRule="exact"/>
        <w:ind w:firstLine="420" w:firstLineChars="200"/>
        <w:jc w:val="left"/>
        <w:rPr>
          <w:rFonts w:hint="eastAsia" w:ascii="宋体" w:hAnsi="宋体" w:cs="宋体"/>
          <w:color w:val="auto"/>
          <w:szCs w:val="21"/>
          <w:highlight w:val="none"/>
        </w:rPr>
      </w:pPr>
    </w:p>
    <w:p w14:paraId="2C408139">
      <w:pPr>
        <w:spacing w:line="440" w:lineRule="exact"/>
        <w:ind w:firstLine="420" w:firstLineChars="200"/>
        <w:jc w:val="left"/>
        <w:rPr>
          <w:rFonts w:hint="eastAsia" w:ascii="宋体" w:hAnsi="宋体" w:cs="宋体"/>
          <w:color w:val="auto"/>
          <w:szCs w:val="21"/>
          <w:highlight w:val="none"/>
        </w:rPr>
      </w:pPr>
    </w:p>
    <w:p w14:paraId="4C3034FF">
      <w:pPr>
        <w:spacing w:line="440" w:lineRule="exact"/>
        <w:ind w:firstLine="420" w:firstLineChars="200"/>
        <w:jc w:val="left"/>
        <w:rPr>
          <w:rFonts w:hint="eastAsia" w:ascii="宋体" w:hAnsi="宋体" w:cs="宋体"/>
          <w:color w:val="auto"/>
          <w:szCs w:val="21"/>
          <w:highlight w:val="none"/>
        </w:rPr>
      </w:pPr>
    </w:p>
    <w:p w14:paraId="074C9BCB">
      <w:pPr>
        <w:spacing w:line="440" w:lineRule="exact"/>
        <w:ind w:firstLine="640" w:firstLineChars="200"/>
        <w:jc w:val="center"/>
        <w:rPr>
          <w:rFonts w:hint="eastAsia" w:ascii="黑体" w:hAnsi="黑体" w:eastAsia="黑体" w:cs="黑体"/>
          <w:color w:val="auto"/>
          <w:sz w:val="32"/>
          <w:szCs w:val="32"/>
          <w:highlight w:val="none"/>
        </w:rPr>
      </w:pPr>
    </w:p>
    <w:p w14:paraId="2EB33260">
      <w:pPr>
        <w:spacing w:line="440" w:lineRule="exact"/>
        <w:ind w:firstLine="640" w:firstLineChars="200"/>
        <w:jc w:val="center"/>
        <w:rPr>
          <w:rFonts w:hint="eastAsia" w:ascii="黑体" w:hAnsi="黑体" w:eastAsia="黑体" w:cs="黑体"/>
          <w:color w:val="auto"/>
          <w:sz w:val="32"/>
          <w:szCs w:val="32"/>
          <w:highlight w:val="none"/>
        </w:rPr>
      </w:pPr>
    </w:p>
    <w:p w14:paraId="0EAD776E">
      <w:pPr>
        <w:spacing w:line="440" w:lineRule="exact"/>
        <w:ind w:firstLine="640" w:firstLineChars="200"/>
        <w:jc w:val="center"/>
        <w:rPr>
          <w:rFonts w:hint="eastAsia" w:ascii="黑体" w:hAnsi="黑体" w:eastAsia="黑体" w:cs="黑体"/>
          <w:color w:val="auto"/>
          <w:sz w:val="32"/>
          <w:szCs w:val="32"/>
          <w:highlight w:val="none"/>
        </w:rPr>
      </w:pPr>
    </w:p>
    <w:p w14:paraId="5A9B0E35">
      <w:pPr>
        <w:spacing w:line="440" w:lineRule="exact"/>
        <w:ind w:firstLine="640" w:firstLineChars="200"/>
        <w:jc w:val="center"/>
        <w:rPr>
          <w:rFonts w:hint="eastAsia" w:ascii="黑体" w:hAnsi="黑体" w:eastAsia="黑体" w:cs="黑体"/>
          <w:color w:val="auto"/>
          <w:sz w:val="32"/>
          <w:szCs w:val="32"/>
          <w:highlight w:val="none"/>
        </w:rPr>
      </w:pPr>
    </w:p>
    <w:p w14:paraId="47E584B3">
      <w:pPr>
        <w:spacing w:line="440" w:lineRule="exact"/>
        <w:ind w:firstLine="640" w:firstLineChars="200"/>
        <w:jc w:val="center"/>
        <w:rPr>
          <w:rFonts w:hint="eastAsia" w:ascii="黑体" w:hAnsi="黑体" w:eastAsia="黑体" w:cs="黑体"/>
          <w:color w:val="auto"/>
          <w:sz w:val="32"/>
          <w:szCs w:val="32"/>
          <w:highlight w:val="none"/>
        </w:rPr>
      </w:pPr>
    </w:p>
    <w:p w14:paraId="1DE896AF">
      <w:pPr>
        <w:spacing w:line="440" w:lineRule="exact"/>
        <w:ind w:firstLine="640" w:firstLineChars="20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评标结果公示</w:t>
      </w:r>
    </w:p>
    <w:p w14:paraId="6E6FC8A0">
      <w:pPr>
        <w:spacing w:line="440" w:lineRule="exact"/>
        <w:ind w:firstLine="420" w:firstLineChars="200"/>
        <w:jc w:val="left"/>
        <w:rPr>
          <w:rFonts w:hint="eastAsia" w:ascii="宋体" w:hAnsi="宋体" w:cs="宋体"/>
          <w:color w:val="auto"/>
          <w:szCs w:val="21"/>
          <w:highlight w:val="none"/>
        </w:rPr>
      </w:pPr>
    </w:p>
    <w:p w14:paraId="034CA67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招标人应当自收到评标报告之日起3日内公示评标结果（定标候选人），公示期不少于3日。对评标结果的异议的提出和处理，适用《招标投标法实施条例》第五十四条的规定。</w:t>
      </w:r>
    </w:p>
    <w:p w14:paraId="774F48D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结果（定标候选人）公示期间，有定标候选人因异议或投诉并查实被取消定标候选人资格时，若有效定标候选人不少于3家的，不再递补，招标人继续定标；除评标委员会作出具备竞争性情形外，若有效定标候选人少于3家的，根据招标文件规定补足至3家。对于递补的定标候选人需在黄石市公共资源交易信息网公示不少于3日。</w:t>
      </w:r>
    </w:p>
    <w:p w14:paraId="67C69B32">
      <w:pPr>
        <w:spacing w:line="440" w:lineRule="exact"/>
        <w:ind w:firstLine="420" w:firstLineChars="200"/>
        <w:jc w:val="left"/>
        <w:rPr>
          <w:rFonts w:hint="eastAsia" w:ascii="宋体" w:hAnsi="宋体" w:cs="宋体"/>
          <w:color w:val="auto"/>
          <w:szCs w:val="21"/>
          <w:highlight w:val="none"/>
        </w:rPr>
      </w:pPr>
    </w:p>
    <w:p w14:paraId="44C93A9C">
      <w:pPr>
        <w:spacing w:line="440" w:lineRule="exact"/>
        <w:ind w:firstLine="420" w:firstLineChars="200"/>
        <w:jc w:val="left"/>
        <w:rPr>
          <w:rFonts w:hint="eastAsia" w:ascii="宋体" w:hAnsi="宋体" w:cs="宋体"/>
          <w:color w:val="auto"/>
          <w:szCs w:val="21"/>
          <w:highlight w:val="none"/>
        </w:rPr>
      </w:pPr>
    </w:p>
    <w:p w14:paraId="52B039FA">
      <w:pPr>
        <w:spacing w:line="440" w:lineRule="exact"/>
        <w:ind w:firstLine="420" w:firstLineChars="200"/>
        <w:jc w:val="left"/>
        <w:rPr>
          <w:rFonts w:hint="eastAsia" w:ascii="宋体" w:hAnsi="宋体" w:cs="宋体"/>
          <w:color w:val="auto"/>
          <w:szCs w:val="21"/>
          <w:highlight w:val="none"/>
        </w:rPr>
      </w:pPr>
    </w:p>
    <w:p w14:paraId="54642E3E">
      <w:pPr>
        <w:spacing w:line="440" w:lineRule="exact"/>
        <w:ind w:firstLine="420" w:firstLineChars="200"/>
        <w:jc w:val="left"/>
        <w:rPr>
          <w:rFonts w:hint="eastAsia" w:ascii="宋体" w:hAnsi="宋体" w:cs="宋体"/>
          <w:color w:val="auto"/>
          <w:szCs w:val="21"/>
          <w:highlight w:val="none"/>
        </w:rPr>
      </w:pPr>
    </w:p>
    <w:p w14:paraId="0F407734">
      <w:pPr>
        <w:spacing w:line="440" w:lineRule="exact"/>
        <w:ind w:firstLine="420" w:firstLineChars="200"/>
        <w:jc w:val="left"/>
        <w:rPr>
          <w:rFonts w:hint="eastAsia" w:ascii="宋体" w:hAnsi="宋体" w:cs="宋体"/>
          <w:color w:val="auto"/>
          <w:szCs w:val="21"/>
          <w:highlight w:val="none"/>
        </w:rPr>
      </w:pPr>
    </w:p>
    <w:p w14:paraId="49B76219">
      <w:pPr>
        <w:spacing w:line="440" w:lineRule="exact"/>
        <w:ind w:firstLine="420" w:firstLineChars="200"/>
        <w:jc w:val="left"/>
        <w:rPr>
          <w:rFonts w:hint="eastAsia" w:ascii="宋体" w:hAnsi="宋体" w:cs="宋体"/>
          <w:color w:val="auto"/>
          <w:szCs w:val="21"/>
          <w:highlight w:val="none"/>
        </w:rPr>
      </w:pPr>
    </w:p>
    <w:p w14:paraId="573C6ACC">
      <w:pPr>
        <w:spacing w:line="440" w:lineRule="exact"/>
        <w:ind w:firstLine="420" w:firstLineChars="200"/>
        <w:jc w:val="left"/>
        <w:rPr>
          <w:rFonts w:hint="eastAsia" w:ascii="宋体" w:hAnsi="宋体" w:cs="宋体"/>
          <w:color w:val="auto"/>
          <w:szCs w:val="21"/>
          <w:highlight w:val="none"/>
        </w:rPr>
      </w:pPr>
    </w:p>
    <w:p w14:paraId="76254D0E">
      <w:pPr>
        <w:spacing w:line="440" w:lineRule="exact"/>
        <w:ind w:firstLine="420" w:firstLineChars="200"/>
        <w:jc w:val="left"/>
        <w:rPr>
          <w:rFonts w:hint="eastAsia" w:ascii="宋体" w:hAnsi="宋体" w:cs="宋体"/>
          <w:color w:val="auto"/>
          <w:szCs w:val="21"/>
          <w:highlight w:val="none"/>
        </w:rPr>
      </w:pPr>
    </w:p>
    <w:p w14:paraId="128D0F3F">
      <w:pPr>
        <w:spacing w:line="440" w:lineRule="exact"/>
        <w:ind w:firstLine="420" w:firstLineChars="200"/>
        <w:jc w:val="left"/>
        <w:rPr>
          <w:rFonts w:hint="eastAsia" w:ascii="宋体" w:hAnsi="宋体" w:cs="宋体"/>
          <w:color w:val="auto"/>
          <w:szCs w:val="21"/>
          <w:highlight w:val="none"/>
        </w:rPr>
      </w:pPr>
    </w:p>
    <w:p w14:paraId="57E04367">
      <w:pPr>
        <w:spacing w:line="440" w:lineRule="exact"/>
        <w:ind w:firstLine="420" w:firstLineChars="200"/>
        <w:jc w:val="left"/>
        <w:rPr>
          <w:rFonts w:hint="eastAsia" w:ascii="宋体" w:hAnsi="宋体" w:cs="宋体"/>
          <w:color w:val="auto"/>
          <w:szCs w:val="21"/>
          <w:highlight w:val="none"/>
        </w:rPr>
      </w:pPr>
    </w:p>
    <w:p w14:paraId="679FBA38">
      <w:pPr>
        <w:spacing w:line="440" w:lineRule="exact"/>
        <w:ind w:firstLine="420" w:firstLineChars="200"/>
        <w:jc w:val="left"/>
        <w:rPr>
          <w:rFonts w:hint="eastAsia" w:ascii="宋体" w:hAnsi="宋体" w:cs="宋体"/>
          <w:color w:val="auto"/>
          <w:szCs w:val="21"/>
          <w:highlight w:val="none"/>
        </w:rPr>
      </w:pPr>
    </w:p>
    <w:p w14:paraId="60A79700">
      <w:pPr>
        <w:spacing w:line="440" w:lineRule="exact"/>
        <w:ind w:firstLine="420" w:firstLineChars="200"/>
        <w:jc w:val="left"/>
        <w:rPr>
          <w:rFonts w:hint="eastAsia" w:ascii="宋体" w:hAnsi="宋体" w:cs="宋体"/>
          <w:color w:val="auto"/>
          <w:szCs w:val="21"/>
          <w:highlight w:val="none"/>
        </w:rPr>
      </w:pPr>
    </w:p>
    <w:p w14:paraId="2F8DC397">
      <w:pPr>
        <w:spacing w:line="440" w:lineRule="exact"/>
        <w:ind w:firstLine="420" w:firstLineChars="200"/>
        <w:jc w:val="left"/>
        <w:rPr>
          <w:rFonts w:hint="eastAsia" w:ascii="宋体" w:hAnsi="宋体" w:cs="宋体"/>
          <w:color w:val="auto"/>
          <w:szCs w:val="21"/>
          <w:highlight w:val="none"/>
        </w:rPr>
      </w:pPr>
    </w:p>
    <w:p w14:paraId="78751091">
      <w:pPr>
        <w:spacing w:line="440" w:lineRule="exact"/>
        <w:ind w:firstLine="420" w:firstLineChars="200"/>
        <w:jc w:val="left"/>
        <w:rPr>
          <w:rFonts w:hint="eastAsia" w:ascii="宋体" w:hAnsi="宋体" w:cs="宋体"/>
          <w:color w:val="auto"/>
          <w:szCs w:val="21"/>
          <w:highlight w:val="none"/>
        </w:rPr>
      </w:pPr>
    </w:p>
    <w:p w14:paraId="7C444A88">
      <w:pPr>
        <w:spacing w:line="440" w:lineRule="exact"/>
        <w:ind w:firstLine="420" w:firstLineChars="200"/>
        <w:jc w:val="left"/>
        <w:rPr>
          <w:rFonts w:hint="eastAsia" w:ascii="宋体" w:hAnsi="宋体" w:cs="宋体"/>
          <w:color w:val="auto"/>
          <w:szCs w:val="21"/>
          <w:highlight w:val="none"/>
        </w:rPr>
      </w:pPr>
    </w:p>
    <w:p w14:paraId="3530DD22">
      <w:pPr>
        <w:spacing w:line="440" w:lineRule="exact"/>
        <w:ind w:firstLine="420" w:firstLineChars="200"/>
        <w:jc w:val="left"/>
        <w:rPr>
          <w:rFonts w:hint="eastAsia" w:ascii="宋体" w:hAnsi="宋体" w:cs="宋体"/>
          <w:color w:val="auto"/>
          <w:szCs w:val="21"/>
          <w:highlight w:val="none"/>
        </w:rPr>
      </w:pPr>
    </w:p>
    <w:p w14:paraId="408870BB">
      <w:pPr>
        <w:spacing w:line="440" w:lineRule="exact"/>
        <w:ind w:firstLine="420" w:firstLineChars="200"/>
        <w:jc w:val="left"/>
        <w:rPr>
          <w:rFonts w:hint="eastAsia" w:ascii="宋体" w:hAnsi="宋体" w:cs="宋体"/>
          <w:color w:val="auto"/>
          <w:szCs w:val="21"/>
          <w:highlight w:val="none"/>
        </w:rPr>
      </w:pPr>
    </w:p>
    <w:p w14:paraId="572BCCB8">
      <w:pPr>
        <w:spacing w:line="440" w:lineRule="exact"/>
        <w:ind w:firstLine="420" w:firstLineChars="200"/>
        <w:jc w:val="left"/>
        <w:rPr>
          <w:rFonts w:hint="eastAsia" w:ascii="宋体" w:hAnsi="宋体" w:cs="宋体"/>
          <w:color w:val="auto"/>
          <w:szCs w:val="21"/>
          <w:highlight w:val="none"/>
        </w:rPr>
      </w:pPr>
    </w:p>
    <w:p w14:paraId="637927AA">
      <w:pPr>
        <w:spacing w:line="440" w:lineRule="exact"/>
        <w:ind w:firstLine="640" w:firstLineChars="200"/>
        <w:jc w:val="center"/>
        <w:rPr>
          <w:rFonts w:hint="eastAsia" w:ascii="黑体" w:hAnsi="黑体" w:eastAsia="黑体" w:cs="黑体"/>
          <w:color w:val="auto"/>
          <w:sz w:val="32"/>
          <w:szCs w:val="32"/>
          <w:highlight w:val="none"/>
        </w:rPr>
      </w:pPr>
    </w:p>
    <w:p w14:paraId="4F106F46">
      <w:pPr>
        <w:spacing w:line="440" w:lineRule="exact"/>
        <w:ind w:firstLine="640" w:firstLineChars="200"/>
        <w:jc w:val="center"/>
        <w:rPr>
          <w:rFonts w:hint="eastAsia" w:ascii="黑体" w:hAnsi="黑体" w:eastAsia="黑体" w:cs="黑体"/>
          <w:color w:val="auto"/>
          <w:sz w:val="32"/>
          <w:szCs w:val="32"/>
          <w:highlight w:val="none"/>
        </w:rPr>
      </w:pPr>
    </w:p>
    <w:p w14:paraId="72A693ED">
      <w:pPr>
        <w:spacing w:line="440" w:lineRule="exact"/>
        <w:jc w:val="both"/>
        <w:rPr>
          <w:rFonts w:hint="eastAsia" w:ascii="黑体" w:hAnsi="黑体" w:eastAsia="黑体" w:cs="黑体"/>
          <w:color w:val="auto"/>
          <w:sz w:val="32"/>
          <w:szCs w:val="32"/>
          <w:highlight w:val="none"/>
        </w:rPr>
      </w:pPr>
    </w:p>
    <w:p w14:paraId="72CD0BDF">
      <w:pPr>
        <w:spacing w:line="440" w:lineRule="exact"/>
        <w:ind w:firstLine="640" w:firstLineChars="200"/>
        <w:jc w:val="center"/>
        <w:rPr>
          <w:rFonts w:hint="eastAsia" w:ascii="黑体" w:hAnsi="黑体" w:eastAsia="黑体" w:cs="黑体"/>
          <w:color w:val="0000FF"/>
          <w:sz w:val="32"/>
          <w:szCs w:val="32"/>
          <w:highlight w:val="none"/>
        </w:rPr>
      </w:pPr>
      <w:r>
        <w:rPr>
          <w:rFonts w:hint="eastAsia" w:ascii="黑体" w:hAnsi="黑体" w:eastAsia="黑体" w:cs="黑体"/>
          <w:color w:val="0000FF"/>
          <w:sz w:val="32"/>
          <w:szCs w:val="32"/>
          <w:highlight w:val="none"/>
        </w:rPr>
        <w:t>定 标 办 法</w:t>
      </w:r>
    </w:p>
    <w:p w14:paraId="009F5E46">
      <w:pPr>
        <w:spacing w:before="120" w:beforeLines="50" w:after="120" w:afterLines="50"/>
        <w:jc w:val="center"/>
        <w:rPr>
          <w:rFonts w:hint="eastAsia" w:ascii="宋体" w:hAnsi="宋体" w:cs="宋体"/>
          <w:color w:val="auto"/>
          <w:szCs w:val="21"/>
          <w:highlight w:val="none"/>
        </w:rPr>
      </w:pPr>
    </w:p>
    <w:p w14:paraId="2D4F07F5">
      <w:pPr>
        <w:spacing w:before="120" w:beforeLines="50" w:after="120" w:afterLines="50"/>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招标人应当在定标候选人公示结束后10个工作日内进入公共资源交易中心（以下简称交易中心）召开定标会，如有特殊情况，定标会议时间可以适当推迟。招标人应当对定标过程进行记录，并存档备查。</w:t>
      </w:r>
    </w:p>
    <w:p w14:paraId="4EAB06D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（一）定标准备</w:t>
      </w:r>
    </w:p>
    <w:p w14:paraId="079EBF8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清标及有关情况核查。招标人在定标前应当对评标委员会评标情况进行审查核实，对定标候选人的投标文件或者服务方案以及投标报价清单合理性分析等进行清标，并出具书面清标报告，由清标人员签字确认，清标报告作为定标参考依据。同时应当对定标候选人实力、信誉、信用信息、以往项目履约评价、履约能力、拟派项目负责人业绩的真实性、准确性、一致性等直接关系到标后能否良好履约的因素进行实质性审查核实。招标人可以对所有定标候选人进行考察、质询，如实记录并作为定标参考依据，但不得有明示或暗示中标人的内容。应重点关注定标候选人近几年的不良信息，包括建设行政主管部门和有关招投标行政监管部门作出的各种行政处罚以及其他失信记录。拟派团队履约能力与履约水平考核，可以考察团队主要负责人过往业绩情况，还可通过笔试、面试等手段考核团队主要负责人的工作能力、管理水平和职业操守等。</w:t>
      </w:r>
    </w:p>
    <w:p w14:paraId="2E2052F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2.建立定标人员库。招标人建立的定标成员库应报当地招投标监管机构，人数应不少于定标委员会人数的3倍，成员由下列人员组成：</w:t>
      </w:r>
    </w:p>
    <w:p w14:paraId="3908B68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招标人、项目业主或者使用单位的领导班子成员、经营管理人员、工程技术经济人员；</w:t>
      </w:r>
    </w:p>
    <w:p w14:paraId="3579035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财政性资金投资工程的招标人本系统上下级主管部门或者系统外相关部门（招标代理机构除外）工作人员；</w:t>
      </w:r>
    </w:p>
    <w:p w14:paraId="501BDE0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非财政性国有资金投资工程的招标人母公司、子公司人员或者公司外相关部门（招标代理机构除外）工作人员；</w:t>
      </w:r>
    </w:p>
    <w:p w14:paraId="0D6989E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各级政府因建设管理需要，成立的长期承担地方国有资金投资工程建设项目的建设单位或管理机构（简称“大甲方”）的领导班子成员、经营管理人员、工程技术经济人员和组成“大甲方”的各部门的系统上下级主管部门或者系统外相关部门（招标代理机构除外）工作人员。</w:t>
      </w:r>
    </w:p>
    <w:p w14:paraId="6254A11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如定标委员库成员在数量上或技术、专业等方面无法满足招标项目定标实际需要，可由招标人直接或根据行业协会的推荐邀请与招标项目相匹配的技术、专业等方面专家入选定标人员库。</w:t>
      </w:r>
    </w:p>
    <w:p w14:paraId="2A6E25D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3.组建定标委员会。定标由招标人组建的定标委员会负责。定标委员会成员数量为5人以上（含5人）单数，最多不超过11人。组长由招标人的法定代表人或其授权代表担任，其他成员从定标人员库中随机抽取确定。</w:t>
      </w:r>
    </w:p>
    <w:p w14:paraId="0CDCEDED">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招标人聘请本单位外人员参与定标的，应对外聘人员的定标行为负责。</w:t>
      </w:r>
    </w:p>
    <w:p w14:paraId="7026941B">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定标委员会成员与定标候选人有利害关系的，应当回避。</w:t>
      </w:r>
    </w:p>
    <w:p w14:paraId="6ED7E24A">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委员会应按照招标文件规定的方法和程序进行定标并提交定标报告。定标委员会成员不得与任何定标候选人或者与招标结果有利害关系的人进行私下接触，不得收受定标候选人、中介人、其他利害关系人的财物或者其他好处，不得向招标人征询其确定中标人的意向。</w:t>
      </w:r>
    </w:p>
    <w:p w14:paraId="3B81EA8D">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定标委员会成员应客观、公正地履行定标职责，遵守职业道德，保守秘密，严格按照招标文件规定的定标办法和程序定标，并对定标结果负责，对所提出的定标意见承担个人责任。</w:t>
      </w:r>
    </w:p>
    <w:p w14:paraId="6D5B2F5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委员会成员投票时，应按照招标文件规定的投票规则独立行使投票权，应采用记名方式并注明投票理由。对定标结果有不同意见的定标委员会成员应当以书面形式说明其不同意见和理由，定标报告应当注明该不同意见。定标委员会成员拒绝在定标报告上签字又不书面说明其不同意见和理由的，视为同意定标结果。定标完成后，定标委员会应向招标人提交书面定标报告。</w:t>
      </w:r>
    </w:p>
    <w:p w14:paraId="536499AD">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成立定标监督小组。招标人应及时组建定标监督小组，对定标人员库组建、定标人员抽取和定标委员会的定标活动全过程进行监督，确保定标过程公正、公平。发现异常情况及时对该参加定标会的人员或者定标委员会成员进行约谈，涉嫌廉政问题的，要及时向行政监察机关移交。</w:t>
      </w:r>
    </w:p>
    <w:p w14:paraId="699AF7EA">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定标监督小组原则上由2人组成，一般为招标人本单位或上级单位纪检监察人员，也可由招标人的法定代表人或主要负责人指定骨干成员参加。定标监督小组有权就定标委员会违反定标规则的行为进行质询。</w:t>
      </w:r>
    </w:p>
    <w:p w14:paraId="3EE1B03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（二）定标方法</w:t>
      </w:r>
    </w:p>
    <w:p w14:paraId="3726579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应事先确定相应的工作规则，在招投标活动中，招标人应严格按照规则办事，不得临时动议改变既定规则。招标人招投标的核心价值观是“优中选低、低中选优”，“优中选低”是指重大项目、技术复杂、有特殊要求或者采用新技术、技术要求特别高以及其它特殊情况的招标项目在优质企业中选择一个投标报价相对较低的企业；“低中选优”是指一般通用技术、性能标准或者招标人对其技术、性能标准没有特殊要求的招标项目在投标报价较低的投标人中选择一个相对优质的企业。招标人在定标时可以考虑“择优”和“比劣”因素。</w:t>
      </w:r>
    </w:p>
    <w:p w14:paraId="0D701C2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或者招标代理机构在定标时可以介绍项目情况、招标情况、清标及对投标人或者项目负责人的考察、质询情况；招标人可以介绍评标情况、专家评审意见及评标结论、提醒注意事项。定标委员会成员有疑问的，可以向招标人或者招标代理机构、评标专家提问。</w:t>
      </w:r>
    </w:p>
    <w:p w14:paraId="1D607B3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1.定标要素</w:t>
      </w:r>
    </w:p>
    <w:p w14:paraId="1621E31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招标人可根据招标项目具体特点和实际需要，确定与项目相匹配的定标要素。</w:t>
      </w:r>
    </w:p>
    <w:p w14:paraId="1331A4B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2.定标办法</w:t>
      </w:r>
    </w:p>
    <w:p w14:paraId="748A7C3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可以根据项目特点和实际需要确定若干定标要素，应按照“公平竞争、合理低价、物有所值”的原则，根据项目特点和需要合理采用价格竞争定标法、票决定标法、集体议事法等以及其他定标方法，在充分满足项目需要和确保项目质量安全的同时注重价格导向和经济效益，从有效定标候选人中择优确定信用良好、综合实力及履约能力与招标项目相匹配、合理低价的中标人。</w:t>
      </w:r>
    </w:p>
    <w:p w14:paraId="4CF4C92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委员会应按照招标文件规定的定标办法、定标要素和评标委员会评标报告、招标人的清标报告、建设单位对投标人的履约评价、投标人报价情况以及投标人信用情况等定标资料客观、公正、科学、精准地进行定标。</w:t>
      </w:r>
    </w:p>
    <w:p w14:paraId="4D1791AD">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（三）定标结果公示</w:t>
      </w:r>
    </w:p>
    <w:p w14:paraId="27D6EE8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应当在定标会结束后3日内公示定标结果。中标人放弃中标、因不可抗力不能履行合同、不按照招标文件要求提交履约保证金，或者被查实存在影响中标结果的违法行为等情形，不符合中标条件的，招标人可以从有效定标候选人中采用招标文件规定的定标方法、定标要素、“择优”和“比劣”标准，结合评标委员会评标报告、招标人的清标报告、建设单位对投标人的履约评价、投标人报价情况以及投标人信用情况等，由原定标委员会重新确定中标人，也可以重新招标。</w:t>
      </w:r>
    </w:p>
    <w:p w14:paraId="073BAFF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（四）定标记录</w:t>
      </w:r>
    </w:p>
    <w:p w14:paraId="6329A3EB">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必须做好定标会记录、录音、录像等工作，留好痕迹，做到可追溯、可倒查。除按规定自行保存所有定标资料外，招标人还应在定标会结束后3日内，将清标报告、定标记录、定标报告、定标监督报告等资料提交交易中心归档保存。清标报告应包括各清标事项形成的各类资料。定标记录应包括参加定标的人员名单或者定标委员会备选人员名单、正式人员名单、投票记录、投票理由等相关资料。定标报告应包括参加定标会人员或者定标委员会的产生过程、定标程序及定标结果等内容。清标报告应包括各清标事项形成的各类资料。</w:t>
      </w:r>
    </w:p>
    <w:p w14:paraId="5D3F28A2">
      <w:pPr>
        <w:numPr>
          <w:ilvl w:val="0"/>
          <w:numId w:val="3"/>
        </w:num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招标人内控机制</w:t>
      </w:r>
    </w:p>
    <w:p w14:paraId="0725747C">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招标人是工程项目建设招标投标活动的组织者和参与者，应全面履行项目建设的管理职责，对招标过程和结果负总责。招标人应结合工程项目的具体特点、难点，制定切实可行的“评定分离”方案，以达到最佳的招标效果。招标人的法定代表人是招标活动的第一责任人，对招标过程和招标结果承担第一责任人责任。</w:t>
      </w:r>
    </w:p>
    <w:p w14:paraId="66AF705B">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（一）决策约束机制</w:t>
      </w:r>
    </w:p>
    <w:p w14:paraId="79BA430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招标人应加强内部管理，按照岗位制衡、职责分工、集体决策、公开透明的要求，建立健全内部程序控制、决策约束和廉政风险防控机制，要将资格预审文件、招标文件、评标办法、定标办法、定标委员会的组建、招标效果评估等纳入“三重一大”决策机制和廉洁评估范围内，提高重大决策的透明度和决策质量。</w:t>
      </w:r>
    </w:p>
    <w:p w14:paraId="36425FE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（二）回避机制</w:t>
      </w:r>
    </w:p>
    <w:p w14:paraId="369CCDDA">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清标（包括考察、咨询）小组成员、定标委员会成员与有效定标候选人存在利害关系的，应主动回避，并书面说明回避理由。</w:t>
      </w:r>
    </w:p>
    <w:p w14:paraId="78C2DCEA">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（三）监督机制</w:t>
      </w:r>
    </w:p>
    <w:p w14:paraId="5174AEBC">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定标监督小组，负责监督定标委员会是否按既定的定标方法定标，定标方法及定标过程是否存在不公平、不公正和违法违规的情形。监督工作完成后应撰写监督报告。</w:t>
      </w:r>
    </w:p>
    <w:p w14:paraId="6B301B9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（四）全过程“留痕”机制</w:t>
      </w:r>
    </w:p>
    <w:p w14:paraId="5BBA98CF">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招标人有关的定标资料应作为工程技术档案保存，按《档案法》的有关规定执行。招标人应对定标前期准备工作、定标工作等有关录音、录像和书面材料等随定标资料一并保存。</w:t>
      </w:r>
    </w:p>
    <w:p w14:paraId="23CE8A8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七、招标效果核查机制</w:t>
      </w:r>
    </w:p>
    <w:p w14:paraId="75E8840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一)招标人在项目实施过程中以及项目完成后一定时间内应对中标人的履约情况跟踪核查。核查内容可包括:投标承诺是否兑现、工期、质量安全管理、变更及造价控制情况、协调配合与服务等。形成核查报告，评估招标及履约效果，优化后续定标方法。</w:t>
      </w:r>
    </w:p>
    <w:p w14:paraId="541AD5ED">
      <w:pPr>
        <w:rPr>
          <w:rFonts w:hint="eastAsia"/>
          <w:color w:val="auto"/>
          <w:highlight w:val="none"/>
        </w:rPr>
      </w:pPr>
      <w:r>
        <w:rPr>
          <w:rFonts w:hint="eastAsia"/>
          <w:color w:val="auto"/>
          <w:highlight w:val="none"/>
        </w:rPr>
        <w:br w:type="page"/>
      </w:r>
    </w:p>
    <w:p w14:paraId="0B7E39BD">
      <w:pPr>
        <w:rPr>
          <w:rFonts w:hint="eastAsia"/>
          <w:color w:val="auto"/>
          <w:highlight w:val="none"/>
        </w:rPr>
      </w:pPr>
    </w:p>
    <w:p w14:paraId="7B4EE8F5">
      <w:pPr>
        <w:rPr>
          <w:rFonts w:hint="eastAsia"/>
          <w:color w:val="auto"/>
          <w:highlight w:val="none"/>
        </w:rPr>
      </w:pPr>
    </w:p>
    <w:p w14:paraId="5ACBD217">
      <w:pPr>
        <w:rPr>
          <w:rFonts w:hint="eastAsia"/>
          <w:color w:val="auto"/>
          <w:highlight w:val="none"/>
        </w:rPr>
      </w:pPr>
    </w:p>
    <w:p w14:paraId="3D0A1943">
      <w:pPr>
        <w:rPr>
          <w:rFonts w:hint="eastAsia"/>
          <w:color w:val="auto"/>
          <w:highlight w:val="none"/>
        </w:rPr>
      </w:pPr>
    </w:p>
    <w:p w14:paraId="724E5276">
      <w:pPr>
        <w:rPr>
          <w:rFonts w:hint="eastAsia"/>
          <w:color w:val="auto"/>
          <w:highlight w:val="none"/>
        </w:rPr>
      </w:pPr>
    </w:p>
    <w:p w14:paraId="08218A32">
      <w:pPr>
        <w:rPr>
          <w:rFonts w:hint="eastAsia"/>
          <w:color w:val="auto"/>
          <w:highlight w:val="none"/>
        </w:rPr>
      </w:pPr>
    </w:p>
    <w:p w14:paraId="269A390E">
      <w:pPr>
        <w:rPr>
          <w:rFonts w:hint="eastAsia"/>
          <w:color w:val="auto"/>
          <w:highlight w:val="none"/>
        </w:rPr>
      </w:pPr>
    </w:p>
    <w:p w14:paraId="0CED5489">
      <w:pPr>
        <w:rPr>
          <w:rFonts w:hint="eastAsia"/>
          <w:color w:val="auto"/>
          <w:highlight w:val="none"/>
        </w:rPr>
      </w:pPr>
    </w:p>
    <w:p w14:paraId="177B9D00">
      <w:pPr>
        <w:rPr>
          <w:rFonts w:hint="eastAsia"/>
          <w:color w:val="auto"/>
          <w:highlight w:val="none"/>
        </w:rPr>
      </w:pPr>
    </w:p>
    <w:p w14:paraId="79BE02C8">
      <w:pPr>
        <w:rPr>
          <w:rFonts w:hint="eastAsia"/>
          <w:color w:val="auto"/>
          <w:highlight w:val="none"/>
        </w:rPr>
      </w:pPr>
    </w:p>
    <w:p w14:paraId="41C5D7CB">
      <w:pPr>
        <w:rPr>
          <w:rFonts w:hint="eastAsia"/>
          <w:color w:val="auto"/>
          <w:highlight w:val="none"/>
        </w:rPr>
      </w:pPr>
    </w:p>
    <w:p w14:paraId="1CB5C04D">
      <w:pPr>
        <w:rPr>
          <w:rFonts w:hint="eastAsia"/>
          <w:color w:val="auto"/>
          <w:highlight w:val="none"/>
        </w:rPr>
      </w:pPr>
    </w:p>
    <w:bookmarkEnd w:id="580"/>
    <w:bookmarkEnd w:id="581"/>
    <w:p w14:paraId="4564BC13">
      <w:pPr>
        <w:keepNext/>
        <w:keepLines/>
        <w:spacing w:before="120" w:after="120" w:line="400" w:lineRule="exact"/>
        <w:jc w:val="center"/>
        <w:outlineLvl w:val="0"/>
        <w:rPr>
          <w:rFonts w:hint="eastAsia" w:ascii="黑体" w:hAnsi="黑体" w:eastAsia="黑体"/>
          <w:color w:val="auto"/>
          <w:kern w:val="44"/>
          <w:sz w:val="32"/>
          <w:szCs w:val="44"/>
          <w:highlight w:val="none"/>
        </w:rPr>
      </w:pPr>
      <w:bookmarkStart w:id="811" w:name="_Toc23853"/>
      <w:bookmarkStart w:id="812" w:name="_Toc28532121"/>
      <w:bookmarkStart w:id="813" w:name="EB4d973bdf28cb4d8fbfd8eb0967e5f00e"/>
      <w:r>
        <w:rPr>
          <w:rFonts w:hint="eastAsia" w:ascii="黑体" w:hAnsi="黑体" w:eastAsia="黑体"/>
          <w:color w:val="auto"/>
          <w:kern w:val="44"/>
          <w:sz w:val="32"/>
          <w:szCs w:val="44"/>
          <w:highlight w:val="none"/>
        </w:rPr>
        <w:t>第四章  合同条款及格式</w:t>
      </w:r>
      <w:bookmarkEnd w:id="811"/>
      <w:bookmarkEnd w:id="812"/>
    </w:p>
    <w:p w14:paraId="089331BD">
      <w:pPr>
        <w:jc w:val="center"/>
        <w:rPr>
          <w:rFonts w:hint="eastAsia" w:ascii="黑体" w:hAnsi="Times New Roman" w:eastAsia="黑体"/>
          <w:color w:val="auto"/>
          <w:sz w:val="30"/>
          <w:szCs w:val="30"/>
          <w:highlight w:val="none"/>
        </w:rPr>
      </w:pPr>
    </w:p>
    <w:p w14:paraId="29AAB1C0">
      <w:pPr>
        <w:jc w:val="center"/>
        <w:rPr>
          <w:rFonts w:hint="eastAsia" w:ascii="黑体" w:hAnsi="Times New Roman" w:eastAsia="黑体"/>
          <w:color w:val="auto"/>
          <w:sz w:val="30"/>
          <w:szCs w:val="30"/>
          <w:highlight w:val="none"/>
        </w:rPr>
      </w:pPr>
    </w:p>
    <w:p w14:paraId="77BD1642">
      <w:pPr>
        <w:jc w:val="center"/>
        <w:rPr>
          <w:rFonts w:hint="eastAsia" w:ascii="黑体" w:hAnsi="Times New Roman" w:eastAsia="黑体"/>
          <w:color w:val="auto"/>
          <w:sz w:val="30"/>
          <w:szCs w:val="30"/>
          <w:highlight w:val="none"/>
        </w:rPr>
      </w:pPr>
    </w:p>
    <w:p w14:paraId="3C083AFF">
      <w:pPr>
        <w:jc w:val="center"/>
        <w:rPr>
          <w:rFonts w:hint="eastAsia" w:ascii="黑体" w:hAnsi="Times New Roman" w:eastAsia="黑体"/>
          <w:color w:val="auto"/>
          <w:sz w:val="30"/>
          <w:szCs w:val="30"/>
          <w:highlight w:val="none"/>
        </w:rPr>
      </w:pPr>
    </w:p>
    <w:p w14:paraId="216EC0EF">
      <w:pPr>
        <w:jc w:val="center"/>
        <w:rPr>
          <w:rFonts w:hint="eastAsia" w:ascii="黑体" w:hAnsi="Times New Roman" w:eastAsia="黑体"/>
          <w:color w:val="auto"/>
          <w:sz w:val="30"/>
          <w:szCs w:val="30"/>
          <w:highlight w:val="none"/>
        </w:rPr>
      </w:pPr>
    </w:p>
    <w:p w14:paraId="023911BB">
      <w:pPr>
        <w:jc w:val="center"/>
        <w:rPr>
          <w:rFonts w:hint="eastAsia" w:ascii="黑体" w:hAnsi="Times New Roman" w:eastAsia="黑体"/>
          <w:color w:val="auto"/>
          <w:sz w:val="30"/>
          <w:szCs w:val="30"/>
          <w:highlight w:val="none"/>
        </w:rPr>
      </w:pPr>
    </w:p>
    <w:p w14:paraId="04619611">
      <w:pPr>
        <w:jc w:val="center"/>
        <w:rPr>
          <w:rFonts w:hint="eastAsia" w:ascii="黑体" w:hAnsi="Times New Roman" w:eastAsia="黑体"/>
          <w:color w:val="auto"/>
          <w:sz w:val="30"/>
          <w:szCs w:val="30"/>
          <w:highlight w:val="none"/>
        </w:rPr>
      </w:pPr>
    </w:p>
    <w:p w14:paraId="55B16352">
      <w:pPr>
        <w:jc w:val="center"/>
        <w:rPr>
          <w:rFonts w:hint="eastAsia" w:ascii="黑体" w:hAnsi="Times New Roman" w:eastAsia="黑体"/>
          <w:color w:val="auto"/>
          <w:sz w:val="30"/>
          <w:szCs w:val="30"/>
          <w:highlight w:val="none"/>
        </w:rPr>
      </w:pPr>
    </w:p>
    <w:p w14:paraId="31AAC2AD">
      <w:pPr>
        <w:jc w:val="center"/>
        <w:rPr>
          <w:rFonts w:hint="eastAsia" w:ascii="黑体" w:hAnsi="Times New Roman" w:eastAsia="黑体"/>
          <w:color w:val="auto"/>
          <w:sz w:val="30"/>
          <w:szCs w:val="30"/>
          <w:highlight w:val="none"/>
        </w:rPr>
      </w:pPr>
    </w:p>
    <w:p w14:paraId="622D3008">
      <w:pPr>
        <w:jc w:val="center"/>
        <w:rPr>
          <w:rFonts w:hint="eastAsia" w:ascii="黑体" w:hAnsi="Times New Roman" w:eastAsia="黑体"/>
          <w:color w:val="auto"/>
          <w:sz w:val="30"/>
          <w:szCs w:val="30"/>
          <w:highlight w:val="none"/>
        </w:rPr>
      </w:pPr>
    </w:p>
    <w:p w14:paraId="721F0D3B">
      <w:pPr>
        <w:jc w:val="center"/>
        <w:rPr>
          <w:rFonts w:hint="eastAsia" w:ascii="黑体" w:hAnsi="Times New Roman" w:eastAsia="黑体"/>
          <w:color w:val="auto"/>
          <w:sz w:val="30"/>
          <w:szCs w:val="30"/>
          <w:highlight w:val="none"/>
        </w:rPr>
      </w:pPr>
    </w:p>
    <w:p w14:paraId="1A01BE88">
      <w:pPr>
        <w:jc w:val="center"/>
        <w:rPr>
          <w:rFonts w:hint="eastAsia" w:ascii="黑体" w:hAnsi="Times New Roman" w:eastAsia="黑体"/>
          <w:color w:val="auto"/>
          <w:sz w:val="30"/>
          <w:szCs w:val="30"/>
          <w:highlight w:val="none"/>
        </w:rPr>
      </w:pPr>
    </w:p>
    <w:p w14:paraId="0D0C84D3">
      <w:pPr>
        <w:jc w:val="center"/>
        <w:rPr>
          <w:rFonts w:hint="eastAsia" w:ascii="黑体" w:hAnsi="Times New Roman" w:eastAsia="黑体"/>
          <w:color w:val="auto"/>
          <w:sz w:val="30"/>
          <w:szCs w:val="30"/>
          <w:highlight w:val="none"/>
        </w:rPr>
      </w:pPr>
    </w:p>
    <w:p w14:paraId="63F13B4A">
      <w:pPr>
        <w:jc w:val="center"/>
        <w:rPr>
          <w:rFonts w:hint="eastAsia" w:ascii="黑体" w:hAnsi="Times New Roman" w:eastAsia="黑体"/>
          <w:color w:val="auto"/>
          <w:sz w:val="30"/>
          <w:szCs w:val="30"/>
          <w:highlight w:val="none"/>
        </w:rPr>
      </w:pPr>
    </w:p>
    <w:p w14:paraId="03EA48DD">
      <w:pPr>
        <w:spacing w:line="320" w:lineRule="exact"/>
        <w:ind w:left="735" w:hanging="735" w:hangingChars="350"/>
        <w:rPr>
          <w:rFonts w:hint="eastAsia" w:ascii="Times New Roman" w:hAnsi="Times New Roman"/>
          <w:color w:val="auto"/>
          <w:szCs w:val="24"/>
          <w:highlight w:val="none"/>
        </w:rPr>
      </w:pPr>
      <w:r>
        <w:rPr>
          <w:rFonts w:hint="eastAsia" w:ascii="Times New Roman" w:hAnsi="Times New Roman"/>
          <w:color w:val="auto"/>
          <w:szCs w:val="24"/>
          <w:highlight w:val="none"/>
        </w:rPr>
        <w:t>备注 ： 1. 本合同条款及格式采用2017年9月22日住房城乡建设部、工商总局以建市〔2017〕214号文发布的《建设工程施工合同（示范文本）》（GF-2017-0201）。</w:t>
      </w:r>
    </w:p>
    <w:p w14:paraId="4AB9E1E4">
      <w:pPr>
        <w:spacing w:line="320" w:lineRule="exact"/>
        <w:ind w:left="630" w:leftChars="300" w:firstLine="210" w:firstLineChars="100"/>
        <w:rPr>
          <w:rFonts w:hint="eastAsia" w:ascii="Times New Roman" w:hAnsi="Times New Roman"/>
          <w:color w:val="auto"/>
          <w:szCs w:val="24"/>
          <w:highlight w:val="none"/>
        </w:rPr>
      </w:pPr>
      <w:r>
        <w:rPr>
          <w:rFonts w:hint="eastAsia" w:ascii="Times New Roman" w:hAnsi="Times New Roman"/>
          <w:color w:val="auto"/>
          <w:szCs w:val="24"/>
          <w:highlight w:val="none"/>
        </w:rPr>
        <w:t>2. 根据《省人民政府办公厅关于印发持续深化一流营商环境建设若干措施的通知》（鄂政办发〔2022〕2 号）的要求，预留工程质量保证金的，工程质量保证金预留比例不得高于工程价款结算总额的1.5%。</w:t>
      </w:r>
    </w:p>
    <w:p w14:paraId="5A17AFBB">
      <w:pPr>
        <w:spacing w:line="320" w:lineRule="exact"/>
        <w:ind w:left="735" w:hanging="735" w:hangingChars="350"/>
        <w:rPr>
          <w:rFonts w:ascii="Times New Roman" w:hAnsi="Times New Roman"/>
          <w:color w:val="auto"/>
          <w:szCs w:val="24"/>
          <w:highlight w:val="none"/>
        </w:rPr>
      </w:pPr>
    </w:p>
    <w:p w14:paraId="67123B08">
      <w:pPr>
        <w:spacing w:line="320" w:lineRule="exact"/>
        <w:ind w:left="735" w:hanging="735" w:hangingChars="350"/>
        <w:rPr>
          <w:rFonts w:hint="eastAsia" w:ascii="Times New Roman" w:hAnsi="Times New Roman"/>
          <w:color w:val="auto"/>
          <w:szCs w:val="24"/>
          <w:highlight w:val="none"/>
        </w:rPr>
      </w:pPr>
      <w:r>
        <w:rPr>
          <w:rFonts w:ascii="Times New Roman" w:hAnsi="Times New Roman"/>
          <w:color w:val="auto"/>
          <w:szCs w:val="24"/>
          <w:highlight w:val="none"/>
        </w:rPr>
        <w:br w:type="page"/>
      </w:r>
    </w:p>
    <w:p w14:paraId="7CA06C3B">
      <w:pPr>
        <w:keepNext/>
        <w:keepLines/>
        <w:spacing w:before="100" w:line="400" w:lineRule="exact"/>
        <w:jc w:val="center"/>
        <w:outlineLvl w:val="1"/>
        <w:rPr>
          <w:rFonts w:hint="eastAsia" w:ascii="Times New Roman" w:hAnsi="Times New Roman" w:eastAsia="黑体" w:cs="宋体"/>
          <w:color w:val="auto"/>
          <w:sz w:val="28"/>
          <w:szCs w:val="20"/>
          <w:highlight w:val="none"/>
        </w:rPr>
      </w:pPr>
      <w:bookmarkStart w:id="814" w:name="_Toc28532122"/>
      <w:bookmarkStart w:id="815" w:name="_Toc13447"/>
      <w:r>
        <w:rPr>
          <w:rFonts w:ascii="Times New Roman" w:hAnsi="Times New Roman" w:eastAsia="黑体" w:cs="宋体"/>
          <w:color w:val="auto"/>
          <w:sz w:val="28"/>
          <w:szCs w:val="20"/>
          <w:highlight w:val="none"/>
        </w:rPr>
        <w:t>第一部分 合同协议书</w:t>
      </w:r>
      <w:bookmarkEnd w:id="814"/>
      <w:bookmarkEnd w:id="815"/>
    </w:p>
    <w:p w14:paraId="03A106D6">
      <w:pPr>
        <w:spacing w:line="380" w:lineRule="exact"/>
        <w:rPr>
          <w:rFonts w:hint="eastAsia" w:ascii="Times New Roman" w:hAnsi="Times New Roman"/>
          <w:color w:val="auto"/>
          <w:szCs w:val="24"/>
          <w:highlight w:val="none"/>
        </w:rPr>
      </w:pPr>
    </w:p>
    <w:p w14:paraId="1794F874">
      <w:pPr>
        <w:spacing w:line="400" w:lineRule="exact"/>
        <w:ind w:firstLine="560" w:firstLineChars="200"/>
        <w:jc w:val="center"/>
        <w:rPr>
          <w:rFonts w:hint="eastAsia" w:ascii="黑体" w:hAnsi="Times New Roman" w:eastAsia="黑体"/>
          <w:color w:val="auto"/>
          <w:sz w:val="28"/>
          <w:szCs w:val="28"/>
          <w:highlight w:val="none"/>
        </w:rPr>
      </w:pPr>
      <w:r>
        <w:rPr>
          <w:rFonts w:ascii="黑体" w:hAnsi="Times New Roman" w:eastAsia="黑体"/>
          <w:color w:val="auto"/>
          <w:sz w:val="28"/>
          <w:szCs w:val="28"/>
          <w:highlight w:val="none"/>
        </w:rPr>
        <w:t>合同协议书</w:t>
      </w:r>
    </w:p>
    <w:p w14:paraId="0AE90F37">
      <w:pPr>
        <w:spacing w:line="380" w:lineRule="exact"/>
        <w:rPr>
          <w:rFonts w:hint="eastAsia" w:ascii="Times New Roman" w:hAnsi="Times New Roman" w:eastAsia="黑体"/>
          <w:color w:val="auto"/>
          <w:sz w:val="28"/>
          <w:szCs w:val="20"/>
          <w:highlight w:val="none"/>
        </w:rPr>
      </w:pPr>
    </w:p>
    <w:p w14:paraId="14A85C1D">
      <w:pPr>
        <w:spacing w:line="380" w:lineRule="exact"/>
        <w:rPr>
          <w:rFonts w:hint="eastAsia" w:ascii="Times New Roman" w:hAnsi="Times New Roman" w:eastAsia="宋体"/>
          <w:color w:val="auto"/>
          <w:szCs w:val="24"/>
          <w:highlight w:val="none"/>
          <w:lang w:eastAsia="zh-CN"/>
        </w:rPr>
      </w:pPr>
      <w:r>
        <w:rPr>
          <w:rFonts w:ascii="Times New Roman" w:hAnsi="Times New Roman"/>
          <w:color w:val="auto"/>
          <w:szCs w:val="24"/>
          <w:highlight w:val="none"/>
        </w:rPr>
        <w:t>发包人（全称）：</w:t>
      </w:r>
      <w:r>
        <w:rPr>
          <w:rFonts w:hint="eastAsia" w:ascii="Times New Roman" w:hAnsi="Times New Roman"/>
          <w:color w:val="auto"/>
          <w:szCs w:val="24"/>
          <w:highlight w:val="none"/>
          <w:u w:val="single"/>
          <w:lang w:val="en-US" w:eastAsia="zh-CN"/>
        </w:rPr>
        <w:t>湖北省</w:t>
      </w:r>
      <w:r>
        <w:rPr>
          <w:rFonts w:hint="eastAsia" w:ascii="Times New Roman" w:hAnsi="Times New Roman"/>
          <w:color w:val="auto"/>
          <w:szCs w:val="24"/>
          <w:highlight w:val="none"/>
          <w:u w:val="single"/>
          <w:lang w:eastAsia="zh-CN"/>
        </w:rPr>
        <w:t>大冶市第二中学</w:t>
      </w:r>
    </w:p>
    <w:p w14:paraId="6B4DE0FB">
      <w:pPr>
        <w:spacing w:line="380" w:lineRule="exact"/>
        <w:rPr>
          <w:rFonts w:ascii="Times New Roman" w:hAnsi="Times New Roman"/>
          <w:color w:val="auto"/>
          <w:szCs w:val="24"/>
          <w:highlight w:val="none"/>
        </w:rPr>
      </w:pPr>
      <w:r>
        <w:rPr>
          <w:rFonts w:ascii="Times New Roman" w:hAnsi="Times New Roman"/>
          <w:color w:val="auto"/>
          <w:szCs w:val="24"/>
          <w:highlight w:val="none"/>
        </w:rPr>
        <w:t>承包人（全称）：</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p>
    <w:p w14:paraId="1816DE0A">
      <w:pPr>
        <w:spacing w:line="380" w:lineRule="exact"/>
        <w:rPr>
          <w:rFonts w:ascii="Times New Roman" w:hAnsi="Times New Roman"/>
          <w:color w:val="auto"/>
          <w:szCs w:val="24"/>
          <w:highlight w:val="none"/>
        </w:rPr>
      </w:pPr>
      <w:r>
        <w:rPr>
          <w:rFonts w:ascii="Times New Roman" w:hAnsi="Times New Roman"/>
          <w:color w:val="auto"/>
          <w:szCs w:val="24"/>
          <w:highlight w:val="none"/>
        </w:rPr>
        <w:t>根据《中华人民共和国合同法》、《中华人民共和国建筑法》及有关法律规定，遵循平等、自愿、公平和诚实信用的原则，双方就</w:t>
      </w:r>
      <w:r>
        <w:rPr>
          <w:rFonts w:hint="eastAsia" w:ascii="Times New Roman" w:hAnsi="Times New Roman"/>
          <w:color w:val="auto"/>
          <w:szCs w:val="24"/>
          <w:highlight w:val="none"/>
          <w:lang w:eastAsia="zh-CN"/>
        </w:rPr>
        <w:t>大冶市第二中学改扩建工程（二期二标段）</w:t>
      </w:r>
      <w:r>
        <w:rPr>
          <w:rFonts w:ascii="Times New Roman" w:hAnsi="Times New Roman"/>
          <w:color w:val="auto"/>
          <w:szCs w:val="24"/>
          <w:highlight w:val="none"/>
        </w:rPr>
        <w:t>工程施工及有关事项协商一致</w:t>
      </w:r>
      <w:r>
        <w:rPr>
          <w:rFonts w:hint="eastAsia" w:ascii="Times New Roman" w:hAnsi="Times New Roman"/>
          <w:color w:val="auto"/>
          <w:szCs w:val="24"/>
          <w:highlight w:val="none"/>
        </w:rPr>
        <w:t>，</w:t>
      </w:r>
      <w:r>
        <w:rPr>
          <w:rFonts w:ascii="Times New Roman" w:hAnsi="Times New Roman"/>
          <w:color w:val="auto"/>
          <w:szCs w:val="24"/>
          <w:highlight w:val="none"/>
        </w:rPr>
        <w:t>共同达成如下协议：</w:t>
      </w:r>
    </w:p>
    <w:p w14:paraId="718DD933">
      <w:pPr>
        <w:spacing w:line="480" w:lineRule="auto"/>
        <w:rPr>
          <w:rFonts w:ascii="Times New Roman" w:hAnsi="Times New Roman"/>
          <w:b/>
          <w:color w:val="auto"/>
          <w:szCs w:val="24"/>
          <w:highlight w:val="none"/>
        </w:rPr>
      </w:pPr>
      <w:bookmarkStart w:id="816" w:name="_Toc351203481"/>
      <w:r>
        <w:rPr>
          <w:rFonts w:ascii="黑体" w:hAnsi="Times New Roman" w:eastAsia="黑体"/>
          <w:b/>
          <w:color w:val="auto"/>
          <w:szCs w:val="24"/>
          <w:highlight w:val="none"/>
        </w:rPr>
        <w:t>一、工程概况</w:t>
      </w:r>
      <w:bookmarkEnd w:id="816"/>
    </w:p>
    <w:p w14:paraId="0C8937E2">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1.工程名称：</w:t>
      </w:r>
      <w:r>
        <w:rPr>
          <w:rFonts w:hint="eastAsia" w:ascii="Times New Roman" w:hAnsi="Times New Roman"/>
          <w:color w:val="auto"/>
          <w:szCs w:val="24"/>
          <w:highlight w:val="none"/>
          <w:u w:val="single"/>
          <w:lang w:eastAsia="zh-CN"/>
        </w:rPr>
        <w:t>大冶市第二中学改扩建工程（二期二标段）</w:t>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rPr>
        <w:t>。</w:t>
      </w:r>
    </w:p>
    <w:p w14:paraId="2547A329">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2.工程地点：</w:t>
      </w:r>
      <w:r>
        <w:rPr>
          <w:rFonts w:hint="eastAsia" w:ascii="Times New Roman" w:hAnsi="Times New Roman"/>
          <w:color w:val="auto"/>
          <w:szCs w:val="24"/>
          <w:highlight w:val="none"/>
          <w:u w:val="single"/>
          <w:lang w:eastAsia="zh-CN"/>
        </w:rPr>
        <w:t>大冶市</w:t>
      </w:r>
      <w:r>
        <w:rPr>
          <w:rFonts w:hint="eastAsia" w:ascii="Times New Roman" w:hAnsi="Times New Roman"/>
          <w:color w:val="auto"/>
          <w:szCs w:val="24"/>
          <w:highlight w:val="none"/>
          <w:u w:val="single"/>
          <w:lang w:val="en-US" w:eastAsia="zh-CN"/>
        </w:rPr>
        <w:t>金牛镇</w:t>
      </w:r>
      <w:r>
        <w:rPr>
          <w:rFonts w:ascii="Times New Roman" w:hAnsi="Times New Roman"/>
          <w:color w:val="auto"/>
          <w:szCs w:val="24"/>
          <w:highlight w:val="none"/>
          <w:u w:val="single"/>
        </w:rPr>
        <w:t>。</w:t>
      </w:r>
    </w:p>
    <w:p w14:paraId="75F86DBD">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3.工程立项批准文号：</w:t>
      </w:r>
      <w:r>
        <w:rPr>
          <w:rFonts w:hint="eastAsia" w:ascii="Times New Roman" w:hAnsi="Times New Roman"/>
          <w:color w:val="auto"/>
          <w:szCs w:val="24"/>
          <w:highlight w:val="none"/>
          <w:u w:val="single"/>
          <w:lang w:val="en-US" w:eastAsia="zh-CN"/>
        </w:rPr>
        <w:t xml:space="preserve"> 冶发改审批服务﹝2022﹞180号  </w:t>
      </w:r>
      <w:r>
        <w:rPr>
          <w:rFonts w:ascii="Times New Roman" w:hAnsi="Times New Roman"/>
          <w:color w:val="auto"/>
          <w:szCs w:val="24"/>
          <w:highlight w:val="none"/>
        </w:rPr>
        <w:t>。</w:t>
      </w:r>
    </w:p>
    <w:p w14:paraId="2A971EDB">
      <w:pPr>
        <w:spacing w:line="38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4.资金来源：</w:t>
      </w:r>
      <w:r>
        <w:rPr>
          <w:rFonts w:hint="eastAsia" w:ascii="Times New Roman" w:hAnsi="Times New Roman"/>
          <w:color w:val="auto"/>
          <w:szCs w:val="24"/>
          <w:highlight w:val="none"/>
          <w:u w:val="single"/>
          <w:lang w:val="en-US" w:eastAsia="zh-CN"/>
        </w:rPr>
        <w:t>财政资金</w:t>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rPr>
        <w:t>。</w:t>
      </w:r>
    </w:p>
    <w:p w14:paraId="4BA08F72">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5.工程内容：</w:t>
      </w:r>
      <w:r>
        <w:rPr>
          <w:rFonts w:hint="eastAsia" w:ascii="Times New Roman" w:hAnsi="Times New Roman"/>
          <w:color w:val="auto"/>
          <w:szCs w:val="24"/>
          <w:highlight w:val="none"/>
          <w:u w:val="single"/>
          <w:lang w:val="en-US" w:eastAsia="zh-CN"/>
        </w:rPr>
        <w:t>架空层、附属工程、西侧道路挡土墙、室外雨污管网、旧教学楼、篮球场、运动场、室外附属照明工程、室外道路等</w:t>
      </w:r>
      <w:r>
        <w:rPr>
          <w:rFonts w:ascii="Times New Roman" w:hAnsi="Times New Roman"/>
          <w:color w:val="auto"/>
          <w:szCs w:val="24"/>
          <w:highlight w:val="none"/>
        </w:rPr>
        <w:t>。</w:t>
      </w:r>
    </w:p>
    <w:p w14:paraId="2A4C580C">
      <w:pPr>
        <w:spacing w:line="38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群体工程应附《</w:t>
      </w:r>
      <w:r>
        <w:rPr>
          <w:rFonts w:ascii="Times New Roman" w:hAnsi="Times New Roman"/>
          <w:color w:val="auto"/>
          <w:szCs w:val="24"/>
          <w:highlight w:val="none"/>
        </w:rPr>
        <w:t>承包人承揽工程项目一览表</w:t>
      </w:r>
      <w:r>
        <w:rPr>
          <w:rFonts w:hint="eastAsia" w:ascii="Times New Roman" w:hAnsi="Times New Roman"/>
          <w:color w:val="auto"/>
          <w:szCs w:val="24"/>
          <w:highlight w:val="none"/>
        </w:rPr>
        <w:t>》（附件1）。</w:t>
      </w:r>
    </w:p>
    <w:p w14:paraId="506B6A72">
      <w:pPr>
        <w:spacing w:line="38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6</w:t>
      </w:r>
      <w:r>
        <w:rPr>
          <w:rFonts w:ascii="Times New Roman" w:hAnsi="Times New Roman"/>
          <w:color w:val="auto"/>
          <w:szCs w:val="24"/>
          <w:highlight w:val="none"/>
        </w:rPr>
        <w:t>.工程承包范围：</w:t>
      </w:r>
    </w:p>
    <w:p w14:paraId="563664C6">
      <w:pPr>
        <w:spacing w:line="380" w:lineRule="exact"/>
        <w:rPr>
          <w:rFonts w:ascii="Times New Roman" w:hAnsi="Times New Roman"/>
          <w:color w:val="auto"/>
          <w:szCs w:val="24"/>
          <w:highlight w:val="none"/>
        </w:rPr>
      </w:pPr>
      <w:r>
        <w:rPr>
          <w:rFonts w:ascii="Times New Roman" w:hAnsi="Times New Roman"/>
          <w:color w:val="auto"/>
          <w:szCs w:val="24"/>
          <w:highlight w:val="none"/>
        </w:rPr>
        <w:sym w:font="Times New Roman" w:char="E5E5"/>
      </w:r>
      <w:r>
        <w:rPr>
          <w:rFonts w:ascii="Times New Roman" w:hAnsi="Times New Roman"/>
          <w:color w:val="auto"/>
          <w:szCs w:val="24"/>
          <w:highlight w:val="none"/>
        </w:rPr>
        <w:sym w:font="Times New Roman" w:char="E5E5"/>
      </w:r>
      <w:r>
        <w:rPr>
          <w:rFonts w:hint="eastAsia" w:ascii="Times New Roman" w:hAnsi="Times New Roman"/>
          <w:color w:val="auto"/>
          <w:szCs w:val="24"/>
          <w:highlight w:val="none"/>
          <w:u w:val="single"/>
          <w:lang w:eastAsia="zh-CN"/>
        </w:rPr>
        <w:t>大冶市第二中学改扩建工程（二期二标段）</w:t>
      </w:r>
      <w:r>
        <w:rPr>
          <w:rFonts w:hint="eastAsia" w:ascii="Times New Roman" w:hAnsi="Times New Roman"/>
          <w:color w:val="auto"/>
          <w:szCs w:val="24"/>
          <w:highlight w:val="none"/>
          <w:u w:val="single"/>
        </w:rPr>
        <w:t>建设，具体以工程量清单和图纸和技术标准要求为准</w:t>
      </w:r>
      <w:r>
        <w:rPr>
          <w:rFonts w:ascii="Times New Roman" w:hAnsi="Times New Roman"/>
          <w:color w:val="auto"/>
          <w:szCs w:val="24"/>
          <w:highlight w:val="none"/>
          <w:u w:val="single"/>
        </w:rPr>
        <w:t>。</w:t>
      </w:r>
    </w:p>
    <w:p w14:paraId="23507746">
      <w:pPr>
        <w:spacing w:line="480" w:lineRule="auto"/>
        <w:rPr>
          <w:rFonts w:ascii="Times New Roman" w:hAnsi="Times New Roman"/>
          <w:b/>
          <w:color w:val="auto"/>
          <w:szCs w:val="24"/>
          <w:highlight w:val="none"/>
        </w:rPr>
      </w:pPr>
      <w:bookmarkStart w:id="817" w:name="_Toc351203482"/>
      <w:r>
        <w:rPr>
          <w:rFonts w:ascii="黑体" w:hAnsi="Times New Roman" w:eastAsia="黑体"/>
          <w:b/>
          <w:color w:val="auto"/>
          <w:szCs w:val="24"/>
          <w:highlight w:val="none"/>
        </w:rPr>
        <w:t>二、合同工期</w:t>
      </w:r>
      <w:bookmarkEnd w:id="817"/>
    </w:p>
    <w:p w14:paraId="414A3839">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计划开工日期：</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2026</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年</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11</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月</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20</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日。</w:t>
      </w:r>
    </w:p>
    <w:p w14:paraId="51964C74">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计划竣工日期：</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2027</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年</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05</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月</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19</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日。</w:t>
      </w:r>
    </w:p>
    <w:p w14:paraId="366A30F7">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工期总日历天数：</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180</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天。工期总日历天数与根据前述计划开竣工日期计算的工期天数不一致的，以工期总日历天数为准。</w:t>
      </w:r>
    </w:p>
    <w:p w14:paraId="720DF009">
      <w:pPr>
        <w:spacing w:line="480" w:lineRule="auto"/>
        <w:rPr>
          <w:rFonts w:ascii="Times New Roman" w:hAnsi="Times New Roman"/>
          <w:b/>
          <w:color w:val="auto"/>
          <w:szCs w:val="24"/>
          <w:highlight w:val="none"/>
        </w:rPr>
      </w:pPr>
      <w:r>
        <w:rPr>
          <w:rFonts w:ascii="Times New Roman" w:hAnsi="Times New Roman"/>
          <w:color w:val="auto"/>
          <w:szCs w:val="24"/>
          <w:highlight w:val="none"/>
        </w:rPr>
        <w:t xml:space="preserve"> </w:t>
      </w:r>
      <w:bookmarkStart w:id="818" w:name="_Toc351203483"/>
      <w:r>
        <w:rPr>
          <w:rFonts w:ascii="黑体" w:hAnsi="Times New Roman" w:eastAsia="黑体"/>
          <w:b/>
          <w:color w:val="auto"/>
          <w:szCs w:val="24"/>
          <w:highlight w:val="none"/>
        </w:rPr>
        <w:t>三、质量标准</w:t>
      </w:r>
      <w:bookmarkEnd w:id="818"/>
    </w:p>
    <w:p w14:paraId="09821A88">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工程质量符合</w:t>
      </w:r>
      <w:r>
        <w:rPr>
          <w:rFonts w:hint="eastAsia" w:ascii="Times New Roman" w:hAnsi="Times New Roman"/>
          <w:color w:val="auto"/>
          <w:szCs w:val="24"/>
          <w:highlight w:val="none"/>
          <w:lang w:val="en-US" w:eastAsia="zh-CN"/>
        </w:rPr>
        <w:t xml:space="preserve"> </w:t>
      </w:r>
      <w:r>
        <w:rPr>
          <w:rFonts w:hint="eastAsia" w:ascii="Times New Roman" w:hAnsi="Times New Roman"/>
          <w:color w:val="auto"/>
          <w:szCs w:val="24"/>
          <w:highlight w:val="none"/>
          <w:u w:val="single"/>
          <w:lang w:val="en-US" w:eastAsia="zh-CN"/>
        </w:rPr>
        <w:t xml:space="preserve">    国家相关验收</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标准。</w:t>
      </w:r>
    </w:p>
    <w:p w14:paraId="6B45D848">
      <w:pPr>
        <w:spacing w:line="480" w:lineRule="auto"/>
        <w:rPr>
          <w:rFonts w:ascii="Times New Roman" w:hAnsi="Times New Roman"/>
          <w:color w:val="auto"/>
          <w:szCs w:val="24"/>
          <w:highlight w:val="none"/>
        </w:rPr>
      </w:pPr>
      <w:bookmarkStart w:id="819" w:name="_Toc351203484"/>
      <w:r>
        <w:rPr>
          <w:rFonts w:ascii="Times New Roman" w:hAnsi="Times New Roman"/>
          <w:color w:val="auto"/>
          <w:szCs w:val="24"/>
          <w:highlight w:val="none"/>
        </w:rPr>
        <w:t xml:space="preserve"> </w:t>
      </w:r>
      <w:r>
        <w:rPr>
          <w:rFonts w:ascii="黑体" w:hAnsi="Times New Roman" w:eastAsia="黑体"/>
          <w:b/>
          <w:color w:val="auto"/>
          <w:szCs w:val="24"/>
          <w:highlight w:val="none"/>
        </w:rPr>
        <w:t>四、签约合同价与合同价格形式</w:t>
      </w:r>
      <w:bookmarkEnd w:id="819"/>
      <w:r>
        <w:rPr>
          <w:rFonts w:ascii="黑体" w:hAnsi="Times New Roman" w:eastAsia="黑体"/>
          <w:b/>
          <w:color w:val="auto"/>
          <w:szCs w:val="24"/>
          <w:highlight w:val="none"/>
        </w:rPr>
        <w:tab/>
      </w:r>
    </w:p>
    <w:p w14:paraId="3E80734B">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1.签约合同价为：</w:t>
      </w:r>
    </w:p>
    <w:p w14:paraId="704D3536">
      <w:pPr>
        <w:spacing w:line="380" w:lineRule="exact"/>
        <w:ind w:firstLine="630" w:firstLineChars="300"/>
        <w:rPr>
          <w:rFonts w:ascii="Times New Roman" w:hAnsi="Times New Roman"/>
          <w:color w:val="auto"/>
          <w:szCs w:val="24"/>
          <w:highlight w:val="none"/>
        </w:rPr>
      </w:pPr>
      <w:r>
        <w:rPr>
          <w:rFonts w:ascii="Times New Roman" w:hAnsi="Times New Roman"/>
          <w:color w:val="auto"/>
          <w:szCs w:val="24"/>
          <w:highlight w:val="none"/>
        </w:rPr>
        <w:t>人民币（大写）</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元)；</w:t>
      </w:r>
    </w:p>
    <w:p w14:paraId="5287C8EF">
      <w:pPr>
        <w:spacing w:line="380" w:lineRule="exact"/>
        <w:ind w:firstLine="630" w:firstLineChars="300"/>
        <w:rPr>
          <w:rFonts w:ascii="Times New Roman" w:hAnsi="Times New Roman"/>
          <w:color w:val="auto"/>
          <w:szCs w:val="24"/>
          <w:highlight w:val="none"/>
        </w:rPr>
      </w:pPr>
      <w:r>
        <w:rPr>
          <w:rFonts w:ascii="Times New Roman" w:hAnsi="Times New Roman"/>
          <w:color w:val="auto"/>
          <w:szCs w:val="24"/>
          <w:highlight w:val="none"/>
        </w:rPr>
        <w:t>其中：</w:t>
      </w:r>
    </w:p>
    <w:p w14:paraId="2D2606E8">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（1）安全文明施工费：</w:t>
      </w:r>
    </w:p>
    <w:p w14:paraId="4A504A3B">
      <w:pPr>
        <w:spacing w:line="380" w:lineRule="exact"/>
        <w:ind w:firstLine="945" w:firstLineChars="450"/>
        <w:rPr>
          <w:rFonts w:ascii="Times New Roman" w:hAnsi="Times New Roman"/>
          <w:color w:val="auto"/>
          <w:szCs w:val="24"/>
          <w:highlight w:val="none"/>
        </w:rPr>
      </w:pPr>
      <w:r>
        <w:rPr>
          <w:rFonts w:ascii="Times New Roman" w:hAnsi="Times New Roman"/>
          <w:color w:val="auto"/>
          <w:szCs w:val="24"/>
          <w:highlight w:val="none"/>
        </w:rPr>
        <w:t>人民币（大写）</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元)；</w:t>
      </w:r>
    </w:p>
    <w:p w14:paraId="11427716">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（2）材料和工程设备暂估价金额：</w:t>
      </w:r>
    </w:p>
    <w:p w14:paraId="73FA9ACE">
      <w:pPr>
        <w:spacing w:line="380" w:lineRule="exact"/>
        <w:ind w:firstLine="945" w:firstLineChars="450"/>
        <w:rPr>
          <w:rFonts w:ascii="Times New Roman" w:hAnsi="Times New Roman"/>
          <w:color w:val="auto"/>
          <w:szCs w:val="24"/>
          <w:highlight w:val="none"/>
        </w:rPr>
      </w:pPr>
      <w:r>
        <w:rPr>
          <w:rFonts w:ascii="Times New Roman" w:hAnsi="Times New Roman"/>
          <w:color w:val="auto"/>
          <w:szCs w:val="24"/>
          <w:highlight w:val="none"/>
        </w:rPr>
        <w:t>人民币（大写）</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元)；</w:t>
      </w:r>
    </w:p>
    <w:p w14:paraId="7AAED77E">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（3）专业工程暂估价金额：</w:t>
      </w:r>
    </w:p>
    <w:p w14:paraId="6ED65204">
      <w:pPr>
        <w:spacing w:line="380" w:lineRule="exact"/>
        <w:ind w:firstLine="945" w:firstLineChars="450"/>
        <w:rPr>
          <w:rFonts w:ascii="Times New Roman" w:hAnsi="Times New Roman"/>
          <w:color w:val="auto"/>
          <w:szCs w:val="24"/>
          <w:highlight w:val="none"/>
        </w:rPr>
      </w:pPr>
      <w:r>
        <w:rPr>
          <w:rFonts w:ascii="Times New Roman" w:hAnsi="Times New Roman"/>
          <w:color w:val="auto"/>
          <w:szCs w:val="24"/>
          <w:highlight w:val="none"/>
        </w:rPr>
        <w:t>人民币（大写）</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元)；</w:t>
      </w:r>
    </w:p>
    <w:p w14:paraId="5D2D94E5">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（4）暂列金额：</w:t>
      </w:r>
    </w:p>
    <w:p w14:paraId="61D1BEFE">
      <w:pPr>
        <w:spacing w:line="380" w:lineRule="exact"/>
        <w:ind w:firstLine="945" w:firstLineChars="450"/>
        <w:rPr>
          <w:rFonts w:ascii="Times New Roman" w:hAnsi="Times New Roman"/>
          <w:color w:val="auto"/>
          <w:szCs w:val="24"/>
          <w:highlight w:val="none"/>
        </w:rPr>
      </w:pPr>
      <w:r>
        <w:rPr>
          <w:rFonts w:ascii="Times New Roman" w:hAnsi="Times New Roman"/>
          <w:color w:val="auto"/>
          <w:szCs w:val="24"/>
          <w:highlight w:val="none"/>
        </w:rPr>
        <w:t>人民币（大写）</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元)。</w:t>
      </w:r>
    </w:p>
    <w:p w14:paraId="3BB88206">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2.合同价格形式：</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固定综合单价</w:t>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532B465F">
      <w:pPr>
        <w:spacing w:line="480" w:lineRule="auto"/>
        <w:rPr>
          <w:rFonts w:ascii="黑体" w:hAnsi="Times New Roman" w:eastAsia="黑体"/>
          <w:b/>
          <w:color w:val="auto"/>
          <w:szCs w:val="24"/>
          <w:highlight w:val="none"/>
        </w:rPr>
      </w:pPr>
      <w:bookmarkStart w:id="820" w:name="_Toc351203485"/>
      <w:r>
        <w:rPr>
          <w:rFonts w:ascii="黑体" w:hAnsi="Times New Roman" w:eastAsia="黑体"/>
          <w:b/>
          <w:color w:val="auto"/>
          <w:szCs w:val="24"/>
          <w:highlight w:val="none"/>
        </w:rPr>
        <w:t>五、</w:t>
      </w:r>
      <w:bookmarkEnd w:id="820"/>
      <w:r>
        <w:rPr>
          <w:rFonts w:ascii="黑体" w:hAnsi="Times New Roman" w:eastAsia="黑体"/>
          <w:b/>
          <w:color w:val="auto"/>
          <w:szCs w:val="24"/>
          <w:highlight w:val="none"/>
        </w:rPr>
        <w:t>项目经理</w:t>
      </w:r>
    </w:p>
    <w:p w14:paraId="15B9F0B9">
      <w:pPr>
        <w:spacing w:line="38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承包人项目经理：</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0605D853">
      <w:pPr>
        <w:spacing w:line="480" w:lineRule="auto"/>
        <w:rPr>
          <w:rFonts w:ascii="黑体" w:hAnsi="Times New Roman" w:eastAsia="黑体"/>
          <w:b/>
          <w:color w:val="auto"/>
          <w:szCs w:val="24"/>
          <w:highlight w:val="none"/>
        </w:rPr>
      </w:pPr>
      <w:bookmarkStart w:id="821" w:name="_Toc351203486"/>
      <w:r>
        <w:rPr>
          <w:rFonts w:ascii="黑体" w:hAnsi="Times New Roman" w:eastAsia="黑体"/>
          <w:b/>
          <w:color w:val="auto"/>
          <w:szCs w:val="24"/>
          <w:highlight w:val="none"/>
        </w:rPr>
        <w:t>六、合同文件构成</w:t>
      </w:r>
      <w:bookmarkEnd w:id="821"/>
    </w:p>
    <w:p w14:paraId="430C9F3D">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本协议书与下列文件一起构成合同文件：</w:t>
      </w:r>
    </w:p>
    <w:p w14:paraId="61B5A839">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（1）中标通知书（如果有）；</w:t>
      </w:r>
    </w:p>
    <w:p w14:paraId="55DCEDF6">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（2）投标函及其附录（如果有）； </w:t>
      </w:r>
    </w:p>
    <w:p w14:paraId="25B54C0F">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（3）专用合同条款及其附件；</w:t>
      </w:r>
    </w:p>
    <w:p w14:paraId="044618E6">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（4）通用合同条款；</w:t>
      </w:r>
    </w:p>
    <w:p w14:paraId="11EFBDB2">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（5）技术标准和要求；</w:t>
      </w:r>
    </w:p>
    <w:p w14:paraId="7532ACBA">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（6）图纸；</w:t>
      </w:r>
    </w:p>
    <w:p w14:paraId="7148F141">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（7）已标价工程量清单或预算书；</w:t>
      </w:r>
    </w:p>
    <w:p w14:paraId="70E95A90">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（8）其他合同文件。</w:t>
      </w:r>
    </w:p>
    <w:p w14:paraId="3B0F16A5">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在合同订立及履行过程中形成的与合同有关的文件均构成合同文件组成部分。</w:t>
      </w:r>
    </w:p>
    <w:p w14:paraId="25D1AC26">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上述各项合同文件包括合同当事人就该项合同文件所作出的补充和修改，属于同一类内容的文件，应以最新签署的为准。</w:t>
      </w:r>
      <w:r>
        <w:rPr>
          <w:rFonts w:hint="eastAsia" w:ascii="Times New Roman" w:hAnsi="Times New Roman"/>
          <w:color w:val="auto"/>
          <w:szCs w:val="24"/>
          <w:highlight w:val="none"/>
        </w:rPr>
        <w:t>专用合同条款及其附件须经合同当事人签字或盖章。</w:t>
      </w:r>
    </w:p>
    <w:p w14:paraId="1DC14DDE">
      <w:pPr>
        <w:spacing w:line="480" w:lineRule="auto"/>
        <w:rPr>
          <w:rFonts w:ascii="黑体" w:hAnsi="Times New Roman" w:eastAsia="黑体"/>
          <w:b/>
          <w:color w:val="auto"/>
          <w:szCs w:val="24"/>
          <w:highlight w:val="none"/>
        </w:rPr>
      </w:pPr>
      <w:bookmarkStart w:id="822" w:name="_Toc351203487"/>
      <w:r>
        <w:rPr>
          <w:rFonts w:ascii="黑体" w:hAnsi="Times New Roman" w:eastAsia="黑体"/>
          <w:b/>
          <w:color w:val="auto"/>
          <w:szCs w:val="24"/>
          <w:highlight w:val="none"/>
        </w:rPr>
        <w:t>七、承诺</w:t>
      </w:r>
      <w:bookmarkEnd w:id="822"/>
    </w:p>
    <w:p w14:paraId="66D7882D">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1.发包人承诺按照法律规定履行项目审批手续、筹集工程建设资金并按照合同约定的期限和方式支付合同价款。</w:t>
      </w:r>
    </w:p>
    <w:p w14:paraId="4DF9B98A">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2.承包人承诺按照法律规定及合同约定组织完成工程施工，确保工程质量和安全，不进行转包及违法分包，并在缺陷责任期及保修期内承担相应的工程维修责任。</w:t>
      </w:r>
    </w:p>
    <w:p w14:paraId="055E9129">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3.发包人和承包人通过招投标形式签订合同的，双方理解并</w:t>
      </w:r>
      <w:r>
        <w:rPr>
          <w:rFonts w:hint="eastAsia" w:ascii="Times New Roman" w:hAnsi="Times New Roman"/>
          <w:color w:val="auto"/>
          <w:szCs w:val="24"/>
          <w:highlight w:val="none"/>
        </w:rPr>
        <w:t>承诺</w:t>
      </w:r>
      <w:r>
        <w:rPr>
          <w:rFonts w:ascii="Times New Roman" w:hAnsi="Times New Roman"/>
          <w:color w:val="auto"/>
          <w:szCs w:val="24"/>
          <w:highlight w:val="none"/>
        </w:rPr>
        <w:t>不再就同一工程另行签订与合同实质性内容相背离的协议。</w:t>
      </w:r>
    </w:p>
    <w:p w14:paraId="53EE334C">
      <w:pPr>
        <w:spacing w:line="480" w:lineRule="auto"/>
        <w:rPr>
          <w:rFonts w:ascii="Times New Roman" w:hAnsi="Times New Roman"/>
          <w:color w:val="auto"/>
          <w:szCs w:val="24"/>
          <w:highlight w:val="none"/>
        </w:rPr>
      </w:pPr>
      <w:bookmarkStart w:id="823" w:name="_Toc351203488"/>
      <w:r>
        <w:rPr>
          <w:rFonts w:ascii="黑体" w:hAnsi="Times New Roman" w:eastAsia="黑体"/>
          <w:b/>
          <w:color w:val="auto"/>
          <w:szCs w:val="24"/>
          <w:highlight w:val="none"/>
        </w:rPr>
        <w:t>八、词语含义</w:t>
      </w:r>
      <w:bookmarkEnd w:id="823"/>
    </w:p>
    <w:p w14:paraId="21735946">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本协议书中词语含义与第二部分通用合同条款中赋予的含义相同。</w:t>
      </w:r>
    </w:p>
    <w:p w14:paraId="68B6FA0F">
      <w:pPr>
        <w:spacing w:line="480" w:lineRule="auto"/>
        <w:rPr>
          <w:rFonts w:ascii="Times New Roman" w:hAnsi="Times New Roman"/>
          <w:color w:val="auto"/>
          <w:szCs w:val="24"/>
          <w:highlight w:val="none"/>
        </w:rPr>
      </w:pPr>
      <w:bookmarkStart w:id="824" w:name="_Toc351203489"/>
      <w:r>
        <w:rPr>
          <w:rFonts w:ascii="黑体" w:hAnsi="Times New Roman" w:eastAsia="黑体"/>
          <w:b/>
          <w:color w:val="auto"/>
          <w:szCs w:val="24"/>
          <w:highlight w:val="none"/>
        </w:rPr>
        <w:t>九、签订时间</w:t>
      </w:r>
      <w:bookmarkEnd w:id="824"/>
    </w:p>
    <w:p w14:paraId="4756DF2E">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本合同于</w:t>
      </w:r>
      <w:r>
        <w:rPr>
          <w:rFonts w:ascii="Times New Roman" w:hAnsi="Times New Roman"/>
          <w:color w:val="auto"/>
          <w:szCs w:val="24"/>
          <w:highlight w:val="none"/>
          <w:u w:val="single"/>
        </w:rPr>
        <w:t xml:space="preserve">         </w:t>
      </w:r>
      <w:r>
        <w:rPr>
          <w:rFonts w:ascii="Times New Roman" w:hAnsi="Times New Roman"/>
          <w:color w:val="auto"/>
          <w:szCs w:val="24"/>
          <w:highlight w:val="none"/>
        </w:rPr>
        <w:t>年</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月</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日签订。</w:t>
      </w:r>
    </w:p>
    <w:p w14:paraId="70B0BAC1">
      <w:pPr>
        <w:spacing w:line="480" w:lineRule="auto"/>
        <w:rPr>
          <w:rFonts w:ascii="Times New Roman" w:hAnsi="Times New Roman"/>
          <w:color w:val="auto"/>
          <w:szCs w:val="24"/>
          <w:highlight w:val="none"/>
        </w:rPr>
      </w:pPr>
      <w:bookmarkStart w:id="825" w:name="_Toc351203490"/>
      <w:r>
        <w:rPr>
          <w:rFonts w:ascii="黑体" w:hAnsi="Times New Roman" w:eastAsia="黑体"/>
          <w:b/>
          <w:color w:val="auto"/>
          <w:szCs w:val="24"/>
          <w:highlight w:val="none"/>
        </w:rPr>
        <w:t>十、签订地点</w:t>
      </w:r>
      <w:bookmarkEnd w:id="825"/>
    </w:p>
    <w:p w14:paraId="25294E23">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本合同在</w:t>
      </w:r>
      <w:r>
        <w:rPr>
          <w:rFonts w:ascii="Times New Roman" w:hAnsi="Times New Roman"/>
          <w:color w:val="auto"/>
          <w:szCs w:val="24"/>
          <w:highlight w:val="none"/>
          <w:u w:val="single"/>
        </w:rPr>
        <w:t xml:space="preserve">                                    </w:t>
      </w:r>
      <w:r>
        <w:rPr>
          <w:rFonts w:ascii="Times New Roman" w:hAnsi="Times New Roman"/>
          <w:color w:val="auto"/>
          <w:szCs w:val="24"/>
          <w:highlight w:val="none"/>
        </w:rPr>
        <w:t>签订。</w:t>
      </w:r>
    </w:p>
    <w:p w14:paraId="7A471FD0">
      <w:pPr>
        <w:spacing w:line="480" w:lineRule="auto"/>
        <w:rPr>
          <w:rFonts w:ascii="Times New Roman" w:hAnsi="Times New Roman"/>
          <w:color w:val="auto"/>
          <w:szCs w:val="24"/>
          <w:highlight w:val="none"/>
        </w:rPr>
      </w:pPr>
      <w:bookmarkStart w:id="826" w:name="_Toc351203491"/>
      <w:r>
        <w:rPr>
          <w:rFonts w:ascii="黑体" w:hAnsi="Times New Roman" w:eastAsia="黑体"/>
          <w:b/>
          <w:color w:val="auto"/>
          <w:szCs w:val="24"/>
          <w:highlight w:val="none"/>
        </w:rPr>
        <w:t>十一、补充协议</w:t>
      </w:r>
      <w:bookmarkEnd w:id="826"/>
    </w:p>
    <w:p w14:paraId="36FCF8F8">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1</w:t>
      </w:r>
      <w:r>
        <w:rPr>
          <w:rFonts w:hint="eastAsia" w:ascii="Times New Roman" w:hAnsi="Times New Roman"/>
          <w:color w:val="auto"/>
          <w:szCs w:val="24"/>
          <w:highlight w:val="none"/>
          <w:lang w:val="en-US" w:eastAsia="zh-CN"/>
        </w:rPr>
        <w:t>.</w:t>
      </w:r>
      <w:r>
        <w:rPr>
          <w:rFonts w:hint="eastAsia" w:ascii="Times New Roman" w:hAnsi="Times New Roman"/>
          <w:color w:val="auto"/>
          <w:szCs w:val="24"/>
          <w:highlight w:val="none"/>
        </w:rPr>
        <w:t>依据发包方提供的施工图纸和工程量清单施工。</w:t>
      </w:r>
    </w:p>
    <w:p w14:paraId="137F43E1">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2</w:t>
      </w:r>
      <w:r>
        <w:rPr>
          <w:rFonts w:hint="eastAsia" w:ascii="Times New Roman" w:hAnsi="Times New Roman"/>
          <w:color w:val="auto"/>
          <w:szCs w:val="24"/>
          <w:highlight w:val="none"/>
          <w:lang w:val="en-US" w:eastAsia="zh-CN"/>
        </w:rPr>
        <w:t>.</w:t>
      </w:r>
      <w:r>
        <w:rPr>
          <w:rFonts w:hint="eastAsia" w:ascii="Times New Roman" w:hAnsi="Times New Roman"/>
          <w:color w:val="auto"/>
          <w:szCs w:val="24"/>
          <w:highlight w:val="none"/>
        </w:rPr>
        <w:t>工程基础、主体及附属工程需变更的，须先经教育行政主管部门</w:t>
      </w:r>
      <w:r>
        <w:rPr>
          <w:rFonts w:hint="eastAsia" w:ascii="Times New Roman" w:hAnsi="Times New Roman"/>
          <w:color w:val="auto"/>
          <w:szCs w:val="24"/>
          <w:highlight w:val="none"/>
          <w:lang w:eastAsia="zh-CN"/>
        </w:rPr>
        <w:t>落实资金</w:t>
      </w:r>
      <w:r>
        <w:rPr>
          <w:rFonts w:hint="eastAsia" w:ascii="Times New Roman" w:hAnsi="Times New Roman"/>
          <w:color w:val="auto"/>
          <w:szCs w:val="24"/>
          <w:highlight w:val="none"/>
        </w:rPr>
        <w:t>书面同意后，并经原设计部门出具设计变更图纸由项目学校、中心学校、教育行政主管部门审核同意后施工，若未办理相关书面审批手续擅自增加工程量施工的，一切后果由承包方负责。</w:t>
      </w:r>
    </w:p>
    <w:p w14:paraId="4AB531A7">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3</w:t>
      </w:r>
      <w:r>
        <w:rPr>
          <w:rFonts w:hint="eastAsia" w:ascii="Times New Roman" w:hAnsi="Times New Roman"/>
          <w:color w:val="auto"/>
          <w:szCs w:val="24"/>
          <w:highlight w:val="none"/>
          <w:lang w:val="en-US" w:eastAsia="zh-CN"/>
        </w:rPr>
        <w:t>.</w:t>
      </w:r>
      <w:r>
        <w:rPr>
          <w:rFonts w:hint="eastAsia" w:ascii="Times New Roman" w:hAnsi="Times New Roman"/>
          <w:color w:val="auto"/>
          <w:szCs w:val="24"/>
          <w:highlight w:val="none"/>
        </w:rPr>
        <w:t>所有工程量签证必须由项目学校、工程监理单位、中心学校、教育行政主管部门四方人员同时到场与承包方签证。签证工程量计价按投标报价计算，投标报价</w:t>
      </w:r>
      <w:r>
        <w:rPr>
          <w:rFonts w:hint="eastAsia" w:ascii="Times New Roman" w:hAnsi="Times New Roman"/>
          <w:color w:val="auto"/>
          <w:szCs w:val="24"/>
          <w:highlight w:val="none"/>
          <w:lang w:eastAsia="zh-CN"/>
        </w:rPr>
        <w:t>以外</w:t>
      </w:r>
      <w:r>
        <w:rPr>
          <w:rFonts w:hint="eastAsia" w:ascii="Times New Roman" w:hAnsi="Times New Roman"/>
          <w:color w:val="auto"/>
          <w:szCs w:val="24"/>
          <w:highlight w:val="none"/>
        </w:rPr>
        <w:t>的按照施工当期黄石市造价站发布的《黄石市建设工程造价信息》信息价重新组价。结算以审计为准。</w:t>
      </w:r>
    </w:p>
    <w:p w14:paraId="3EFB2B09">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4</w:t>
      </w:r>
      <w:r>
        <w:rPr>
          <w:rFonts w:hint="eastAsia" w:ascii="Times New Roman" w:hAnsi="Times New Roman"/>
          <w:color w:val="auto"/>
          <w:szCs w:val="24"/>
          <w:highlight w:val="none"/>
          <w:lang w:val="en-US" w:eastAsia="zh-CN"/>
        </w:rPr>
        <w:t>.</w:t>
      </w:r>
      <w:r>
        <w:rPr>
          <w:rFonts w:hint="eastAsia" w:ascii="Times New Roman" w:hAnsi="Times New Roman"/>
          <w:color w:val="auto"/>
          <w:szCs w:val="24"/>
          <w:highlight w:val="none"/>
        </w:rPr>
        <w:t>隐蔽工程量必须先经项目学校、工程监理单位、中心学校、教育行政主管部门签证确认后再进行下一道工序，未经以上四单位签证的隐蔽工程量不计入工程结算。</w:t>
      </w:r>
    </w:p>
    <w:p w14:paraId="3C348E1B">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5</w:t>
      </w:r>
      <w:r>
        <w:rPr>
          <w:rFonts w:hint="eastAsia" w:ascii="Times New Roman" w:hAnsi="Times New Roman"/>
          <w:color w:val="auto"/>
          <w:szCs w:val="24"/>
          <w:highlight w:val="none"/>
          <w:lang w:val="en-US" w:eastAsia="zh-CN"/>
        </w:rPr>
        <w:t>.</w:t>
      </w:r>
      <w:r>
        <w:rPr>
          <w:rFonts w:hint="eastAsia" w:ascii="Times New Roman" w:hAnsi="Times New Roman"/>
          <w:color w:val="auto"/>
          <w:szCs w:val="24"/>
          <w:highlight w:val="none"/>
        </w:rPr>
        <w:t>工程施工放线时，建设规划部门、项目学校、设计单位、监理单位、监管单位（中心学校和教育行政主管部门）、施工单位必须同时到现场确定建筑物选址位置和正负零高程。承包方未经以上六家单位同时到场确认，擅自放线造成工程建设不符合学校发展需要和高程要求的，由承包方负责整改到位，整改费用由承包方承担。</w:t>
      </w:r>
    </w:p>
    <w:p w14:paraId="538D9EB9">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6.付款方式</w:t>
      </w:r>
    </w:p>
    <w:p w14:paraId="1B9E062D">
      <w:pPr>
        <w:shd w:val="clear"/>
        <w:spacing w:line="380" w:lineRule="exact"/>
        <w:ind w:firstLine="420" w:firstLineChars="200"/>
        <w:rPr>
          <w:rFonts w:hint="eastAsia" w:ascii="Times New Roman" w:hAnsi="Times New Roman"/>
          <w:color w:val="auto"/>
          <w:szCs w:val="24"/>
          <w:highlight w:val="none"/>
          <w:lang w:val="en-US" w:eastAsia="zh-CN"/>
        </w:rPr>
      </w:pPr>
      <w:bookmarkStart w:id="2539" w:name="_GoBack"/>
      <w:r>
        <w:rPr>
          <w:rFonts w:hint="eastAsia" w:ascii="Times New Roman" w:hAnsi="Times New Roman"/>
          <w:color w:val="auto"/>
          <w:szCs w:val="24"/>
          <w:highlight w:val="none"/>
          <w:lang w:val="en-US" w:eastAsia="zh-CN"/>
        </w:rPr>
        <w:t>6.1.工程款支付方式：工程按进度付款，工程进度款由施工单位按照季度提出申请，经监理单位、业主单位审核认可后，根据上级资金到位情况进行拨付已审核认可工程价款的85%，累计工程进度款支付不超过合同总价的85%。发包人在完成竣工结算提交审计报告并在审计机关备案后付至审定金额的98.5%，余款为结算金额的1.5%，作为本工程的质量保证金，在质保期满后无质量问题且施工方提供质量保修书（质保期满后提供）后付清。</w:t>
      </w:r>
    </w:p>
    <w:p w14:paraId="18AD7C02">
      <w:pPr>
        <w:shd w:val="clea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6.2.工程竣工验收并经审计后，按工程总造价的1.5%作为工程质量保修金，工程竣工验收合格一年后，如无质量问题且施工方提供质量保修书则付清。保修期间的质量问题应由承包方负责及时维修；若由发包方请人维修，在工程造价1.5%中扣款支付。建设工程的保修期，自竣工验收合格之日计算，建筑物屋面防水和外墙面的防渗漏保修期为5年；给排水等其它工程保修期为2年；运动场、围墙及其它附属工程保修期为5年。</w:t>
      </w:r>
    </w:p>
    <w:bookmarkEnd w:id="2539"/>
    <w:p w14:paraId="79EE4AB5">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7.材料采购--工程范围内所需的工程材料由承包方采购，但材料必须符合质量要求和设计要求，具备合格证书且经工程监理和质量监督部门检验合格，并经发包方认可后方可使用。工程因材料质量问题造成的损失和误工均由承包方承担。</w:t>
      </w:r>
    </w:p>
    <w:p w14:paraId="14A94499">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8.质量要求</w:t>
      </w:r>
    </w:p>
    <w:p w14:paraId="5AD8A872">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8.1.在工程实施过程中所有的检测费用由承包方负责。</w:t>
      </w:r>
    </w:p>
    <w:p w14:paraId="3B357812">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8.2.该项目的消防工程，承包方必须组织有消防资质的施工单位负责消防工程的施工，并确保消防部门验收合格。</w:t>
      </w:r>
    </w:p>
    <w:p w14:paraId="624CDF6B">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9.工程监理</w:t>
      </w:r>
    </w:p>
    <w:p w14:paraId="035894AD">
      <w:pPr>
        <w:spacing w:line="380" w:lineRule="exact"/>
        <w:ind w:firstLine="420" w:firstLineChars="200"/>
        <w:rPr>
          <w:rFonts w:hint="default"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9.</w:t>
      </w:r>
      <w:r>
        <w:rPr>
          <w:rFonts w:hint="default" w:ascii="Times New Roman" w:hAnsi="Times New Roman"/>
          <w:color w:val="auto"/>
          <w:szCs w:val="24"/>
          <w:highlight w:val="none"/>
          <w:lang w:val="en-US" w:eastAsia="zh-CN"/>
        </w:rPr>
        <w:t>1.工程监理由发包方聘请，对工程进行全程跟踪监督管理。</w:t>
      </w:r>
    </w:p>
    <w:p w14:paraId="25E1DA37">
      <w:pPr>
        <w:spacing w:line="380" w:lineRule="exact"/>
        <w:ind w:firstLine="420" w:firstLineChars="200"/>
        <w:rPr>
          <w:rFonts w:hint="default"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9.</w:t>
      </w:r>
      <w:r>
        <w:rPr>
          <w:rFonts w:hint="default" w:ascii="Times New Roman" w:hAnsi="Times New Roman"/>
          <w:color w:val="auto"/>
          <w:szCs w:val="24"/>
          <w:highlight w:val="none"/>
          <w:lang w:val="en-US" w:eastAsia="zh-CN"/>
        </w:rPr>
        <w:t>2.承包方必须履行监理工程师依据建设工程监理规范和相关法律法规提出的合理施工要求。</w:t>
      </w:r>
    </w:p>
    <w:p w14:paraId="7D106397">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10.转包与分包--承包方不得将本工程转包与分包，否则发包人有权终止合同，所造成的损失由承包方负责。</w:t>
      </w:r>
    </w:p>
    <w:p w14:paraId="5CA21622">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11.工程结算审计--承包方必须提供结算审计所需的完整工程资料，工程结算结果以审计部门审定的结果为准，承包方报审的结算金额超过审计部门审定的工程结算价8%以上时，超过8%以上部分的审计费用由承包方承担。</w:t>
      </w:r>
    </w:p>
    <w:p w14:paraId="1BCF2950">
      <w:pPr>
        <w:spacing w:line="380" w:lineRule="exact"/>
        <w:ind w:firstLine="420" w:firstLineChars="200"/>
        <w:rPr>
          <w:rFonts w:hint="eastAsia" w:ascii="Times New Roman" w:hAnsi="Times New Roman"/>
          <w:color w:val="auto"/>
          <w:szCs w:val="24"/>
          <w:highlight w:val="none"/>
          <w:lang w:val="en-US" w:eastAsia="zh-CN"/>
        </w:rPr>
      </w:pPr>
      <w:r>
        <w:rPr>
          <w:rFonts w:hint="eastAsia" w:ascii="Times New Roman" w:hAnsi="Times New Roman"/>
          <w:color w:val="auto"/>
          <w:szCs w:val="24"/>
          <w:highlight w:val="none"/>
          <w:lang w:val="en-US" w:eastAsia="zh-CN"/>
        </w:rPr>
        <w:t>12.安全施工与工农关系--承包方必须按照国家安全施工标准执行安全施工，施工场地要实行封闭防护，并设安全标识和安全保卫人员，确保师生及施工人员人身与财产安全，同时，全面妥善处理好周边的工农关系，并负责安全生产，否则由此造成的安全事故、误工等一切费用均由承包方负责。承包方在施工过程中发生的用水、用电等费用自行负责。</w:t>
      </w:r>
    </w:p>
    <w:p w14:paraId="5BB21AB3">
      <w:pPr>
        <w:spacing w:line="38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lang w:val="en-US" w:eastAsia="zh-CN"/>
        </w:rPr>
        <w:t>13.</w:t>
      </w:r>
      <w:r>
        <w:rPr>
          <w:rFonts w:ascii="Times New Roman" w:hAnsi="Times New Roman"/>
          <w:color w:val="auto"/>
          <w:szCs w:val="24"/>
          <w:highlight w:val="none"/>
        </w:rPr>
        <w:t>合同未尽事宜，合同当事人另行签订补充协议</w:t>
      </w:r>
      <w:r>
        <w:rPr>
          <w:rFonts w:hint="eastAsia" w:ascii="Times New Roman" w:hAnsi="Times New Roman"/>
          <w:color w:val="auto"/>
          <w:szCs w:val="24"/>
          <w:highlight w:val="none"/>
        </w:rPr>
        <w:t>，</w:t>
      </w:r>
      <w:r>
        <w:rPr>
          <w:rFonts w:ascii="Times New Roman" w:hAnsi="Times New Roman"/>
          <w:color w:val="auto"/>
          <w:szCs w:val="24"/>
          <w:highlight w:val="none"/>
        </w:rPr>
        <w:t>补充协议是合同的组成部分。</w:t>
      </w:r>
    </w:p>
    <w:p w14:paraId="53A1BC1C">
      <w:pPr>
        <w:spacing w:line="480" w:lineRule="auto"/>
        <w:rPr>
          <w:rFonts w:ascii="Times New Roman" w:hAnsi="Times New Roman"/>
          <w:color w:val="auto"/>
          <w:szCs w:val="24"/>
          <w:highlight w:val="none"/>
        </w:rPr>
      </w:pPr>
      <w:bookmarkStart w:id="827" w:name="_Toc351203492"/>
      <w:r>
        <w:rPr>
          <w:rFonts w:ascii="黑体" w:hAnsi="Times New Roman" w:eastAsia="黑体"/>
          <w:b/>
          <w:color w:val="auto"/>
          <w:szCs w:val="24"/>
          <w:highlight w:val="none"/>
        </w:rPr>
        <w:t>十二、合同生效</w:t>
      </w:r>
      <w:bookmarkEnd w:id="827"/>
    </w:p>
    <w:p w14:paraId="33E4E1CA">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本合同自</w:t>
      </w:r>
      <w:r>
        <w:rPr>
          <w:rFonts w:ascii="Times New Roman" w:hAnsi="Times New Roman"/>
          <w:color w:val="auto"/>
          <w:szCs w:val="24"/>
          <w:highlight w:val="none"/>
          <w:u w:val="single"/>
        </w:rPr>
        <w:t xml:space="preserve">      </w:t>
      </w:r>
      <w:r>
        <w:rPr>
          <w:rStyle w:val="16"/>
          <w:rFonts w:hint="eastAsia" w:ascii="Times New Roman" w:hAnsi="Times New Roman" w:eastAsia="宋体" w:cs="Times New Roman"/>
          <w:color w:val="auto"/>
          <w:kern w:val="2"/>
          <w:sz w:val="21"/>
          <w:szCs w:val="24"/>
          <w:highlight w:val="none"/>
          <w:u w:val="single"/>
          <w:lang w:val="en-US" w:eastAsia="zh-CN" w:bidi="ar"/>
        </w:rPr>
        <w:t>双方签字盖章</w:t>
      </w:r>
      <w:r>
        <w:rPr>
          <w:rStyle w:val="16"/>
          <w:rFonts w:hint="default" w:ascii="Times New Roman" w:hAnsi="Times New Roman" w:eastAsia="宋体" w:cs="Times New Roman"/>
          <w:color w:val="auto"/>
          <w:kern w:val="2"/>
          <w:sz w:val="21"/>
          <w:szCs w:val="24"/>
          <w:highlight w:val="none"/>
          <w:u w:val="single"/>
          <w:lang w:val="en-US" w:eastAsia="zh-CN" w:bidi="ar"/>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生效。</w:t>
      </w:r>
    </w:p>
    <w:p w14:paraId="3CEADF38">
      <w:pPr>
        <w:spacing w:line="480" w:lineRule="auto"/>
        <w:rPr>
          <w:rFonts w:ascii="Times New Roman" w:hAnsi="Times New Roman"/>
          <w:color w:val="auto"/>
          <w:szCs w:val="24"/>
          <w:highlight w:val="none"/>
        </w:rPr>
      </w:pPr>
      <w:bookmarkStart w:id="828" w:name="_Toc351203493"/>
      <w:r>
        <w:rPr>
          <w:rFonts w:ascii="黑体" w:hAnsi="Times New Roman" w:eastAsia="黑体"/>
          <w:b/>
          <w:color w:val="auto"/>
          <w:szCs w:val="24"/>
          <w:highlight w:val="none"/>
        </w:rPr>
        <w:t>十三、合同份数</w:t>
      </w:r>
      <w:bookmarkEnd w:id="828"/>
    </w:p>
    <w:p w14:paraId="0EA6EA16">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本合同一式</w:t>
      </w:r>
      <w:r>
        <w:rPr>
          <w:rFonts w:hint="eastAsia" w:ascii="Times New Roman" w:hAnsi="Times New Roman"/>
          <w:color w:val="auto"/>
          <w:szCs w:val="24"/>
          <w:highlight w:val="none"/>
          <w:u w:val="single"/>
          <w:lang w:val="en-US" w:eastAsia="zh-CN"/>
        </w:rPr>
        <w:t xml:space="preserve">      </w:t>
      </w:r>
      <w:r>
        <w:rPr>
          <w:rFonts w:hint="eastAsia" w:ascii="Times New Roman" w:hAnsi="Times New Roman"/>
          <w:color w:val="auto"/>
          <w:szCs w:val="24"/>
          <w:highlight w:val="none"/>
        </w:rPr>
        <w:t>份，</w:t>
      </w:r>
      <w:r>
        <w:rPr>
          <w:rFonts w:hint="eastAsia" w:ascii="Times New Roman" w:hAnsi="Times New Roman"/>
          <w:color w:val="auto"/>
          <w:szCs w:val="24"/>
          <w:highlight w:val="none"/>
          <w:lang w:val="en-US" w:eastAsia="zh-CN"/>
        </w:rPr>
        <w:t>均具有同等法律效力，发包人执</w:t>
      </w:r>
      <w:r>
        <w:rPr>
          <w:rFonts w:hint="eastAsia" w:ascii="Times New Roman" w:hAnsi="Times New Roman"/>
          <w:color w:val="auto"/>
          <w:szCs w:val="24"/>
          <w:highlight w:val="none"/>
          <w:u w:val="single"/>
          <w:lang w:val="en-US" w:eastAsia="zh-CN"/>
        </w:rPr>
        <w:t xml:space="preserve">     </w:t>
      </w:r>
      <w:r>
        <w:rPr>
          <w:rFonts w:hint="eastAsia" w:ascii="Times New Roman" w:hAnsi="Times New Roman"/>
          <w:color w:val="auto"/>
          <w:szCs w:val="24"/>
          <w:highlight w:val="none"/>
          <w:lang w:val="en-US" w:eastAsia="zh-CN"/>
        </w:rPr>
        <w:t>份，承包人</w:t>
      </w:r>
      <w:r>
        <w:rPr>
          <w:rFonts w:hint="eastAsia" w:ascii="Times New Roman" w:hAnsi="Times New Roman"/>
          <w:color w:val="auto"/>
          <w:szCs w:val="24"/>
          <w:highlight w:val="none"/>
          <w:u w:val="single"/>
          <w:lang w:val="en-US" w:eastAsia="zh-CN"/>
        </w:rPr>
        <w:t xml:space="preserve">     </w:t>
      </w:r>
      <w:r>
        <w:rPr>
          <w:rFonts w:hint="eastAsia" w:ascii="Times New Roman" w:hAnsi="Times New Roman"/>
          <w:color w:val="auto"/>
          <w:szCs w:val="24"/>
          <w:highlight w:val="none"/>
          <w:lang w:val="en-US" w:eastAsia="zh-CN"/>
        </w:rPr>
        <w:t>份</w:t>
      </w:r>
      <w:r>
        <w:rPr>
          <w:rFonts w:hint="eastAsia" w:ascii="Times New Roman" w:hAnsi="Times New Roman"/>
          <w:color w:val="auto"/>
          <w:szCs w:val="24"/>
          <w:highlight w:val="none"/>
        </w:rPr>
        <w:t>。</w:t>
      </w:r>
    </w:p>
    <w:p w14:paraId="7017AA2C">
      <w:pPr>
        <w:spacing w:line="380" w:lineRule="exact"/>
        <w:rPr>
          <w:rFonts w:hint="eastAsia" w:ascii="Times New Roman" w:hAnsi="Times New Roman"/>
          <w:color w:val="auto"/>
          <w:szCs w:val="24"/>
          <w:highlight w:val="none"/>
        </w:rPr>
      </w:pPr>
    </w:p>
    <w:p w14:paraId="4879D31D">
      <w:pPr>
        <w:spacing w:line="380" w:lineRule="exact"/>
        <w:rPr>
          <w:rFonts w:hint="eastAsia" w:ascii="Times New Roman" w:hAnsi="Times New Roman"/>
          <w:color w:val="auto"/>
          <w:szCs w:val="24"/>
          <w:highlight w:val="none"/>
        </w:rPr>
      </w:pPr>
    </w:p>
    <w:p w14:paraId="4870B98C">
      <w:pPr>
        <w:spacing w:line="380" w:lineRule="exact"/>
        <w:rPr>
          <w:rFonts w:hint="eastAsia" w:ascii="Times New Roman" w:hAnsi="Times New Roman"/>
          <w:color w:val="auto"/>
          <w:szCs w:val="24"/>
          <w:highlight w:val="none"/>
        </w:rPr>
      </w:pPr>
      <w:r>
        <w:rPr>
          <w:rFonts w:hint="eastAsia" w:ascii="Times New Roman" w:hAnsi="Times New Roman"/>
          <w:color w:val="auto"/>
          <w:szCs w:val="24"/>
          <w:highlight w:val="none"/>
        </w:rPr>
        <w:t xml:space="preserve"> </w:t>
      </w:r>
      <w:r>
        <w:rPr>
          <w:rFonts w:hint="eastAsia" w:ascii="Times New Roman" w:hAnsi="Times New Roman"/>
          <w:color w:val="auto"/>
          <w:szCs w:val="24"/>
          <w:highlight w:val="none"/>
          <w:lang w:val="en-US" w:eastAsia="zh-CN"/>
        </w:rPr>
        <w:t xml:space="preserve">   </w:t>
      </w:r>
    </w:p>
    <w:p w14:paraId="7EEC406D">
      <w:pPr>
        <w:spacing w:line="38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w:t>
      </w:r>
      <w:r>
        <w:rPr>
          <w:rFonts w:hint="eastAsia" w:ascii="Times New Roman" w:hAnsi="Times New Roman"/>
          <w:color w:val="auto"/>
          <w:szCs w:val="24"/>
          <w:highlight w:val="none"/>
        </w:rPr>
        <w:t xml:space="preserve">：  </w:t>
      </w:r>
      <w:r>
        <w:rPr>
          <w:rFonts w:ascii="Times New Roman" w:hAnsi="Times New Roman"/>
          <w:color w:val="auto"/>
          <w:szCs w:val="24"/>
          <w:highlight w:val="none"/>
        </w:rPr>
        <w:t>(公章)</w:t>
      </w:r>
      <w:r>
        <w:rPr>
          <w:rFonts w:hint="eastAsia" w:ascii="Times New Roman" w:hAnsi="Times New Roman"/>
          <w:color w:val="auto"/>
          <w:szCs w:val="24"/>
          <w:highlight w:val="none"/>
        </w:rPr>
        <w:t xml:space="preserve">                         </w:t>
      </w:r>
      <w:r>
        <w:rPr>
          <w:rFonts w:ascii="Times New Roman" w:hAnsi="Times New Roman"/>
          <w:color w:val="auto"/>
          <w:szCs w:val="24"/>
          <w:highlight w:val="none"/>
        </w:rPr>
        <w:t>承包人</w:t>
      </w:r>
      <w:r>
        <w:rPr>
          <w:rFonts w:hint="eastAsia" w:ascii="Times New Roman" w:hAnsi="Times New Roman"/>
          <w:color w:val="auto"/>
          <w:szCs w:val="24"/>
          <w:highlight w:val="none"/>
        </w:rPr>
        <w:t xml:space="preserve">：  </w:t>
      </w:r>
      <w:r>
        <w:rPr>
          <w:rFonts w:ascii="Times New Roman" w:hAnsi="Times New Roman"/>
          <w:color w:val="auto"/>
          <w:szCs w:val="24"/>
          <w:highlight w:val="none"/>
        </w:rPr>
        <w:t>(公章)</w:t>
      </w:r>
    </w:p>
    <w:p w14:paraId="5ECD5D1C">
      <w:pPr>
        <w:spacing w:line="380" w:lineRule="exact"/>
        <w:rPr>
          <w:rFonts w:hint="eastAsia" w:ascii="Times New Roman" w:hAnsi="Times New Roman"/>
          <w:color w:val="auto"/>
          <w:szCs w:val="24"/>
          <w:highlight w:val="none"/>
        </w:rPr>
      </w:pPr>
      <w:r>
        <w:rPr>
          <w:rFonts w:hint="eastAsia" w:ascii="Times New Roman" w:hAnsi="Times New Roman"/>
          <w:color w:val="auto"/>
          <w:szCs w:val="24"/>
          <w:highlight w:val="none"/>
        </w:rPr>
        <w:t xml:space="preserve">                                 </w:t>
      </w:r>
    </w:p>
    <w:p w14:paraId="41E19CAE">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法定代表人或其委托代理人：              法定代表人或其委托代理人：</w:t>
      </w:r>
    </w:p>
    <w:p w14:paraId="454D3403">
      <w:pPr>
        <w:spacing w:line="38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（签字）                                （签字）</w:t>
      </w:r>
    </w:p>
    <w:p w14:paraId="1F482776">
      <w:pPr>
        <w:spacing w:line="380" w:lineRule="exact"/>
        <w:rPr>
          <w:rFonts w:hint="eastAsia" w:ascii="Times New Roman" w:hAnsi="Times New Roman"/>
          <w:color w:val="auto"/>
          <w:szCs w:val="24"/>
          <w:highlight w:val="none"/>
        </w:rPr>
      </w:pPr>
    </w:p>
    <w:p w14:paraId="688D7F7F">
      <w:pPr>
        <w:spacing w:line="38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组织机构代码：</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sym w:font="Times New Roman" w:char="E5E5"/>
      </w:r>
      <w:r>
        <w:rPr>
          <w:rFonts w:ascii="Times New Roman" w:hAnsi="Times New Roman"/>
          <w:color w:val="auto"/>
          <w:szCs w:val="24"/>
          <w:highlight w:val="none"/>
        </w:rPr>
        <w:sym w:font="Times New Roman" w:char="0020"/>
      </w:r>
      <w:r>
        <w:rPr>
          <w:rFonts w:hint="eastAsia" w:ascii="Times New Roman" w:hAnsi="Times New Roman"/>
          <w:color w:val="auto"/>
          <w:szCs w:val="24"/>
          <w:highlight w:val="none"/>
        </w:rPr>
        <w:t xml:space="preserve"> </w:t>
      </w:r>
      <w:r>
        <w:rPr>
          <w:rFonts w:ascii="Times New Roman" w:hAnsi="Times New Roman"/>
          <w:color w:val="auto"/>
          <w:szCs w:val="24"/>
          <w:highlight w:val="none"/>
        </w:rPr>
        <w:sym w:font="Times New Roman" w:char="E5E5"/>
      </w:r>
      <w:r>
        <w:rPr>
          <w:rFonts w:ascii="Times New Roman" w:hAnsi="Times New Roman"/>
          <w:color w:val="auto"/>
          <w:szCs w:val="24"/>
          <w:highlight w:val="none"/>
        </w:rPr>
        <w:sym w:font="Times New Roman" w:char="E5E5"/>
      </w:r>
      <w:r>
        <w:rPr>
          <w:rFonts w:ascii="Times New Roman" w:hAnsi="Times New Roman"/>
          <w:color w:val="auto"/>
          <w:szCs w:val="24"/>
          <w:highlight w:val="none"/>
        </w:rPr>
        <w:sym w:font="Times New Roman" w:char="0020"/>
      </w:r>
      <w:r>
        <w:rPr>
          <w:rFonts w:ascii="Times New Roman" w:hAnsi="Times New Roman"/>
          <w:color w:val="auto"/>
          <w:szCs w:val="24"/>
          <w:highlight w:val="none"/>
        </w:rPr>
        <w:sym w:font="Times New Roman" w:char="0020"/>
      </w:r>
      <w:r>
        <w:rPr>
          <w:rFonts w:ascii="Times New Roman" w:hAnsi="Times New Roman"/>
          <w:color w:val="auto"/>
          <w:szCs w:val="24"/>
          <w:highlight w:val="none"/>
        </w:rPr>
        <w:sym w:font="Times New Roman" w:char="0020"/>
      </w:r>
      <w:r>
        <w:rPr>
          <w:rFonts w:ascii="Times New Roman" w:hAnsi="Times New Roman"/>
          <w:color w:val="auto"/>
          <w:szCs w:val="24"/>
          <w:highlight w:val="none"/>
        </w:rPr>
        <w:sym w:font="Times New Roman" w:char="0020"/>
      </w:r>
      <w:r>
        <w:rPr>
          <w:rFonts w:hint="eastAsia" w:ascii="Times New Roman" w:hAnsi="Times New Roman"/>
          <w:color w:val="auto"/>
          <w:szCs w:val="24"/>
          <w:highlight w:val="none"/>
        </w:rPr>
        <w:t>组织机构代码：</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p>
    <w:p w14:paraId="046170F2">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地  址：</w:t>
      </w:r>
      <w:r>
        <w:rPr>
          <w:rFonts w:ascii="Times New Roman" w:hAnsi="Times New Roman"/>
          <w:color w:val="auto"/>
          <w:szCs w:val="24"/>
          <w:highlight w:val="none"/>
          <w:u w:val="single"/>
        </w:rPr>
        <w:t xml:space="preserve"> 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地  址：</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p>
    <w:p w14:paraId="136B9CED">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邮政编码：</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邮政编码：</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p>
    <w:p w14:paraId="2F7105DA">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法定代表人：</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法定代表人：</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p>
    <w:p w14:paraId="023A0569">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委托代理人：</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委托代理人：</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p>
    <w:p w14:paraId="4250FA73">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电  话：</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电  话：</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p>
    <w:p w14:paraId="72E62AFB">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传  真：</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传  真：</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p>
    <w:p w14:paraId="41C30291">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电子信箱：</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电子信箱：</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p>
    <w:p w14:paraId="51253823">
      <w:pPr>
        <w:spacing w:line="38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开户银行：</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开户银行：</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p>
    <w:p w14:paraId="032A5D4C">
      <w:pPr>
        <w:spacing w:line="380" w:lineRule="exact"/>
        <w:ind w:firstLine="420" w:firstLineChars="200"/>
        <w:rPr>
          <w:rFonts w:ascii="Times New Roman" w:hAnsi="Times New Roman"/>
          <w:color w:val="auto"/>
          <w:szCs w:val="24"/>
          <w:highlight w:val="none"/>
          <w:u w:val="single"/>
        </w:rPr>
      </w:pPr>
      <w:r>
        <w:rPr>
          <w:rFonts w:ascii="Times New Roman" w:hAnsi="Times New Roman"/>
          <w:color w:val="auto"/>
          <w:szCs w:val="24"/>
          <w:highlight w:val="none"/>
        </w:rPr>
        <w:t>账  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账</w:t>
      </w:r>
      <w:r>
        <w:rPr>
          <w:rFonts w:hint="eastAsia" w:ascii="Times New Roman" w:hAnsi="Times New Roman"/>
          <w:color w:val="auto"/>
          <w:szCs w:val="24"/>
          <w:highlight w:val="none"/>
        </w:rPr>
        <w:t xml:space="preserve"> </w:t>
      </w:r>
      <w:r>
        <w:rPr>
          <w:rFonts w:ascii="Times New Roman" w:hAnsi="Times New Roman"/>
          <w:color w:val="auto"/>
          <w:szCs w:val="24"/>
          <w:highlight w:val="none"/>
        </w:rPr>
        <w:t xml:space="preserve"> 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p>
    <w:p w14:paraId="5B92233D">
      <w:pPr>
        <w:spacing w:line="380" w:lineRule="exact"/>
        <w:ind w:firstLine="420" w:firstLineChars="200"/>
        <w:rPr>
          <w:rFonts w:hint="eastAsia" w:ascii="Times New Roman" w:hAnsi="Times New Roman"/>
          <w:color w:val="auto"/>
          <w:szCs w:val="24"/>
          <w:highlight w:val="none"/>
          <w:u w:val="single"/>
        </w:rPr>
      </w:pPr>
      <w:r>
        <w:rPr>
          <w:rFonts w:ascii="Times New Roman" w:hAnsi="Times New Roman"/>
          <w:color w:val="auto"/>
          <w:szCs w:val="24"/>
          <w:highlight w:val="none"/>
          <w:u w:val="single"/>
        </w:rPr>
        <w:br w:type="page"/>
      </w:r>
    </w:p>
    <w:p w14:paraId="4DB3E791">
      <w:pPr>
        <w:keepNext/>
        <w:keepLines/>
        <w:spacing w:before="100" w:line="400" w:lineRule="exact"/>
        <w:jc w:val="center"/>
        <w:outlineLvl w:val="1"/>
        <w:rPr>
          <w:rFonts w:ascii="Times New Roman" w:hAnsi="Times New Roman" w:eastAsia="黑体" w:cs="宋体"/>
          <w:color w:val="auto"/>
          <w:sz w:val="28"/>
          <w:szCs w:val="20"/>
          <w:highlight w:val="none"/>
        </w:rPr>
      </w:pPr>
      <w:bookmarkStart w:id="829" w:name="_Toc21064"/>
      <w:bookmarkStart w:id="830" w:name="_Toc351203494"/>
      <w:bookmarkStart w:id="831" w:name="_Toc28532123"/>
      <w:r>
        <w:rPr>
          <w:rFonts w:ascii="Times New Roman" w:hAnsi="Times New Roman" w:eastAsia="黑体" w:cs="宋体"/>
          <w:color w:val="auto"/>
          <w:sz w:val="28"/>
          <w:szCs w:val="20"/>
          <w:highlight w:val="none"/>
        </w:rPr>
        <w:t>第二部分 通用合同条款</w:t>
      </w:r>
      <w:bookmarkEnd w:id="829"/>
      <w:bookmarkEnd w:id="830"/>
      <w:bookmarkEnd w:id="831"/>
      <w:bookmarkStart w:id="832" w:name="_Toc337558727"/>
    </w:p>
    <w:p w14:paraId="48AD16A3">
      <w:pPr>
        <w:keepNext/>
        <w:keepLines/>
        <w:spacing w:before="100" w:line="400" w:lineRule="exact"/>
        <w:jc w:val="center"/>
        <w:outlineLvl w:val="1"/>
        <w:rPr>
          <w:rFonts w:hint="eastAsia" w:ascii="黑体" w:hAnsi="Times New Roman" w:eastAsia="黑体"/>
          <w:color w:val="auto"/>
          <w:sz w:val="28"/>
          <w:szCs w:val="28"/>
          <w:highlight w:val="none"/>
        </w:rPr>
      </w:pPr>
      <w:r>
        <w:rPr>
          <w:rFonts w:ascii="Times New Roman" w:hAnsi="Times New Roman" w:eastAsia="黑体" w:cs="宋体"/>
          <w:color w:val="auto"/>
          <w:sz w:val="28"/>
          <w:szCs w:val="20"/>
          <w:highlight w:val="none"/>
        </w:rPr>
        <w:br w:type="page"/>
      </w:r>
      <w:bookmarkStart w:id="833" w:name="_Toc9157"/>
      <w:r>
        <w:rPr>
          <w:rFonts w:ascii="黑体" w:hAnsi="Times New Roman" w:eastAsia="黑体"/>
          <w:color w:val="auto"/>
          <w:sz w:val="28"/>
          <w:szCs w:val="28"/>
          <w:highlight w:val="none"/>
        </w:rPr>
        <w:t>通用合同条款</w:t>
      </w:r>
      <w:bookmarkEnd w:id="833"/>
    </w:p>
    <w:p w14:paraId="30620407">
      <w:pPr>
        <w:spacing w:line="380" w:lineRule="exact"/>
        <w:rPr>
          <w:rFonts w:hint="eastAsia" w:ascii="华文中宋" w:hAnsi="华文中宋" w:eastAsia="华文中宋"/>
          <w:color w:val="auto"/>
          <w:sz w:val="44"/>
          <w:szCs w:val="44"/>
          <w:highlight w:val="none"/>
        </w:rPr>
      </w:pPr>
    </w:p>
    <w:p w14:paraId="7EC0C30D">
      <w:pPr>
        <w:keepNext/>
        <w:keepLines/>
        <w:spacing w:before="100" w:line="400" w:lineRule="exact"/>
        <w:outlineLvl w:val="1"/>
        <w:rPr>
          <w:rFonts w:ascii="Times New Roman" w:hAnsi="Times New Roman" w:eastAsia="黑体" w:cs="宋体"/>
          <w:b/>
          <w:color w:val="auto"/>
          <w:sz w:val="28"/>
          <w:szCs w:val="20"/>
          <w:highlight w:val="none"/>
        </w:rPr>
      </w:pPr>
      <w:bookmarkStart w:id="834" w:name="_Toc11388"/>
      <w:bookmarkStart w:id="835" w:name="_Toc28532124"/>
      <w:bookmarkStart w:id="836" w:name="_Toc351203495"/>
      <w:r>
        <w:rPr>
          <w:rFonts w:ascii="Times New Roman" w:hAnsi="Times New Roman" w:eastAsia="黑体" w:cs="宋体"/>
          <w:b/>
          <w:color w:val="auto"/>
          <w:sz w:val="28"/>
          <w:szCs w:val="20"/>
          <w:highlight w:val="none"/>
        </w:rPr>
        <w:t>1.</w:t>
      </w:r>
      <w:bookmarkStart w:id="837" w:name="_Toc303538974"/>
      <w:bookmarkEnd w:id="837"/>
      <w:bookmarkStart w:id="838" w:name="_Toc303538972"/>
      <w:bookmarkEnd w:id="838"/>
      <w:bookmarkStart w:id="839" w:name="_Toc303538973"/>
      <w:bookmarkEnd w:id="839"/>
      <w:bookmarkStart w:id="840" w:name="_Toc303538976"/>
      <w:bookmarkEnd w:id="840"/>
      <w:bookmarkStart w:id="841" w:name="_Toc303538975"/>
      <w:bookmarkEnd w:id="841"/>
      <w:bookmarkStart w:id="842" w:name="_Toc296346528"/>
      <w:bookmarkStart w:id="843" w:name="_Toc296503027"/>
      <w:r>
        <w:rPr>
          <w:rFonts w:ascii="Times New Roman" w:hAnsi="Times New Roman" w:eastAsia="黑体" w:cs="宋体"/>
          <w:b/>
          <w:color w:val="auto"/>
          <w:sz w:val="28"/>
          <w:szCs w:val="20"/>
          <w:highlight w:val="none"/>
        </w:rPr>
        <w:t xml:space="preserve"> 一般约定</w:t>
      </w:r>
      <w:bookmarkEnd w:id="832"/>
      <w:bookmarkEnd w:id="834"/>
      <w:bookmarkEnd w:id="835"/>
      <w:bookmarkEnd w:id="836"/>
      <w:bookmarkEnd w:id="842"/>
      <w:bookmarkEnd w:id="843"/>
    </w:p>
    <w:p w14:paraId="4569E035">
      <w:pPr>
        <w:keepNext/>
        <w:keepLines/>
        <w:spacing w:line="400" w:lineRule="exact"/>
        <w:outlineLvl w:val="2"/>
        <w:rPr>
          <w:rFonts w:ascii="Times New Roman" w:hAnsi="Times New Roman" w:eastAsia="黑体" w:cs="宋体"/>
          <w:b/>
          <w:color w:val="auto"/>
          <w:sz w:val="24"/>
          <w:szCs w:val="20"/>
          <w:highlight w:val="none"/>
        </w:rPr>
      </w:pPr>
      <w:bookmarkStart w:id="844" w:name="_Toc337558728"/>
      <w:bookmarkStart w:id="845" w:name="_Toc296503028"/>
      <w:bookmarkStart w:id="846" w:name="_Toc296346529"/>
      <w:bookmarkStart w:id="847" w:name="_Toc25214"/>
      <w:bookmarkStart w:id="848" w:name="_Toc28532125"/>
      <w:bookmarkStart w:id="849" w:name="_Toc351203496"/>
      <w:r>
        <w:rPr>
          <w:rFonts w:ascii="Times New Roman" w:hAnsi="Times New Roman" w:eastAsia="黑体" w:cs="宋体"/>
          <w:b/>
          <w:color w:val="auto"/>
          <w:sz w:val="24"/>
          <w:szCs w:val="20"/>
          <w:highlight w:val="none"/>
        </w:rPr>
        <w:t>1.1词语定义</w:t>
      </w:r>
      <w:bookmarkEnd w:id="844"/>
      <w:bookmarkEnd w:id="845"/>
      <w:bookmarkEnd w:id="846"/>
      <w:r>
        <w:rPr>
          <w:rFonts w:ascii="Times New Roman" w:hAnsi="Times New Roman" w:eastAsia="黑体" w:cs="宋体"/>
          <w:b/>
          <w:color w:val="auto"/>
          <w:sz w:val="24"/>
          <w:szCs w:val="20"/>
          <w:highlight w:val="none"/>
        </w:rPr>
        <w:t>与解释</w:t>
      </w:r>
      <w:bookmarkEnd w:id="847"/>
      <w:bookmarkEnd w:id="848"/>
      <w:bookmarkEnd w:id="849"/>
    </w:p>
    <w:p w14:paraId="4BA2240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合同协议书、通用合同条款、专用合同条款中的下列词语具有本款所赋予的含义：</w:t>
      </w:r>
    </w:p>
    <w:p w14:paraId="7EB8294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 合同</w:t>
      </w:r>
    </w:p>
    <w:p w14:paraId="6291630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0E4AA18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1.1.1.2 合同协议书：是指构成合同的由发包人和承包人共同签署的称为“合同协议书”的书面文件</w:t>
      </w:r>
      <w:r>
        <w:rPr>
          <w:rFonts w:hint="eastAsia" w:ascii="Times New Roman" w:hAnsi="Times New Roman"/>
          <w:color w:val="auto"/>
          <w:szCs w:val="24"/>
          <w:highlight w:val="none"/>
        </w:rPr>
        <w:t>。</w:t>
      </w:r>
    </w:p>
    <w:p w14:paraId="0026653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1.1.1.3 中标通知书：是指构成合同的</w:t>
      </w:r>
      <w:r>
        <w:rPr>
          <w:rFonts w:hint="eastAsia" w:ascii="Times New Roman" w:hAnsi="Times New Roman"/>
          <w:color w:val="auto"/>
          <w:szCs w:val="24"/>
          <w:highlight w:val="none"/>
        </w:rPr>
        <w:t>由</w:t>
      </w:r>
      <w:r>
        <w:rPr>
          <w:rFonts w:ascii="Times New Roman" w:hAnsi="Times New Roman"/>
          <w:color w:val="auto"/>
          <w:szCs w:val="24"/>
          <w:highlight w:val="none"/>
        </w:rPr>
        <w:t>发包人通知承包人中标的书面文件。</w:t>
      </w:r>
    </w:p>
    <w:p w14:paraId="63F7B36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1.1.1.4 投标函：是指构成合同的由承包人填写并签署的用于投标的称为“投标函”的文件。</w:t>
      </w:r>
    </w:p>
    <w:p w14:paraId="6CB0D9A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1.1.1.5 投标函附录：是指构成合同的附在投标函后的称为“投标函附录”的文件。</w:t>
      </w:r>
    </w:p>
    <w:p w14:paraId="5D346B1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1.1.1.6 技术标准和要求：是指构成合同的施工应当遵守的或指导施工的国家、行业或地方的技术标准和要求，以及合同约定的技术标准和要求。</w:t>
      </w:r>
    </w:p>
    <w:p w14:paraId="5309ACF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1.1.1.7 图纸：是指构成合同的图纸，包括由发包人按照合同约定提供或经发包人批准的设计文件、</w:t>
      </w:r>
      <w:r>
        <w:rPr>
          <w:rFonts w:hint="eastAsia" w:ascii="Times New Roman" w:hAnsi="Times New Roman"/>
          <w:color w:val="auto"/>
          <w:szCs w:val="24"/>
          <w:highlight w:val="none"/>
        </w:rPr>
        <w:t>施工图、</w:t>
      </w:r>
      <w:r>
        <w:rPr>
          <w:rFonts w:ascii="Times New Roman" w:hAnsi="Times New Roman"/>
          <w:color w:val="auto"/>
          <w:szCs w:val="24"/>
          <w:highlight w:val="none"/>
        </w:rPr>
        <w:t>鸟瞰图及模型等，</w:t>
      </w:r>
      <w:r>
        <w:rPr>
          <w:rFonts w:hint="eastAsia" w:ascii="Times New Roman" w:hAnsi="Times New Roman"/>
          <w:color w:val="auto"/>
          <w:szCs w:val="24"/>
          <w:highlight w:val="none"/>
        </w:rPr>
        <w:t>以及在合同履行过程中形成的图纸文件。图纸</w:t>
      </w:r>
      <w:r>
        <w:rPr>
          <w:rFonts w:ascii="Times New Roman" w:hAnsi="Times New Roman"/>
          <w:color w:val="auto"/>
          <w:szCs w:val="24"/>
          <w:highlight w:val="none"/>
        </w:rPr>
        <w:t>应当按照法律规定审查合格。</w:t>
      </w:r>
    </w:p>
    <w:p w14:paraId="716B0BF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1.1.1.8 已标价工程量清单：是指构成合同的由承包人按照规定的格式和要求填写并标明价格的工程量清单，包括说明和表格。</w:t>
      </w:r>
    </w:p>
    <w:p w14:paraId="754998C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1.1.1.9 预算书：是指构成合同的由承包人按照发包人规定的格式和要求编制的工程预算文件。</w:t>
      </w:r>
    </w:p>
    <w:p w14:paraId="2A9B730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1.1.1.10 其他合同文件：是指经合同当事人约定的与工程施工有关的具有合同约束力的文件或书面协议。合同当事人可以在专用合同条款中进行约定。</w:t>
      </w:r>
    </w:p>
    <w:p w14:paraId="1BFF090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 合同当事人及其他相关方</w:t>
      </w:r>
    </w:p>
    <w:p w14:paraId="614D349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1.1.2.1 合同当事人：是指发包人和（或）承包人。</w:t>
      </w:r>
    </w:p>
    <w:p w14:paraId="31CE39F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1.1.2.2 发包人：是指与承包人签订合同协议书的当事人及取得该当事人资格的合法继承人。</w:t>
      </w:r>
    </w:p>
    <w:p w14:paraId="0651BBC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1.1.2.3 承包人：是指与发包人签订合同协议书的，具有相应工程施工承包资质的当事人及取得该当事人资格的合法继承人。</w:t>
      </w:r>
    </w:p>
    <w:p w14:paraId="7921914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1.1.2.4 监理人：是指在专用合同条款中指明的，受发包人委托按照法律规定进行工程监督管理的法人或其他组织。</w:t>
      </w:r>
    </w:p>
    <w:p w14:paraId="480D81D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1.1.2.5 设计人：是指在专用合同条款中指明的，受发包人委托负责工程设计并具备相应工程设计资质的法人或其他组织。</w:t>
      </w:r>
    </w:p>
    <w:p w14:paraId="2647EB6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1.1.2.6 分包人：</w:t>
      </w:r>
      <w:bookmarkStart w:id="850" w:name="#go5"/>
      <w:bookmarkEnd w:id="850"/>
      <w:r>
        <w:rPr>
          <w:rFonts w:ascii="Times New Roman" w:hAnsi="Times New Roman"/>
          <w:color w:val="auto"/>
          <w:szCs w:val="24"/>
          <w:highlight w:val="none"/>
        </w:rPr>
        <w:t>是指</w:t>
      </w:r>
      <w:r>
        <w:rPr>
          <w:rFonts w:hint="eastAsia" w:ascii="Times New Roman" w:hAnsi="Times New Roman"/>
          <w:color w:val="auto"/>
          <w:szCs w:val="24"/>
          <w:highlight w:val="none"/>
        </w:rPr>
        <w:t>按照法律规定和</w:t>
      </w:r>
      <w:r>
        <w:rPr>
          <w:rFonts w:ascii="Times New Roman" w:hAnsi="Times New Roman"/>
          <w:color w:val="auto"/>
          <w:szCs w:val="24"/>
          <w:highlight w:val="none"/>
        </w:rPr>
        <w:t>合同约定，分包</w:t>
      </w:r>
      <w:r>
        <w:rPr>
          <w:rFonts w:hint="eastAsia" w:ascii="Times New Roman" w:hAnsi="Times New Roman"/>
          <w:color w:val="auto"/>
          <w:szCs w:val="24"/>
          <w:highlight w:val="none"/>
        </w:rPr>
        <w:t>部分</w:t>
      </w:r>
      <w:r>
        <w:rPr>
          <w:rFonts w:ascii="Times New Roman" w:hAnsi="Times New Roman"/>
          <w:color w:val="auto"/>
          <w:szCs w:val="24"/>
          <w:highlight w:val="none"/>
        </w:rPr>
        <w:t>工程</w:t>
      </w:r>
      <w:r>
        <w:rPr>
          <w:rFonts w:hint="eastAsia" w:ascii="Times New Roman" w:hAnsi="Times New Roman"/>
          <w:color w:val="auto"/>
          <w:szCs w:val="24"/>
          <w:highlight w:val="none"/>
        </w:rPr>
        <w:t>或工作</w:t>
      </w:r>
      <w:r>
        <w:rPr>
          <w:rFonts w:ascii="Times New Roman" w:hAnsi="Times New Roman"/>
          <w:color w:val="auto"/>
          <w:szCs w:val="24"/>
          <w:highlight w:val="none"/>
        </w:rPr>
        <w:t>，并与</w:t>
      </w:r>
      <w:r>
        <w:rPr>
          <w:rFonts w:hint="eastAsia" w:ascii="Times New Roman" w:hAnsi="Times New Roman"/>
          <w:color w:val="auto"/>
          <w:szCs w:val="24"/>
          <w:highlight w:val="none"/>
        </w:rPr>
        <w:t>承包人</w:t>
      </w:r>
      <w:r>
        <w:rPr>
          <w:rFonts w:ascii="Times New Roman" w:hAnsi="Times New Roman"/>
          <w:color w:val="auto"/>
          <w:szCs w:val="24"/>
          <w:highlight w:val="none"/>
        </w:rPr>
        <w:t>签订分包合同的具有相应资质的法人。</w:t>
      </w:r>
    </w:p>
    <w:p w14:paraId="2047479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1.1.2.7 发包人代表：是指由发包人任命并派驻施工现场在发包人授权范围内行使发包人权利的人。</w:t>
      </w:r>
    </w:p>
    <w:p w14:paraId="21CC640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1.1.2.8 项目经理：是指由承包人任命并派驻施工现场，在承包人授权范围内负责合同履行，且按照法律规定具有相应资格的</w:t>
      </w:r>
      <w:r>
        <w:rPr>
          <w:rFonts w:hint="eastAsia" w:ascii="Times New Roman" w:hAnsi="Times New Roman"/>
          <w:color w:val="auto"/>
          <w:szCs w:val="24"/>
          <w:highlight w:val="none"/>
        </w:rPr>
        <w:t>项目负责</w:t>
      </w:r>
      <w:r>
        <w:rPr>
          <w:rFonts w:ascii="Times New Roman" w:hAnsi="Times New Roman"/>
          <w:color w:val="auto"/>
          <w:szCs w:val="24"/>
          <w:highlight w:val="none"/>
        </w:rPr>
        <w:t>人。</w:t>
      </w:r>
    </w:p>
    <w:p w14:paraId="243A491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1.1.2.9 总监理工程师：是指由监理人任命并派驻施工现场进行工程监理的总负责人。</w:t>
      </w:r>
    </w:p>
    <w:p w14:paraId="0629544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 工程和设备</w:t>
      </w:r>
    </w:p>
    <w:p w14:paraId="2F58259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1.1.3.1 工程：是指与合同协议书中工程承包范围对应的永久工程和（或）临时工程。</w:t>
      </w:r>
    </w:p>
    <w:p w14:paraId="33EB075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1.1.3.2 永久工程：是指按合同约定建造并移交给发包人的工程，包括工程设备。</w:t>
      </w:r>
    </w:p>
    <w:p w14:paraId="2AEFCF8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1.1.3.3 临时工程：是指为完成合同约定的永久工程所修建的各类临时性工程，不包括施工设备。</w:t>
      </w:r>
    </w:p>
    <w:p w14:paraId="07B52AA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1.1.3.4 单位工程：是指在</w:t>
      </w:r>
      <w:r>
        <w:rPr>
          <w:rFonts w:hint="eastAsia" w:ascii="Times New Roman" w:hAnsi="Times New Roman"/>
          <w:color w:val="auto"/>
          <w:szCs w:val="24"/>
          <w:highlight w:val="none"/>
        </w:rPr>
        <w:t>合同协议书</w:t>
      </w:r>
      <w:r>
        <w:rPr>
          <w:rFonts w:ascii="Times New Roman" w:hAnsi="Times New Roman"/>
          <w:color w:val="auto"/>
          <w:szCs w:val="24"/>
          <w:highlight w:val="none"/>
        </w:rPr>
        <w:t>中指明的，具备独立施工条件并能形成独立使用功能的永久工程。</w:t>
      </w:r>
    </w:p>
    <w:p w14:paraId="1207A53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1.1.3.5 工程设备：是指构成永久工程的机电设备、金属结构设备、仪器及其他类似的设备和装置。</w:t>
      </w:r>
    </w:p>
    <w:p w14:paraId="7EDFD24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1.1.3.6 施工设备：是指为完成合同约定的各项工作所需的设备、器具和其他物品，但不包括工程设备、临时工程和材料。</w:t>
      </w:r>
    </w:p>
    <w:p w14:paraId="42B5C0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1.1.3.7 施工现场：是指用于工程施工的场所，以及在专用合同条款中</w:t>
      </w:r>
      <w:r>
        <w:rPr>
          <w:rFonts w:hint="eastAsia" w:ascii="Times New Roman" w:hAnsi="Times New Roman"/>
          <w:color w:val="auto"/>
          <w:szCs w:val="24"/>
          <w:highlight w:val="none"/>
        </w:rPr>
        <w:t>指</w:t>
      </w:r>
      <w:r>
        <w:rPr>
          <w:rFonts w:ascii="Times New Roman" w:hAnsi="Times New Roman"/>
          <w:color w:val="auto"/>
          <w:szCs w:val="24"/>
          <w:highlight w:val="none"/>
        </w:rPr>
        <w:t>明作为施工场所组成部分的其他场所，包括永久占地和临时占地。</w:t>
      </w:r>
    </w:p>
    <w:p w14:paraId="4796B1D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1.1.3.8临时设施：是指为完成合同约定的各项工作所服务的临时性生产和生活设施。</w:t>
      </w:r>
    </w:p>
    <w:p w14:paraId="501062F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1.1.3.9 永久占地：是指专用合同条款中指明为实施工程需永久占用的土地。</w:t>
      </w:r>
    </w:p>
    <w:p w14:paraId="5C222B9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1.1.3.10 临时占地：是指专用合同条款中指明为实施工程需要临时占用的土地。</w:t>
      </w:r>
    </w:p>
    <w:p w14:paraId="32906FC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 日期和期限</w:t>
      </w:r>
    </w:p>
    <w:p w14:paraId="498BE2B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1.1.4.1 开工日期：包括计划开工日期和实际开工日期。计划开工日期是指合同协议书约定的开工日期；实际开工日期是指监理人按照第7.3.2项</w:t>
      </w:r>
      <w:r>
        <w:rPr>
          <w:rFonts w:hint="eastAsia" w:ascii="Times New Roman" w:hAnsi="Times New Roman"/>
          <w:color w:val="auto"/>
          <w:szCs w:val="24"/>
          <w:highlight w:val="none"/>
        </w:rPr>
        <w:t>〔</w:t>
      </w:r>
      <w:r>
        <w:rPr>
          <w:rFonts w:ascii="Times New Roman" w:hAnsi="Times New Roman"/>
          <w:color w:val="auto"/>
          <w:szCs w:val="24"/>
          <w:highlight w:val="none"/>
        </w:rPr>
        <w:t>开工通知</w:t>
      </w:r>
      <w:r>
        <w:rPr>
          <w:rFonts w:hint="eastAsia" w:ascii="Times New Roman" w:hAnsi="Times New Roman"/>
          <w:color w:val="auto"/>
          <w:szCs w:val="24"/>
          <w:highlight w:val="none"/>
        </w:rPr>
        <w:t>〕</w:t>
      </w:r>
      <w:r>
        <w:rPr>
          <w:rFonts w:ascii="Times New Roman" w:hAnsi="Times New Roman"/>
          <w:color w:val="auto"/>
          <w:szCs w:val="24"/>
          <w:highlight w:val="none"/>
        </w:rPr>
        <w:t>约定发出的符合法律规定的开工通知中载明的开工日期。</w:t>
      </w:r>
    </w:p>
    <w:p w14:paraId="7654C96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1.1.4.2 竣工日期：包括计划竣工日期和实际竣工日期。计划竣工日期是指合同协议书约定的竣工日期</w:t>
      </w:r>
      <w:r>
        <w:rPr>
          <w:rFonts w:hint="eastAsia" w:ascii="Times New Roman" w:hAnsi="Times New Roman"/>
          <w:color w:val="auto"/>
          <w:szCs w:val="24"/>
          <w:highlight w:val="none"/>
        </w:rPr>
        <w:t>；</w:t>
      </w:r>
      <w:r>
        <w:rPr>
          <w:rFonts w:ascii="Times New Roman" w:hAnsi="Times New Roman"/>
          <w:color w:val="auto"/>
          <w:szCs w:val="24"/>
          <w:highlight w:val="none"/>
        </w:rPr>
        <w:t>实际竣工日期按照第13.2.3项</w:t>
      </w:r>
      <w:r>
        <w:rPr>
          <w:rFonts w:hint="eastAsia" w:ascii="Times New Roman" w:hAnsi="Times New Roman"/>
          <w:color w:val="auto"/>
          <w:szCs w:val="24"/>
          <w:highlight w:val="none"/>
        </w:rPr>
        <w:t>〔</w:t>
      </w:r>
      <w:r>
        <w:rPr>
          <w:rFonts w:ascii="Times New Roman" w:hAnsi="Times New Roman"/>
          <w:color w:val="auto"/>
          <w:szCs w:val="24"/>
          <w:highlight w:val="none"/>
        </w:rPr>
        <w:t>竣工日期</w:t>
      </w:r>
      <w:r>
        <w:rPr>
          <w:rFonts w:hint="eastAsia" w:ascii="Times New Roman" w:hAnsi="Times New Roman"/>
          <w:color w:val="auto"/>
          <w:szCs w:val="24"/>
          <w:highlight w:val="none"/>
        </w:rPr>
        <w:t>〕</w:t>
      </w:r>
      <w:r>
        <w:rPr>
          <w:rFonts w:ascii="Times New Roman" w:hAnsi="Times New Roman"/>
          <w:color w:val="auto"/>
          <w:szCs w:val="24"/>
          <w:highlight w:val="none"/>
        </w:rPr>
        <w:t xml:space="preserve">的约定确定。 </w:t>
      </w:r>
    </w:p>
    <w:p w14:paraId="062E864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1.1.4.3 工期：是指在合同协议书约定的承包人完成工程所需的期限，包括按照合同约定所作的</w:t>
      </w:r>
      <w:r>
        <w:rPr>
          <w:rFonts w:hint="eastAsia" w:ascii="Times New Roman" w:hAnsi="Times New Roman"/>
          <w:color w:val="auto"/>
          <w:szCs w:val="24"/>
          <w:highlight w:val="none"/>
        </w:rPr>
        <w:t>期限</w:t>
      </w:r>
      <w:r>
        <w:rPr>
          <w:rFonts w:ascii="Times New Roman" w:hAnsi="Times New Roman"/>
          <w:color w:val="auto"/>
          <w:szCs w:val="24"/>
          <w:highlight w:val="none"/>
        </w:rPr>
        <w:t>变更。</w:t>
      </w:r>
    </w:p>
    <w:p w14:paraId="055B0B9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1.1.4.4 缺陷责任期：是指承包人按照合同约定承担缺陷修复义务，且发包人</w:t>
      </w:r>
      <w:r>
        <w:rPr>
          <w:rFonts w:hint="eastAsia" w:ascii="Times New Roman" w:hAnsi="Times New Roman"/>
          <w:color w:val="auto"/>
          <w:szCs w:val="24"/>
          <w:highlight w:val="none"/>
        </w:rPr>
        <w:t>预</w:t>
      </w:r>
      <w:r>
        <w:rPr>
          <w:rFonts w:ascii="Times New Roman" w:hAnsi="Times New Roman"/>
          <w:color w:val="auto"/>
          <w:szCs w:val="24"/>
          <w:highlight w:val="none"/>
        </w:rPr>
        <w:t>留质量保证金</w:t>
      </w:r>
      <w:r>
        <w:rPr>
          <w:rFonts w:hint="eastAsia" w:ascii="Times New Roman" w:hAnsi="Times New Roman"/>
          <w:color w:val="auto"/>
          <w:szCs w:val="24"/>
          <w:highlight w:val="none"/>
        </w:rPr>
        <w:t>（已</w:t>
      </w:r>
      <w:r>
        <w:rPr>
          <w:rFonts w:ascii="Times New Roman" w:hAnsi="Times New Roman"/>
          <w:color w:val="auto"/>
          <w:szCs w:val="24"/>
          <w:highlight w:val="none"/>
        </w:rPr>
        <w:t>缴纳履约保证金的除外</w:t>
      </w:r>
      <w:r>
        <w:rPr>
          <w:rFonts w:hint="eastAsia" w:ascii="Times New Roman" w:hAnsi="Times New Roman"/>
          <w:color w:val="auto"/>
          <w:szCs w:val="24"/>
          <w:highlight w:val="none"/>
        </w:rPr>
        <w:t>）</w:t>
      </w:r>
      <w:r>
        <w:rPr>
          <w:rFonts w:ascii="Times New Roman" w:hAnsi="Times New Roman"/>
          <w:color w:val="auto"/>
          <w:szCs w:val="24"/>
          <w:highlight w:val="none"/>
        </w:rPr>
        <w:t>的期限，</w:t>
      </w:r>
      <w:r>
        <w:rPr>
          <w:rFonts w:hint="eastAsia" w:ascii="Times New Roman" w:hAnsi="Times New Roman"/>
          <w:color w:val="auto"/>
          <w:szCs w:val="24"/>
          <w:highlight w:val="none"/>
        </w:rPr>
        <w:t>自</w:t>
      </w:r>
      <w:r>
        <w:rPr>
          <w:rFonts w:ascii="Times New Roman" w:hAnsi="Times New Roman"/>
          <w:color w:val="auto"/>
          <w:szCs w:val="24"/>
          <w:highlight w:val="none"/>
        </w:rPr>
        <w:t>工程</w:t>
      </w:r>
      <w:r>
        <w:rPr>
          <w:rFonts w:hint="eastAsia" w:ascii="Times New Roman" w:hAnsi="Times New Roman"/>
          <w:color w:val="auto"/>
          <w:szCs w:val="24"/>
          <w:highlight w:val="none"/>
        </w:rPr>
        <w:t>实际竣工日期</w:t>
      </w:r>
      <w:r>
        <w:rPr>
          <w:rFonts w:ascii="Times New Roman" w:hAnsi="Times New Roman"/>
          <w:color w:val="auto"/>
          <w:szCs w:val="24"/>
          <w:highlight w:val="none"/>
        </w:rPr>
        <w:t>起计算。</w:t>
      </w:r>
    </w:p>
    <w:p w14:paraId="176D872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1.1.4.5 保修期：是指承包人按照合同约定对工程承担保修责任的期限，从工程竣工验收合格之日起计算。</w:t>
      </w:r>
    </w:p>
    <w:p w14:paraId="3D31C69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1.1.4.6 基准日期：招标发包的工程以投标截止日前28天的日期为基准日</w:t>
      </w:r>
      <w:r>
        <w:rPr>
          <w:rFonts w:hint="eastAsia" w:ascii="Times New Roman" w:hAnsi="Times New Roman"/>
          <w:color w:val="auto"/>
          <w:szCs w:val="24"/>
          <w:highlight w:val="none"/>
        </w:rPr>
        <w:t>期</w:t>
      </w:r>
      <w:r>
        <w:rPr>
          <w:rFonts w:ascii="Times New Roman" w:hAnsi="Times New Roman"/>
          <w:color w:val="auto"/>
          <w:szCs w:val="24"/>
          <w:highlight w:val="none"/>
        </w:rPr>
        <w:t>，直接发包的工程以合同签订日前28天的日期为基准日</w:t>
      </w:r>
      <w:r>
        <w:rPr>
          <w:rFonts w:hint="eastAsia" w:ascii="Times New Roman" w:hAnsi="Times New Roman"/>
          <w:color w:val="auto"/>
          <w:szCs w:val="24"/>
          <w:highlight w:val="none"/>
        </w:rPr>
        <w:t>期</w:t>
      </w:r>
      <w:r>
        <w:rPr>
          <w:rFonts w:ascii="Times New Roman" w:hAnsi="Times New Roman"/>
          <w:color w:val="auto"/>
          <w:szCs w:val="24"/>
          <w:highlight w:val="none"/>
        </w:rPr>
        <w:t>。</w:t>
      </w:r>
    </w:p>
    <w:p w14:paraId="1519D5F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1.1.4.7 天：除特别指明外，均指日历天。合同中按天计算时间的，开始当天不计入，从次日开始计算，期限最后一天的截止时间为当天24:00时。</w:t>
      </w:r>
    </w:p>
    <w:p w14:paraId="6150A22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 合同价格和费用</w:t>
      </w:r>
    </w:p>
    <w:p w14:paraId="404CB58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1.1.5.1 签约合同价：是指发包人和承包人在合同协议书中确定的总金额，包括安全文明施工费、暂估价及暂列金额等。</w:t>
      </w:r>
    </w:p>
    <w:p w14:paraId="08B7069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1.1.5.2 合同价格：是指发包人用于支付承包人按照合同约定完成承包范围内全部工作的金额，包括合同履行过程中按合同约定</w:t>
      </w:r>
      <w:r>
        <w:rPr>
          <w:rFonts w:hint="eastAsia" w:ascii="Times New Roman" w:hAnsi="Times New Roman"/>
          <w:color w:val="auto"/>
          <w:szCs w:val="24"/>
          <w:highlight w:val="none"/>
        </w:rPr>
        <w:t>发生的价格变化。</w:t>
      </w:r>
    </w:p>
    <w:p w14:paraId="18D76AB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1.1.5.3 费用：是指为履行合同所发生的或将要发生的所有必需的开支，包括管理费和应分摊的其他费用，但不包括利润。</w:t>
      </w:r>
    </w:p>
    <w:p w14:paraId="009D4B5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1.1.5.4 暂估价：是指发包人在工程量清单或预算书中提供的用于支付必然发生但暂时不能确定价格的材料、工程设备的单价</w:t>
      </w:r>
      <w:r>
        <w:rPr>
          <w:rFonts w:hint="eastAsia" w:ascii="Times New Roman" w:hAnsi="Times New Roman"/>
          <w:color w:val="auto"/>
          <w:szCs w:val="24"/>
          <w:highlight w:val="none"/>
        </w:rPr>
        <w:t>、</w:t>
      </w:r>
      <w:r>
        <w:rPr>
          <w:rFonts w:ascii="Times New Roman" w:hAnsi="Times New Roman"/>
          <w:color w:val="auto"/>
          <w:szCs w:val="24"/>
          <w:highlight w:val="none"/>
        </w:rPr>
        <w:t>专业工程以及</w:t>
      </w:r>
      <w:r>
        <w:rPr>
          <w:rFonts w:hint="eastAsia" w:ascii="Times New Roman" w:hAnsi="Times New Roman"/>
          <w:color w:val="auto"/>
          <w:szCs w:val="24"/>
          <w:highlight w:val="none"/>
        </w:rPr>
        <w:t>服务工作</w:t>
      </w:r>
      <w:r>
        <w:rPr>
          <w:rFonts w:ascii="Times New Roman" w:hAnsi="Times New Roman"/>
          <w:color w:val="auto"/>
          <w:szCs w:val="24"/>
          <w:highlight w:val="none"/>
        </w:rPr>
        <w:t>的金额。</w:t>
      </w:r>
    </w:p>
    <w:p w14:paraId="413AF32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1.1.5.5 暂列金额：是指发包人在工程量清单或预算书中暂定并包括在合同价格中的一笔款项</w:t>
      </w:r>
      <w:r>
        <w:rPr>
          <w:rFonts w:hint="eastAsia" w:ascii="Times New Roman" w:hAnsi="Times New Roman"/>
          <w:color w:val="auto"/>
          <w:szCs w:val="24"/>
          <w:highlight w:val="none"/>
        </w:rPr>
        <w:t>，</w:t>
      </w:r>
      <w:r>
        <w:rPr>
          <w:rFonts w:ascii="Times New Roman" w:hAnsi="Times New Roman"/>
          <w:color w:val="auto"/>
          <w:szCs w:val="24"/>
          <w:highlight w:val="none"/>
        </w:rPr>
        <w:t>用于工程合同签订时尚未确定或者不可预见的所需材料、工程设备、服务的采购，施工中可能发生的工程变更、合同约定调整因素出现时的合同价格调整以及发生的索赔、现场签证确认等的费用。</w:t>
      </w:r>
    </w:p>
    <w:p w14:paraId="106EA06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1.1.5.6 计日工：是指合同履行过程中，承包人完成发包人提出的零星工作或需要采用计日工计价的变更工作时，按合同中约定的单价计价的一种方式。</w:t>
      </w:r>
    </w:p>
    <w:p w14:paraId="38E1B22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1.1.5.7 质量保证金</w:t>
      </w:r>
      <w:bookmarkStart w:id="851" w:name="#go2"/>
      <w:bookmarkEnd w:id="851"/>
      <w:r>
        <w:rPr>
          <w:rFonts w:ascii="Times New Roman" w:hAnsi="Times New Roman"/>
          <w:color w:val="auto"/>
          <w:szCs w:val="24"/>
          <w:highlight w:val="none"/>
        </w:rPr>
        <w:t>：是指按照第15.3款</w:t>
      </w:r>
      <w:r>
        <w:rPr>
          <w:rFonts w:hint="eastAsia" w:ascii="Times New Roman" w:hAnsi="Times New Roman"/>
          <w:color w:val="auto"/>
          <w:szCs w:val="24"/>
          <w:highlight w:val="none"/>
        </w:rPr>
        <w:t>〔</w:t>
      </w:r>
      <w:r>
        <w:rPr>
          <w:rFonts w:ascii="Times New Roman" w:hAnsi="Times New Roman"/>
          <w:color w:val="auto"/>
          <w:szCs w:val="24"/>
          <w:highlight w:val="none"/>
        </w:rPr>
        <w:t>质量保证金</w:t>
      </w:r>
      <w:r>
        <w:rPr>
          <w:rFonts w:hint="eastAsia" w:ascii="Times New Roman" w:hAnsi="Times New Roman"/>
          <w:color w:val="auto"/>
          <w:szCs w:val="24"/>
          <w:highlight w:val="none"/>
        </w:rPr>
        <w:t>〕</w:t>
      </w:r>
      <w:r>
        <w:rPr>
          <w:rFonts w:ascii="Times New Roman" w:hAnsi="Times New Roman"/>
          <w:color w:val="auto"/>
          <w:szCs w:val="24"/>
          <w:highlight w:val="none"/>
        </w:rPr>
        <w:t>约定承包人用于保证其在缺陷责任期内履行缺陷修补义务的担保。</w:t>
      </w:r>
    </w:p>
    <w:p w14:paraId="0E4EA77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1.1.5.8 总价项目：是指在现行国家、行业以及地方的计量规则中无工程量计算规则，在已标价工程量清单或预算书中以总价或以费率形式计算的项目。</w:t>
      </w:r>
    </w:p>
    <w:p w14:paraId="5E11153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1.1.6 其他</w:t>
      </w:r>
    </w:p>
    <w:p w14:paraId="2A18796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1.1.6.1 书面形式：是指合同文件、信函、电报、传真等可以有形地表现所载内容的形式。</w:t>
      </w:r>
    </w:p>
    <w:p w14:paraId="6CD03579">
      <w:pPr>
        <w:keepNext/>
        <w:keepLines/>
        <w:spacing w:line="400" w:lineRule="exact"/>
        <w:outlineLvl w:val="2"/>
        <w:rPr>
          <w:rFonts w:ascii="Times New Roman" w:hAnsi="Times New Roman" w:eastAsia="黑体" w:cs="宋体"/>
          <w:b/>
          <w:color w:val="auto"/>
          <w:sz w:val="24"/>
          <w:szCs w:val="20"/>
          <w:highlight w:val="none"/>
        </w:rPr>
      </w:pPr>
      <w:bookmarkStart w:id="852" w:name="_Toc14583"/>
      <w:bookmarkStart w:id="853" w:name="_Toc351203497"/>
      <w:bookmarkStart w:id="854" w:name="_Toc296346530"/>
      <w:bookmarkStart w:id="855" w:name="_Toc28532126"/>
      <w:bookmarkStart w:id="856" w:name="_Toc337558729"/>
      <w:bookmarkStart w:id="857" w:name="_Toc296503029"/>
      <w:r>
        <w:rPr>
          <w:rFonts w:ascii="Times New Roman" w:hAnsi="Times New Roman" w:eastAsia="黑体" w:cs="宋体"/>
          <w:b/>
          <w:color w:val="auto"/>
          <w:sz w:val="24"/>
          <w:szCs w:val="20"/>
          <w:highlight w:val="none"/>
        </w:rPr>
        <w:t>1.2语言文字</w:t>
      </w:r>
      <w:bookmarkEnd w:id="852"/>
      <w:bookmarkEnd w:id="853"/>
      <w:bookmarkEnd w:id="854"/>
      <w:bookmarkEnd w:id="855"/>
      <w:bookmarkEnd w:id="856"/>
      <w:bookmarkEnd w:id="857"/>
    </w:p>
    <w:p w14:paraId="244C807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合同以中国的汉语简体文字编写、解释和说明。合同当事人在专用合同条款中约定使用两种以上语言时，汉语为优先解释和说明合同的语言。</w:t>
      </w:r>
    </w:p>
    <w:p w14:paraId="030DF2F0">
      <w:pPr>
        <w:keepNext/>
        <w:keepLines/>
        <w:spacing w:line="400" w:lineRule="exact"/>
        <w:outlineLvl w:val="2"/>
        <w:rPr>
          <w:rFonts w:ascii="Times New Roman" w:hAnsi="Times New Roman" w:eastAsia="黑体" w:cs="宋体"/>
          <w:b/>
          <w:color w:val="auto"/>
          <w:sz w:val="24"/>
          <w:szCs w:val="20"/>
          <w:highlight w:val="none"/>
        </w:rPr>
      </w:pPr>
      <w:bookmarkStart w:id="858" w:name="_Toc296503030"/>
      <w:bookmarkStart w:id="859" w:name="_Toc337558730"/>
      <w:bookmarkStart w:id="860" w:name="_Toc28532127"/>
      <w:bookmarkStart w:id="861" w:name="_Toc351203498"/>
      <w:bookmarkStart w:id="862" w:name="_Toc20797"/>
      <w:bookmarkStart w:id="863" w:name="_Toc296346531"/>
      <w:r>
        <w:rPr>
          <w:rFonts w:ascii="Times New Roman" w:hAnsi="Times New Roman" w:eastAsia="黑体" w:cs="宋体"/>
          <w:b/>
          <w:color w:val="auto"/>
          <w:sz w:val="24"/>
          <w:szCs w:val="20"/>
          <w:highlight w:val="none"/>
        </w:rPr>
        <w:t>1.3法律</w:t>
      </w:r>
      <w:bookmarkEnd w:id="858"/>
      <w:bookmarkEnd w:id="859"/>
      <w:bookmarkEnd w:id="860"/>
      <w:bookmarkEnd w:id="861"/>
      <w:bookmarkEnd w:id="862"/>
      <w:bookmarkEnd w:id="863"/>
    </w:p>
    <w:p w14:paraId="5ADEED4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合同所称法律是指中华人民共和国法律、行政法规、部门规章，以及工程所在地的地方性法规、自治条例、单行条例和地方政府规章等。</w:t>
      </w:r>
    </w:p>
    <w:p w14:paraId="23400C6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合同当事人可以在专用合同条款中约定合同适用的其他规范性文件。</w:t>
      </w:r>
    </w:p>
    <w:p w14:paraId="28AD974D">
      <w:pPr>
        <w:keepNext/>
        <w:keepLines/>
        <w:spacing w:line="400" w:lineRule="exact"/>
        <w:outlineLvl w:val="2"/>
        <w:rPr>
          <w:rFonts w:ascii="Times New Roman" w:hAnsi="Times New Roman" w:eastAsia="黑体" w:cs="宋体"/>
          <w:b/>
          <w:color w:val="auto"/>
          <w:sz w:val="24"/>
          <w:szCs w:val="20"/>
          <w:highlight w:val="none"/>
        </w:rPr>
      </w:pPr>
      <w:bookmarkStart w:id="864" w:name="_Toc351203499"/>
      <w:bookmarkStart w:id="865" w:name="_Toc28532128"/>
      <w:bookmarkStart w:id="866" w:name="_Toc26055"/>
      <w:r>
        <w:rPr>
          <w:rFonts w:ascii="Times New Roman" w:hAnsi="Times New Roman" w:eastAsia="黑体" w:cs="宋体"/>
          <w:b/>
          <w:color w:val="auto"/>
          <w:sz w:val="24"/>
          <w:szCs w:val="20"/>
          <w:highlight w:val="none"/>
        </w:rPr>
        <w:t>1.4 标准和规范</w:t>
      </w:r>
      <w:bookmarkEnd w:id="864"/>
      <w:bookmarkEnd w:id="865"/>
      <w:bookmarkEnd w:id="866"/>
    </w:p>
    <w:p w14:paraId="2B44D66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1.4.1 适用于工程的国家标准、行业标准、工程所在地的地方性标准，以及相应的规范、规程等，合同当事人有特别要求的，应在专用合同条款中约定。</w:t>
      </w:r>
    </w:p>
    <w:p w14:paraId="791129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1.4.2 发包人要求使用国外标准、规范的，发包人负责提供原文版本和中文译本，并在专用合同条款中约定提供标准规范的名称、份数和时间。</w:t>
      </w:r>
    </w:p>
    <w:p w14:paraId="3F7DFFA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1.4.3 发包人对工程的技术标准、功能要求高于或严于现行国家、行业或地方标准的，应当在专用合同条款中予以明确。除专用合同条款另有约定外，应视为</w:t>
      </w:r>
      <w:r>
        <w:rPr>
          <w:rFonts w:hint="eastAsia" w:ascii="Times New Roman" w:hAnsi="Times New Roman"/>
          <w:color w:val="auto"/>
          <w:szCs w:val="24"/>
          <w:highlight w:val="none"/>
        </w:rPr>
        <w:t>承包人</w:t>
      </w:r>
      <w:r>
        <w:rPr>
          <w:rFonts w:ascii="Times New Roman" w:hAnsi="Times New Roman"/>
          <w:color w:val="auto"/>
          <w:szCs w:val="24"/>
          <w:highlight w:val="none"/>
        </w:rPr>
        <w:t>在签订合同前已充分预见前述技术标准和功能要求的复杂程度，签约合同价中已包含由此产生的费用。</w:t>
      </w:r>
    </w:p>
    <w:p w14:paraId="54B05D20">
      <w:pPr>
        <w:keepNext/>
        <w:keepLines/>
        <w:spacing w:line="400" w:lineRule="exact"/>
        <w:outlineLvl w:val="2"/>
        <w:rPr>
          <w:rFonts w:ascii="Times New Roman" w:hAnsi="Times New Roman" w:eastAsia="黑体" w:cs="宋体"/>
          <w:b/>
          <w:color w:val="auto"/>
          <w:sz w:val="24"/>
          <w:szCs w:val="20"/>
          <w:highlight w:val="none"/>
        </w:rPr>
      </w:pPr>
      <w:bookmarkStart w:id="867" w:name="_Toc351203500"/>
      <w:bookmarkStart w:id="868" w:name="_Toc28532129"/>
      <w:bookmarkStart w:id="869" w:name="_Toc16069"/>
      <w:r>
        <w:rPr>
          <w:rFonts w:ascii="Times New Roman" w:hAnsi="Times New Roman" w:eastAsia="黑体" w:cs="宋体"/>
          <w:b/>
          <w:color w:val="auto"/>
          <w:sz w:val="24"/>
          <w:szCs w:val="20"/>
          <w:highlight w:val="none"/>
        </w:rPr>
        <w:t>1</w:t>
      </w:r>
      <w:bookmarkStart w:id="870" w:name="_Toc296503031"/>
      <w:bookmarkStart w:id="871" w:name="_Toc296346532"/>
      <w:bookmarkStart w:id="872" w:name="_Toc337558731"/>
      <w:r>
        <w:rPr>
          <w:rFonts w:ascii="Times New Roman" w:hAnsi="Times New Roman" w:eastAsia="黑体" w:cs="宋体"/>
          <w:b/>
          <w:color w:val="auto"/>
          <w:sz w:val="24"/>
          <w:szCs w:val="20"/>
          <w:highlight w:val="none"/>
        </w:rPr>
        <w:t>.5 合同文件的优先顺序</w:t>
      </w:r>
      <w:bookmarkEnd w:id="867"/>
      <w:bookmarkEnd w:id="868"/>
      <w:bookmarkEnd w:id="869"/>
    </w:p>
    <w:bookmarkEnd w:id="870"/>
    <w:bookmarkEnd w:id="871"/>
    <w:bookmarkEnd w:id="872"/>
    <w:p w14:paraId="49D6C4B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组成合同的各项文件应互相解释，互为说明。除专用合同条款另有约定外，解释合同文件的优先顺序如下：</w:t>
      </w:r>
    </w:p>
    <w:p w14:paraId="1AE503C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（1）合同协议书；</w:t>
      </w:r>
    </w:p>
    <w:p w14:paraId="5F9698E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（2）中标通知书（如果有）；</w:t>
      </w:r>
    </w:p>
    <w:p w14:paraId="1C142B3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（3）投标函及其附录（如果有）；</w:t>
      </w:r>
    </w:p>
    <w:p w14:paraId="1358D2B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（4）专用合同条款及其附件；</w:t>
      </w:r>
    </w:p>
    <w:p w14:paraId="414489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（5）通用合同条款；</w:t>
      </w:r>
    </w:p>
    <w:p w14:paraId="6A1C7FE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（6）技术标准和要求；</w:t>
      </w:r>
    </w:p>
    <w:p w14:paraId="697B077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（7）图纸；</w:t>
      </w:r>
    </w:p>
    <w:p w14:paraId="726BA96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（8）已标价工程量清单或预算书；</w:t>
      </w:r>
    </w:p>
    <w:p w14:paraId="26EFE27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（9）其他合同文件。</w:t>
      </w:r>
    </w:p>
    <w:p w14:paraId="602D88F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上述各项合同文件包括合同当事人就该项合同文件所作出的补充和修改，属于同一类内容的文件，应以最新签署的为准。</w:t>
      </w:r>
    </w:p>
    <w:p w14:paraId="02BBF87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在合同订立及履行过程中形成的与合同有关的文件均构成合同文件组成部分，并根据其性质确定优先解释顺序。</w:t>
      </w:r>
    </w:p>
    <w:p w14:paraId="4D589E2E">
      <w:pPr>
        <w:keepNext/>
        <w:keepLines/>
        <w:spacing w:line="400" w:lineRule="exact"/>
        <w:outlineLvl w:val="2"/>
        <w:rPr>
          <w:rFonts w:ascii="Times New Roman" w:hAnsi="Times New Roman" w:eastAsia="黑体" w:cs="宋体"/>
          <w:b/>
          <w:color w:val="auto"/>
          <w:sz w:val="24"/>
          <w:szCs w:val="20"/>
          <w:highlight w:val="none"/>
        </w:rPr>
      </w:pPr>
      <w:bookmarkStart w:id="873" w:name="_Toc28532130"/>
      <w:bookmarkStart w:id="874" w:name="_Toc9191"/>
      <w:bookmarkStart w:id="875" w:name="_Toc351203501"/>
      <w:r>
        <w:rPr>
          <w:rFonts w:ascii="Times New Roman" w:hAnsi="Times New Roman" w:eastAsia="黑体" w:cs="宋体"/>
          <w:b/>
          <w:color w:val="auto"/>
          <w:sz w:val="24"/>
          <w:szCs w:val="20"/>
          <w:highlight w:val="none"/>
        </w:rPr>
        <w:t>1</w:t>
      </w:r>
      <w:bookmarkStart w:id="876" w:name="_Toc296503032"/>
      <w:bookmarkStart w:id="877" w:name="_Toc337558732"/>
      <w:bookmarkStart w:id="878" w:name="_Toc296346533"/>
      <w:r>
        <w:rPr>
          <w:rFonts w:ascii="Times New Roman" w:hAnsi="Times New Roman" w:eastAsia="黑体" w:cs="宋体"/>
          <w:b/>
          <w:color w:val="auto"/>
          <w:sz w:val="24"/>
          <w:szCs w:val="20"/>
          <w:highlight w:val="none"/>
        </w:rPr>
        <w:t>.6图纸和承包人文件</w:t>
      </w:r>
      <w:bookmarkEnd w:id="873"/>
      <w:bookmarkEnd w:id="874"/>
      <w:bookmarkEnd w:id="875"/>
    </w:p>
    <w:bookmarkEnd w:id="876"/>
    <w:bookmarkEnd w:id="877"/>
    <w:bookmarkEnd w:id="878"/>
    <w:p w14:paraId="7B60A61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 图纸的提供和交底</w:t>
      </w:r>
    </w:p>
    <w:p w14:paraId="0E9B69B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color w:val="auto"/>
          <w:szCs w:val="24"/>
          <w:highlight w:val="none"/>
        </w:rPr>
        <w:t>〔</w:t>
      </w:r>
      <w:r>
        <w:rPr>
          <w:rFonts w:ascii="Times New Roman" w:hAnsi="Times New Roman"/>
          <w:color w:val="auto"/>
          <w:szCs w:val="24"/>
          <w:highlight w:val="none"/>
        </w:rPr>
        <w:t>开工通知</w:t>
      </w:r>
      <w:r>
        <w:rPr>
          <w:rFonts w:hint="eastAsia" w:ascii="Times New Roman" w:hAnsi="Times New Roman"/>
          <w:color w:val="auto"/>
          <w:szCs w:val="24"/>
          <w:highlight w:val="none"/>
        </w:rPr>
        <w:t>〕</w:t>
      </w:r>
      <w:r>
        <w:rPr>
          <w:rFonts w:ascii="Times New Roman" w:hAnsi="Times New Roman"/>
          <w:color w:val="auto"/>
          <w:szCs w:val="24"/>
          <w:highlight w:val="none"/>
        </w:rPr>
        <w:t>载明的开工日期前14天向承包人提供图纸。</w:t>
      </w:r>
    </w:p>
    <w:p w14:paraId="1374059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因发包人未按合同约定提供图纸导致承包人费用增加和（或）工期延误的，按照第7.5.1项</w:t>
      </w:r>
      <w:r>
        <w:rPr>
          <w:rFonts w:hint="eastAsia" w:ascii="Times New Roman" w:hAnsi="Times New Roman"/>
          <w:color w:val="auto"/>
          <w:szCs w:val="24"/>
          <w:highlight w:val="none"/>
        </w:rPr>
        <w:t>〔</w:t>
      </w:r>
      <w:r>
        <w:rPr>
          <w:rFonts w:ascii="Times New Roman" w:hAnsi="Times New Roman"/>
          <w:color w:val="auto"/>
          <w:szCs w:val="24"/>
          <w:highlight w:val="none"/>
        </w:rPr>
        <w:t>因发包人原因导致工期延误</w:t>
      </w:r>
      <w:r>
        <w:rPr>
          <w:rFonts w:hint="eastAsia" w:ascii="Times New Roman" w:hAnsi="Times New Roman"/>
          <w:color w:val="auto"/>
          <w:szCs w:val="24"/>
          <w:highlight w:val="none"/>
        </w:rPr>
        <w:t>〕</w:t>
      </w:r>
      <w:r>
        <w:rPr>
          <w:rFonts w:ascii="Times New Roman" w:hAnsi="Times New Roman"/>
          <w:color w:val="auto"/>
          <w:szCs w:val="24"/>
          <w:highlight w:val="none"/>
        </w:rPr>
        <w:t>约定办理。</w:t>
      </w:r>
    </w:p>
    <w:p w14:paraId="03243AC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 图纸的错误</w:t>
      </w:r>
    </w:p>
    <w:p w14:paraId="2867CC9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color w:val="auto"/>
          <w:szCs w:val="24"/>
          <w:highlight w:val="none"/>
        </w:rPr>
        <w:t>合理时间是指发包人在收到监理人的报送通知后，尽其努力且不懈怠地完成图纸修改补充所需的时间。</w:t>
      </w:r>
    </w:p>
    <w:p w14:paraId="6152403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1.6.3 图纸的修改和补充</w:t>
      </w:r>
    </w:p>
    <w:p w14:paraId="4CF2A74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01EA7A2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1.6.4 承包人文件</w:t>
      </w:r>
    </w:p>
    <w:p w14:paraId="06C12AB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承包人应按照专用合同条款的约定提供应当由其编制的与工程施工有关的文件，并按照专用合同条款约定的期限、数量和形式提交监理人，并由监理人报送发包人。</w:t>
      </w:r>
    </w:p>
    <w:p w14:paraId="005D187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42E4F6C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1.6.5 图纸和承包人文件的保管</w:t>
      </w:r>
    </w:p>
    <w:p w14:paraId="3F3236A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除专用合同条款另有约定外，承包人应在施工现场另外保存一套完整的图纸和承包人文件，供发包人、监理人及有关人员进行工程检查时使用。</w:t>
      </w:r>
    </w:p>
    <w:p w14:paraId="5287F3E1">
      <w:pPr>
        <w:keepNext/>
        <w:keepLines/>
        <w:spacing w:line="400" w:lineRule="exact"/>
        <w:outlineLvl w:val="2"/>
        <w:rPr>
          <w:rFonts w:ascii="Times New Roman" w:hAnsi="Times New Roman" w:eastAsia="黑体" w:cs="宋体"/>
          <w:b/>
          <w:color w:val="auto"/>
          <w:sz w:val="24"/>
          <w:szCs w:val="20"/>
          <w:highlight w:val="none"/>
        </w:rPr>
      </w:pPr>
      <w:bookmarkStart w:id="879" w:name="_Toc351203502"/>
      <w:bookmarkStart w:id="880" w:name="_Toc18528"/>
      <w:bookmarkStart w:id="881" w:name="_Toc28532131"/>
      <w:r>
        <w:rPr>
          <w:rFonts w:ascii="Times New Roman" w:hAnsi="Times New Roman" w:eastAsia="黑体" w:cs="宋体"/>
          <w:b/>
          <w:color w:val="auto"/>
          <w:sz w:val="24"/>
          <w:szCs w:val="20"/>
          <w:highlight w:val="none"/>
        </w:rPr>
        <w:t>1</w:t>
      </w:r>
      <w:bookmarkStart w:id="882" w:name="_Toc296346534"/>
      <w:bookmarkStart w:id="883" w:name="_Toc337558733"/>
      <w:bookmarkStart w:id="884" w:name="_Toc296503033"/>
      <w:r>
        <w:rPr>
          <w:rFonts w:ascii="Times New Roman" w:hAnsi="Times New Roman" w:eastAsia="黑体" w:cs="宋体"/>
          <w:b/>
          <w:color w:val="auto"/>
          <w:sz w:val="24"/>
          <w:szCs w:val="20"/>
          <w:highlight w:val="none"/>
        </w:rPr>
        <w:t>.7联络</w:t>
      </w:r>
      <w:bookmarkEnd w:id="879"/>
      <w:bookmarkEnd w:id="880"/>
      <w:bookmarkEnd w:id="881"/>
    </w:p>
    <w:bookmarkEnd w:id="882"/>
    <w:bookmarkEnd w:id="883"/>
    <w:bookmarkEnd w:id="884"/>
    <w:p w14:paraId="20D3EC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1.7.1 与合同有关的通知、批准、证明、证书、指示、指令、要求、请求、同意、意见、确定和决定等，均应采用书面形式，并应在合同约定的期限内送达接收人和送达地点。</w:t>
      </w:r>
    </w:p>
    <w:p w14:paraId="3796611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1.7.2 发包人和承包人应在专用合同条款中约定各自的送达接收人和送达地点。任何一方合同当事人指定的接收人或送达地点发生变动的，应提前3天以书面形式通知对方。</w:t>
      </w:r>
    </w:p>
    <w:p w14:paraId="1370A4A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1.7.3 发包人和承包人应当及时签收另一方送达至送达地点和指定接收人的来往信函。拒不签收的，由此增加的费用和（或）延误的工期由拒绝接收一方承担。</w:t>
      </w:r>
    </w:p>
    <w:p w14:paraId="3D5960E8">
      <w:pPr>
        <w:keepNext/>
        <w:keepLines/>
        <w:spacing w:line="400" w:lineRule="exact"/>
        <w:outlineLvl w:val="2"/>
        <w:rPr>
          <w:rFonts w:ascii="Times New Roman" w:hAnsi="Times New Roman" w:eastAsia="黑体" w:cs="宋体"/>
          <w:color w:val="auto"/>
          <w:sz w:val="24"/>
          <w:szCs w:val="20"/>
          <w:highlight w:val="none"/>
        </w:rPr>
      </w:pPr>
      <w:bookmarkStart w:id="885" w:name="_Toc13003"/>
      <w:bookmarkStart w:id="886" w:name="_Toc351203503"/>
      <w:bookmarkStart w:id="887" w:name="_Toc28532132"/>
      <w:r>
        <w:rPr>
          <w:rFonts w:ascii="Times New Roman" w:hAnsi="Times New Roman" w:eastAsia="黑体" w:cs="宋体"/>
          <w:b/>
          <w:color w:val="auto"/>
          <w:sz w:val="24"/>
          <w:szCs w:val="20"/>
          <w:highlight w:val="none"/>
        </w:rPr>
        <w:t>1</w:t>
      </w:r>
      <w:bookmarkStart w:id="888" w:name="_Toc296346536"/>
      <w:bookmarkStart w:id="889" w:name="_Toc337558734"/>
      <w:bookmarkStart w:id="890" w:name="_Toc296503035"/>
      <w:r>
        <w:rPr>
          <w:rFonts w:ascii="Times New Roman" w:hAnsi="Times New Roman" w:eastAsia="黑体" w:cs="宋体"/>
          <w:b/>
          <w:color w:val="auto"/>
          <w:sz w:val="24"/>
          <w:szCs w:val="20"/>
          <w:highlight w:val="none"/>
        </w:rPr>
        <w:t>.8严禁贿赂</w:t>
      </w:r>
      <w:bookmarkEnd w:id="885"/>
      <w:bookmarkEnd w:id="886"/>
      <w:bookmarkEnd w:id="887"/>
    </w:p>
    <w:bookmarkEnd w:id="888"/>
    <w:bookmarkEnd w:id="889"/>
    <w:bookmarkEnd w:id="890"/>
    <w:p w14:paraId="336D62F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合同当事人不得以贿赂或变相贿赂的方式，谋取非法利益或损害对方权益。因一方合同当事人的贿赂造成对方损失的，应赔偿损失，并承担相应的法律责任。</w:t>
      </w:r>
    </w:p>
    <w:p w14:paraId="606D259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35DCD774">
      <w:pPr>
        <w:keepNext/>
        <w:keepLines/>
        <w:spacing w:line="400" w:lineRule="exact"/>
        <w:outlineLvl w:val="2"/>
        <w:rPr>
          <w:rFonts w:ascii="Times New Roman" w:hAnsi="Times New Roman" w:eastAsia="黑体" w:cs="宋体"/>
          <w:b/>
          <w:color w:val="auto"/>
          <w:sz w:val="24"/>
          <w:szCs w:val="20"/>
          <w:highlight w:val="none"/>
        </w:rPr>
      </w:pPr>
      <w:bookmarkStart w:id="891" w:name="_Toc12728"/>
      <w:bookmarkStart w:id="892" w:name="_Toc28532133"/>
      <w:bookmarkStart w:id="893" w:name="_Toc351203504"/>
      <w:r>
        <w:rPr>
          <w:rFonts w:ascii="Times New Roman" w:hAnsi="Times New Roman" w:eastAsia="黑体" w:cs="宋体"/>
          <w:b/>
          <w:color w:val="auto"/>
          <w:sz w:val="24"/>
          <w:szCs w:val="20"/>
          <w:highlight w:val="none"/>
        </w:rPr>
        <w:t>1</w:t>
      </w:r>
      <w:bookmarkStart w:id="894" w:name="_Toc296503036"/>
      <w:bookmarkStart w:id="895" w:name="_Toc296346537"/>
      <w:bookmarkStart w:id="896" w:name="_Toc337558735"/>
      <w:r>
        <w:rPr>
          <w:rFonts w:ascii="Times New Roman" w:hAnsi="Times New Roman" w:eastAsia="黑体" w:cs="宋体"/>
          <w:b/>
          <w:color w:val="auto"/>
          <w:sz w:val="24"/>
          <w:szCs w:val="20"/>
          <w:highlight w:val="none"/>
        </w:rPr>
        <w:t>.9化石、文物</w:t>
      </w:r>
      <w:bookmarkEnd w:id="891"/>
      <w:bookmarkEnd w:id="892"/>
      <w:bookmarkEnd w:id="893"/>
    </w:p>
    <w:bookmarkEnd w:id="894"/>
    <w:bookmarkEnd w:id="895"/>
    <w:bookmarkEnd w:id="896"/>
    <w:p w14:paraId="2F21ACF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A0934C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发包人、监理人和承包人应按有关政府行政管理部门要求采取妥善的保护措施，由此增加的费用和</w:t>
      </w:r>
      <w:r>
        <w:rPr>
          <w:rFonts w:hint="eastAsia" w:ascii="Times New Roman" w:hAnsi="Times New Roman"/>
          <w:color w:val="auto"/>
          <w:szCs w:val="24"/>
          <w:highlight w:val="none"/>
        </w:rPr>
        <w:t>（</w:t>
      </w:r>
      <w:r>
        <w:rPr>
          <w:rFonts w:ascii="Times New Roman" w:hAnsi="Times New Roman"/>
          <w:color w:val="auto"/>
          <w:szCs w:val="24"/>
          <w:highlight w:val="none"/>
        </w:rPr>
        <w:t>或）延误的工期由发包人承担。</w:t>
      </w:r>
    </w:p>
    <w:p w14:paraId="3F3BEBE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承包人发现文物后不及时报告或隐瞒不报，致使文物丢失或损坏的，应赔偿损失，并承担相应的法律责任。</w:t>
      </w:r>
    </w:p>
    <w:p w14:paraId="048A1EF3">
      <w:pPr>
        <w:keepNext/>
        <w:keepLines/>
        <w:spacing w:line="400" w:lineRule="exact"/>
        <w:outlineLvl w:val="2"/>
        <w:rPr>
          <w:rFonts w:ascii="Times New Roman" w:hAnsi="Times New Roman" w:eastAsia="黑体" w:cs="宋体"/>
          <w:b/>
          <w:color w:val="auto"/>
          <w:sz w:val="24"/>
          <w:szCs w:val="20"/>
          <w:highlight w:val="none"/>
        </w:rPr>
      </w:pPr>
      <w:bookmarkStart w:id="897" w:name="_Toc28532134"/>
      <w:bookmarkStart w:id="898" w:name="_Toc26965"/>
      <w:bookmarkStart w:id="899" w:name="_Toc351203505"/>
      <w:r>
        <w:rPr>
          <w:rFonts w:ascii="Times New Roman" w:hAnsi="Times New Roman" w:eastAsia="黑体" w:cs="宋体"/>
          <w:b/>
          <w:color w:val="auto"/>
          <w:sz w:val="24"/>
          <w:szCs w:val="20"/>
          <w:highlight w:val="none"/>
        </w:rPr>
        <w:t>1</w:t>
      </w:r>
      <w:bookmarkStart w:id="900" w:name="_Toc337558736"/>
      <w:r>
        <w:rPr>
          <w:rFonts w:ascii="Times New Roman" w:hAnsi="Times New Roman" w:eastAsia="黑体" w:cs="宋体"/>
          <w:b/>
          <w:color w:val="auto"/>
          <w:sz w:val="24"/>
          <w:szCs w:val="20"/>
          <w:highlight w:val="none"/>
        </w:rPr>
        <w:t>.10交通运输</w:t>
      </w:r>
      <w:bookmarkEnd w:id="897"/>
      <w:bookmarkEnd w:id="898"/>
      <w:bookmarkEnd w:id="899"/>
    </w:p>
    <w:bookmarkEnd w:id="900"/>
    <w:p w14:paraId="5E78DF7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1.10.1</w:t>
      </w:r>
      <w:r>
        <w:rPr>
          <w:rFonts w:hint="eastAsia" w:ascii="Times New Roman" w:hAnsi="Times New Roman"/>
          <w:color w:val="auto"/>
          <w:szCs w:val="24"/>
          <w:highlight w:val="none"/>
        </w:rPr>
        <w:t xml:space="preserve"> </w:t>
      </w:r>
      <w:r>
        <w:rPr>
          <w:rFonts w:ascii="Times New Roman" w:hAnsi="Times New Roman"/>
          <w:color w:val="auto"/>
          <w:szCs w:val="24"/>
          <w:highlight w:val="none"/>
        </w:rPr>
        <w:t>出入现场的权利</w:t>
      </w:r>
    </w:p>
    <w:p w14:paraId="0B92CB5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除专用合同条款另有约定外，发包人应根据施工需要，负责取得出入施工现场所需的</w:t>
      </w:r>
      <w:r>
        <w:rPr>
          <w:rFonts w:hint="eastAsia" w:ascii="Times New Roman" w:hAnsi="Times New Roman"/>
          <w:color w:val="auto"/>
          <w:szCs w:val="24"/>
          <w:highlight w:val="none"/>
        </w:rPr>
        <w:t>批准手续和</w:t>
      </w:r>
      <w:r>
        <w:rPr>
          <w:rFonts w:ascii="Times New Roman" w:hAnsi="Times New Roman"/>
          <w:color w:val="auto"/>
          <w:szCs w:val="24"/>
          <w:highlight w:val="none"/>
        </w:rPr>
        <w:t>全部权利，以及取得因施工所需修建道路、桥梁以及其他基础设施的权利，并承担相关手续费用和建设费用。承包人应协助发包人办理修建场内外道路、桥梁以及其他基础设施的手续。</w:t>
      </w:r>
    </w:p>
    <w:p w14:paraId="596CAF8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5579953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1.10.2</w:t>
      </w:r>
      <w:r>
        <w:rPr>
          <w:rFonts w:hint="eastAsia" w:ascii="Times New Roman" w:hAnsi="Times New Roman"/>
          <w:color w:val="auto"/>
          <w:szCs w:val="24"/>
          <w:highlight w:val="none"/>
        </w:rPr>
        <w:t xml:space="preserve"> </w:t>
      </w:r>
      <w:r>
        <w:rPr>
          <w:rFonts w:ascii="Times New Roman" w:hAnsi="Times New Roman"/>
          <w:color w:val="auto"/>
          <w:szCs w:val="24"/>
          <w:highlight w:val="none"/>
        </w:rPr>
        <w:t>场外交通</w:t>
      </w:r>
    </w:p>
    <w:p w14:paraId="4ACCC2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2FA52E1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1.10.3场内交通</w:t>
      </w:r>
    </w:p>
    <w:p w14:paraId="66557BC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47AFFC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7EA46D5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场外交通和场内交通的边界由合同当事人在专用合同条款中约定。</w:t>
      </w:r>
    </w:p>
    <w:p w14:paraId="73C8EE4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1.10.4</w:t>
      </w:r>
      <w:r>
        <w:rPr>
          <w:rFonts w:hint="eastAsia" w:ascii="Times New Roman" w:hAnsi="Times New Roman"/>
          <w:color w:val="auto"/>
          <w:szCs w:val="24"/>
          <w:highlight w:val="none"/>
        </w:rPr>
        <w:t xml:space="preserve"> </w:t>
      </w:r>
      <w:r>
        <w:rPr>
          <w:rFonts w:ascii="Times New Roman" w:hAnsi="Times New Roman"/>
          <w:color w:val="auto"/>
          <w:szCs w:val="24"/>
          <w:highlight w:val="none"/>
        </w:rPr>
        <w:t>超大件和超重件的运输</w:t>
      </w:r>
    </w:p>
    <w:p w14:paraId="6F46DE7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605140B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1.10.5</w:t>
      </w:r>
      <w:r>
        <w:rPr>
          <w:rFonts w:hint="eastAsia" w:ascii="Times New Roman" w:hAnsi="Times New Roman"/>
          <w:color w:val="auto"/>
          <w:szCs w:val="24"/>
          <w:highlight w:val="none"/>
        </w:rPr>
        <w:t xml:space="preserve"> </w:t>
      </w:r>
      <w:r>
        <w:rPr>
          <w:rFonts w:ascii="Times New Roman" w:hAnsi="Times New Roman"/>
          <w:color w:val="auto"/>
          <w:szCs w:val="24"/>
          <w:highlight w:val="none"/>
        </w:rPr>
        <w:t>道路和桥梁的损坏责任</w:t>
      </w:r>
    </w:p>
    <w:p w14:paraId="42C23C7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因承包人运输造成施工场地内外公共道路和桥梁损坏的，由承包人承担修复损坏的全部费用和可能引起的赔偿。</w:t>
      </w:r>
    </w:p>
    <w:p w14:paraId="7956AB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1.10.6</w:t>
      </w:r>
      <w:r>
        <w:rPr>
          <w:rFonts w:hint="eastAsia" w:ascii="Times New Roman" w:hAnsi="Times New Roman"/>
          <w:color w:val="auto"/>
          <w:szCs w:val="24"/>
          <w:highlight w:val="none"/>
        </w:rPr>
        <w:t xml:space="preserve"> </w:t>
      </w:r>
      <w:r>
        <w:rPr>
          <w:rFonts w:ascii="Times New Roman" w:hAnsi="Times New Roman"/>
          <w:color w:val="auto"/>
          <w:szCs w:val="24"/>
          <w:highlight w:val="none"/>
        </w:rPr>
        <w:t>水路和航空运输</w:t>
      </w:r>
    </w:p>
    <w:p w14:paraId="07E7ED3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本</w:t>
      </w:r>
      <w:r>
        <w:rPr>
          <w:rFonts w:hint="eastAsia" w:ascii="Times New Roman" w:hAnsi="Times New Roman"/>
          <w:color w:val="auto"/>
          <w:szCs w:val="24"/>
          <w:highlight w:val="none"/>
        </w:rPr>
        <w:t>款</w:t>
      </w:r>
      <w:r>
        <w:rPr>
          <w:rFonts w:ascii="Times New Roman" w:hAnsi="Times New Roman"/>
          <w:color w:val="auto"/>
          <w:szCs w:val="24"/>
          <w:highlight w:val="none"/>
        </w:rPr>
        <w:t>前述各</w:t>
      </w:r>
      <w:r>
        <w:rPr>
          <w:rFonts w:hint="eastAsia" w:ascii="Times New Roman" w:hAnsi="Times New Roman"/>
          <w:color w:val="auto"/>
          <w:szCs w:val="24"/>
          <w:highlight w:val="none"/>
        </w:rPr>
        <w:t>项</w:t>
      </w:r>
      <w:r>
        <w:rPr>
          <w:rFonts w:ascii="Times New Roman" w:hAnsi="Times New Roman"/>
          <w:color w:val="auto"/>
          <w:szCs w:val="24"/>
          <w:highlight w:val="none"/>
        </w:rPr>
        <w:t>的内容适用于水路运输和航空运输，其中“道路”一词的涵义包括河道、航线、船闸、机场、码头、堤防以及水路或航空运输中其他相似结构物；“车辆”一词的涵义包括船舶和飞机等。</w:t>
      </w:r>
    </w:p>
    <w:p w14:paraId="3B6544D5">
      <w:pPr>
        <w:keepNext/>
        <w:keepLines/>
        <w:spacing w:line="400" w:lineRule="exact"/>
        <w:outlineLvl w:val="2"/>
        <w:rPr>
          <w:rFonts w:ascii="Times New Roman" w:hAnsi="Times New Roman" w:eastAsia="黑体" w:cs="宋体"/>
          <w:b/>
          <w:color w:val="auto"/>
          <w:sz w:val="24"/>
          <w:szCs w:val="20"/>
          <w:highlight w:val="none"/>
        </w:rPr>
      </w:pPr>
      <w:bookmarkStart w:id="901" w:name="_Toc28532135"/>
      <w:bookmarkStart w:id="902" w:name="_Toc6277"/>
      <w:bookmarkStart w:id="903" w:name="_Toc351203506"/>
      <w:r>
        <w:rPr>
          <w:rFonts w:ascii="Times New Roman" w:hAnsi="Times New Roman" w:eastAsia="黑体" w:cs="宋体"/>
          <w:b/>
          <w:color w:val="auto"/>
          <w:sz w:val="24"/>
          <w:szCs w:val="20"/>
          <w:highlight w:val="none"/>
        </w:rPr>
        <w:t>1</w:t>
      </w:r>
      <w:bookmarkStart w:id="904" w:name="_Toc337558737"/>
      <w:bookmarkStart w:id="905" w:name="_Toc296503037"/>
      <w:bookmarkStart w:id="906" w:name="_Toc296346538"/>
      <w:r>
        <w:rPr>
          <w:rFonts w:ascii="Times New Roman" w:hAnsi="Times New Roman" w:eastAsia="黑体" w:cs="宋体"/>
          <w:b/>
          <w:color w:val="auto"/>
          <w:sz w:val="24"/>
          <w:szCs w:val="20"/>
          <w:highlight w:val="none"/>
        </w:rPr>
        <w:t>.11知识产权</w:t>
      </w:r>
      <w:bookmarkEnd w:id="901"/>
      <w:bookmarkEnd w:id="902"/>
      <w:bookmarkEnd w:id="903"/>
      <w:r>
        <w:rPr>
          <w:rFonts w:ascii="Times New Roman" w:hAnsi="Times New Roman" w:eastAsia="黑体" w:cs="宋体"/>
          <w:b/>
          <w:color w:val="auto"/>
          <w:sz w:val="24"/>
          <w:szCs w:val="20"/>
          <w:highlight w:val="none"/>
        </w:rPr>
        <w:t xml:space="preserve"> </w:t>
      </w:r>
      <w:bookmarkEnd w:id="904"/>
    </w:p>
    <w:bookmarkEnd w:id="905"/>
    <w:bookmarkEnd w:id="906"/>
    <w:p w14:paraId="121446D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9D5F08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7E19449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2E697D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1.11.4 除专用合同条款另有约定外，承包人在合同签订前和签订时已确定采用的专利、专有技术、技术秘密的使用费已包含在签约合同价中。</w:t>
      </w:r>
    </w:p>
    <w:p w14:paraId="19A6B13B">
      <w:pPr>
        <w:keepNext/>
        <w:keepLines/>
        <w:spacing w:line="400" w:lineRule="exact"/>
        <w:outlineLvl w:val="2"/>
        <w:rPr>
          <w:rFonts w:ascii="Times New Roman" w:hAnsi="Times New Roman" w:eastAsia="黑体" w:cs="宋体"/>
          <w:b/>
          <w:color w:val="auto"/>
          <w:sz w:val="24"/>
          <w:szCs w:val="20"/>
          <w:highlight w:val="none"/>
        </w:rPr>
      </w:pPr>
      <w:bookmarkStart w:id="907" w:name="_Toc351203507"/>
      <w:bookmarkStart w:id="908" w:name="_Toc19088"/>
      <w:bookmarkStart w:id="909" w:name="_Toc28532136"/>
      <w:r>
        <w:rPr>
          <w:rFonts w:ascii="Times New Roman" w:hAnsi="Times New Roman" w:eastAsia="黑体" w:cs="宋体"/>
          <w:b/>
          <w:color w:val="auto"/>
          <w:sz w:val="24"/>
          <w:szCs w:val="20"/>
          <w:highlight w:val="none"/>
        </w:rPr>
        <w:t>1</w:t>
      </w:r>
      <w:bookmarkStart w:id="910" w:name="_Toc337558738"/>
      <w:r>
        <w:rPr>
          <w:rFonts w:ascii="Times New Roman" w:hAnsi="Times New Roman" w:eastAsia="黑体" w:cs="宋体"/>
          <w:b/>
          <w:color w:val="auto"/>
          <w:sz w:val="24"/>
          <w:szCs w:val="20"/>
          <w:highlight w:val="none"/>
        </w:rPr>
        <w:t>.12保密</w:t>
      </w:r>
      <w:bookmarkEnd w:id="907"/>
      <w:bookmarkEnd w:id="908"/>
      <w:bookmarkEnd w:id="909"/>
    </w:p>
    <w:bookmarkEnd w:id="910"/>
    <w:p w14:paraId="5D3944F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除法律规定或合同另有约定外，未经发包人同意，承包人不得将发包人提供的图纸、文件以及声明需要保密的资料信息等商业秘密泄露给第三方。</w:t>
      </w:r>
    </w:p>
    <w:p w14:paraId="2B037CC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除法律规定或合同另有约定外，未经承包人同意，发包人不得将承包人提供的技术秘密及声明需要保密的资料信息等商业秘密泄露给第三方。</w:t>
      </w:r>
    </w:p>
    <w:p w14:paraId="759E194E">
      <w:pPr>
        <w:keepNext/>
        <w:keepLines/>
        <w:spacing w:line="400" w:lineRule="exact"/>
        <w:outlineLvl w:val="2"/>
        <w:rPr>
          <w:rFonts w:ascii="Times New Roman" w:hAnsi="Times New Roman" w:eastAsia="黑体" w:cs="宋体"/>
          <w:b/>
          <w:color w:val="auto"/>
          <w:sz w:val="24"/>
          <w:szCs w:val="20"/>
          <w:highlight w:val="none"/>
        </w:rPr>
      </w:pPr>
      <w:bookmarkStart w:id="911" w:name="_Toc351203508"/>
      <w:bookmarkStart w:id="912" w:name="_Toc28532137"/>
      <w:bookmarkStart w:id="913" w:name="_Toc13283"/>
      <w:r>
        <w:rPr>
          <w:rFonts w:ascii="Times New Roman" w:hAnsi="Times New Roman" w:eastAsia="黑体" w:cs="宋体"/>
          <w:b/>
          <w:color w:val="auto"/>
          <w:sz w:val="24"/>
          <w:szCs w:val="20"/>
          <w:highlight w:val="none"/>
        </w:rPr>
        <w:t>1.13工程量清单错误的修正</w:t>
      </w:r>
      <w:bookmarkEnd w:id="911"/>
      <w:bookmarkEnd w:id="912"/>
      <w:bookmarkEnd w:id="913"/>
    </w:p>
    <w:p w14:paraId="4AB4F5B3">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除专用合同条款另有约定外，</w:t>
      </w:r>
      <w:r>
        <w:rPr>
          <w:rFonts w:ascii="Times New Roman" w:hAnsi="Times New Roman"/>
          <w:color w:val="auto"/>
          <w:szCs w:val="24"/>
          <w:highlight w:val="none"/>
        </w:rPr>
        <w:t>发包人提供的工程量清单，应被认为是准确的和完整的。出现下列情形之一时，发包人应予以修正，并相应调整合同价格：</w:t>
      </w:r>
    </w:p>
    <w:p w14:paraId="61B4AB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（1）工程量清单存在缺项、漏项的；</w:t>
      </w:r>
    </w:p>
    <w:p w14:paraId="7546F66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（2）工程量清单偏差超出专用合同条款约定的工程量偏差范围的；</w:t>
      </w:r>
    </w:p>
    <w:p w14:paraId="59A570C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（3）未按照国家现行计量规范强制性规定计量的。</w:t>
      </w:r>
    </w:p>
    <w:p w14:paraId="6D2D4A75">
      <w:pPr>
        <w:keepNext/>
        <w:keepLines/>
        <w:spacing w:before="100" w:line="400" w:lineRule="exact"/>
        <w:outlineLvl w:val="1"/>
        <w:rPr>
          <w:rFonts w:ascii="Times New Roman" w:hAnsi="Times New Roman" w:eastAsia="黑体" w:cs="宋体"/>
          <w:b/>
          <w:color w:val="auto"/>
          <w:sz w:val="28"/>
          <w:szCs w:val="20"/>
          <w:highlight w:val="none"/>
        </w:rPr>
      </w:pPr>
      <w:bookmarkStart w:id="914" w:name="_Toc28532138"/>
      <w:bookmarkStart w:id="915" w:name="_Toc30934"/>
      <w:bookmarkStart w:id="916" w:name="_Toc351203509"/>
      <w:r>
        <w:rPr>
          <w:rFonts w:ascii="Times New Roman" w:hAnsi="Times New Roman" w:eastAsia="黑体" w:cs="宋体"/>
          <w:b/>
          <w:color w:val="auto"/>
          <w:sz w:val="28"/>
          <w:szCs w:val="20"/>
          <w:highlight w:val="none"/>
        </w:rPr>
        <w:t>2</w:t>
      </w:r>
      <w:bookmarkStart w:id="917" w:name="_Toc296503038"/>
      <w:bookmarkStart w:id="918" w:name="_Toc337558739"/>
      <w:bookmarkStart w:id="919" w:name="_Toc296346539"/>
      <w:bookmarkStart w:id="920" w:name="OLE_LINK2"/>
      <w:bookmarkStart w:id="921" w:name="OLE_LINK1"/>
      <w:r>
        <w:rPr>
          <w:rFonts w:ascii="Times New Roman" w:hAnsi="Times New Roman" w:eastAsia="黑体" w:cs="宋体"/>
          <w:b/>
          <w:color w:val="auto"/>
          <w:sz w:val="28"/>
          <w:szCs w:val="20"/>
          <w:highlight w:val="none"/>
        </w:rPr>
        <w:t>. 发包人</w:t>
      </w:r>
      <w:bookmarkEnd w:id="914"/>
      <w:bookmarkEnd w:id="915"/>
      <w:bookmarkEnd w:id="916"/>
    </w:p>
    <w:bookmarkEnd w:id="917"/>
    <w:bookmarkEnd w:id="918"/>
    <w:bookmarkEnd w:id="919"/>
    <w:p w14:paraId="2EACA7DE">
      <w:pPr>
        <w:keepNext/>
        <w:keepLines/>
        <w:spacing w:line="400" w:lineRule="exact"/>
        <w:outlineLvl w:val="2"/>
        <w:rPr>
          <w:rFonts w:ascii="Times New Roman" w:hAnsi="Times New Roman" w:eastAsia="黑体" w:cs="宋体"/>
          <w:b/>
          <w:color w:val="auto"/>
          <w:sz w:val="24"/>
          <w:szCs w:val="20"/>
          <w:highlight w:val="none"/>
        </w:rPr>
      </w:pPr>
      <w:bookmarkStart w:id="922" w:name="_Toc4265"/>
      <w:bookmarkStart w:id="923" w:name="_Toc28532139"/>
      <w:bookmarkStart w:id="924" w:name="_Toc351203510"/>
      <w:r>
        <w:rPr>
          <w:rFonts w:ascii="Times New Roman" w:hAnsi="Times New Roman" w:eastAsia="黑体" w:cs="宋体"/>
          <w:b/>
          <w:color w:val="auto"/>
          <w:sz w:val="24"/>
          <w:szCs w:val="20"/>
          <w:highlight w:val="none"/>
        </w:rPr>
        <w:t>2</w:t>
      </w:r>
      <w:bookmarkStart w:id="925" w:name="_Toc296503039"/>
      <w:bookmarkStart w:id="926" w:name="_Toc337558740"/>
      <w:bookmarkStart w:id="927" w:name="_Toc296346540"/>
      <w:r>
        <w:rPr>
          <w:rFonts w:ascii="Times New Roman" w:hAnsi="Times New Roman" w:eastAsia="黑体" w:cs="宋体"/>
          <w:b/>
          <w:color w:val="auto"/>
          <w:sz w:val="24"/>
          <w:szCs w:val="20"/>
          <w:highlight w:val="none"/>
        </w:rPr>
        <w:t>.1 许可或批准</w:t>
      </w:r>
      <w:bookmarkEnd w:id="922"/>
      <w:bookmarkEnd w:id="923"/>
      <w:bookmarkEnd w:id="924"/>
    </w:p>
    <w:p w14:paraId="732465E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16602B5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因发包人原因未能及时办理完毕前述许可、批准或备案，由发包人承担由此增加的费用和（或）延误的工期，并支付承包人合理的利润。</w:t>
      </w:r>
    </w:p>
    <w:p w14:paraId="287D0FB4">
      <w:pPr>
        <w:keepNext/>
        <w:keepLines/>
        <w:spacing w:line="400" w:lineRule="exact"/>
        <w:outlineLvl w:val="2"/>
        <w:rPr>
          <w:rFonts w:ascii="Times New Roman" w:hAnsi="Times New Roman" w:eastAsia="黑体" w:cs="宋体"/>
          <w:b/>
          <w:color w:val="auto"/>
          <w:sz w:val="24"/>
          <w:szCs w:val="20"/>
          <w:highlight w:val="none"/>
        </w:rPr>
      </w:pPr>
      <w:bookmarkStart w:id="928" w:name="_Toc28532140"/>
      <w:bookmarkStart w:id="929" w:name="_Toc351203511"/>
      <w:bookmarkStart w:id="930" w:name="_Toc6362"/>
      <w:r>
        <w:rPr>
          <w:rFonts w:ascii="Times New Roman" w:hAnsi="Times New Roman" w:eastAsia="黑体" w:cs="宋体"/>
          <w:b/>
          <w:color w:val="auto"/>
          <w:sz w:val="24"/>
          <w:szCs w:val="20"/>
          <w:highlight w:val="none"/>
        </w:rPr>
        <w:t>2.2 发包人代表</w:t>
      </w:r>
      <w:bookmarkEnd w:id="928"/>
      <w:bookmarkEnd w:id="929"/>
      <w:bookmarkEnd w:id="930"/>
    </w:p>
    <w:p w14:paraId="1489FF0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4FE8DB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发包人代表不能按照合同约定履行其职责及义务，并导致合同无法继续正常履行的，承包人可以要求发包人撤换发包人代表。</w:t>
      </w:r>
    </w:p>
    <w:p w14:paraId="5150E25F">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不属于法定必须监理的工程，监理人的职权可以由发包人代表或发包人指定的其他人员行使。</w:t>
      </w:r>
    </w:p>
    <w:p w14:paraId="09AB1642">
      <w:pPr>
        <w:keepNext/>
        <w:keepLines/>
        <w:spacing w:line="400" w:lineRule="exact"/>
        <w:outlineLvl w:val="2"/>
        <w:rPr>
          <w:rFonts w:ascii="Times New Roman" w:hAnsi="Times New Roman" w:eastAsia="黑体" w:cs="宋体"/>
          <w:b/>
          <w:color w:val="auto"/>
          <w:sz w:val="24"/>
          <w:szCs w:val="20"/>
          <w:highlight w:val="none"/>
        </w:rPr>
      </w:pPr>
      <w:bookmarkStart w:id="931" w:name="_Toc351203512"/>
      <w:bookmarkStart w:id="932" w:name="_Toc17981"/>
      <w:bookmarkStart w:id="933" w:name="_Toc28532141"/>
      <w:r>
        <w:rPr>
          <w:rFonts w:ascii="Times New Roman" w:hAnsi="Times New Roman" w:eastAsia="黑体" w:cs="宋体"/>
          <w:b/>
          <w:color w:val="auto"/>
          <w:sz w:val="24"/>
          <w:szCs w:val="20"/>
          <w:highlight w:val="none"/>
        </w:rPr>
        <w:t>2.3 发包人人员</w:t>
      </w:r>
      <w:bookmarkEnd w:id="931"/>
      <w:bookmarkEnd w:id="932"/>
      <w:bookmarkEnd w:id="933"/>
    </w:p>
    <w:p w14:paraId="4005AA6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发包人应要求在施工现场的发包人人员遵守法律及有关安全、质量、环境保护、文明施工等规定，并保障承包人免于承受因发包人人员未遵守上述要求给承包人造成的损失和责任。</w:t>
      </w:r>
    </w:p>
    <w:p w14:paraId="6FD7734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发包人人员包括发包人代表及其他由发包人派驻施工现场的人员。</w:t>
      </w:r>
      <w:bookmarkEnd w:id="925"/>
      <w:bookmarkEnd w:id="926"/>
      <w:bookmarkEnd w:id="927"/>
    </w:p>
    <w:p w14:paraId="462136F6">
      <w:pPr>
        <w:keepNext/>
        <w:keepLines/>
        <w:spacing w:line="400" w:lineRule="exact"/>
        <w:outlineLvl w:val="2"/>
        <w:rPr>
          <w:rFonts w:ascii="Times New Roman" w:hAnsi="Times New Roman" w:eastAsia="黑体" w:cs="宋体"/>
          <w:b/>
          <w:color w:val="auto"/>
          <w:sz w:val="24"/>
          <w:szCs w:val="20"/>
          <w:highlight w:val="none"/>
        </w:rPr>
      </w:pPr>
      <w:bookmarkStart w:id="934" w:name="_Toc351203513"/>
      <w:bookmarkStart w:id="935" w:name="_Toc3424"/>
      <w:bookmarkStart w:id="936" w:name="_Toc28532142"/>
      <w:r>
        <w:rPr>
          <w:rFonts w:ascii="Times New Roman" w:hAnsi="Times New Roman" w:eastAsia="黑体" w:cs="宋体"/>
          <w:b/>
          <w:color w:val="auto"/>
          <w:sz w:val="24"/>
          <w:szCs w:val="20"/>
          <w:highlight w:val="none"/>
        </w:rPr>
        <w:t>2</w:t>
      </w:r>
      <w:bookmarkStart w:id="937" w:name="_Toc296503040"/>
      <w:bookmarkStart w:id="938" w:name="_Toc337558741"/>
      <w:bookmarkStart w:id="939" w:name="_Toc296346541"/>
      <w:r>
        <w:rPr>
          <w:rFonts w:ascii="Times New Roman" w:hAnsi="Times New Roman" w:eastAsia="黑体" w:cs="宋体"/>
          <w:b/>
          <w:color w:val="auto"/>
          <w:sz w:val="24"/>
          <w:szCs w:val="20"/>
          <w:highlight w:val="none"/>
        </w:rPr>
        <w:t>.4 施工现场、施工条件和基础资料的提供</w:t>
      </w:r>
      <w:bookmarkEnd w:id="934"/>
      <w:bookmarkEnd w:id="935"/>
      <w:bookmarkEnd w:id="936"/>
      <w:r>
        <w:rPr>
          <w:rFonts w:ascii="Times New Roman" w:hAnsi="Times New Roman" w:eastAsia="黑体" w:cs="宋体"/>
          <w:b/>
          <w:color w:val="auto"/>
          <w:sz w:val="24"/>
          <w:szCs w:val="20"/>
          <w:highlight w:val="none"/>
        </w:rPr>
        <w:t xml:space="preserve"> </w:t>
      </w:r>
      <w:bookmarkEnd w:id="937"/>
      <w:bookmarkEnd w:id="938"/>
      <w:bookmarkEnd w:id="939"/>
      <w:r>
        <w:rPr>
          <w:rFonts w:ascii="Times New Roman" w:hAnsi="Times New Roman" w:eastAsia="黑体" w:cs="宋体"/>
          <w:b/>
          <w:color w:val="auto"/>
          <w:sz w:val="24"/>
          <w:szCs w:val="20"/>
          <w:highlight w:val="none"/>
        </w:rPr>
        <w:t xml:space="preserve"> </w:t>
      </w:r>
    </w:p>
    <w:p w14:paraId="67B436B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2.4.1 提供施工现场</w:t>
      </w:r>
    </w:p>
    <w:p w14:paraId="4FC0B89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w:t>
      </w:r>
      <w:bookmarkEnd w:id="920"/>
      <w:bookmarkEnd w:id="921"/>
      <w:r>
        <w:rPr>
          <w:rFonts w:ascii="Times New Roman" w:hAnsi="Times New Roman"/>
          <w:color w:val="auto"/>
          <w:szCs w:val="24"/>
          <w:highlight w:val="none"/>
        </w:rPr>
        <w:t>专用合同条款另有约定外，发包人应</w:t>
      </w:r>
      <w:r>
        <w:rPr>
          <w:rFonts w:hint="eastAsia" w:ascii="Times New Roman" w:hAnsi="Times New Roman"/>
          <w:color w:val="auto"/>
          <w:szCs w:val="24"/>
          <w:highlight w:val="none"/>
        </w:rPr>
        <w:t>最迟于</w:t>
      </w:r>
      <w:r>
        <w:rPr>
          <w:rFonts w:ascii="Times New Roman" w:hAnsi="Times New Roman"/>
          <w:color w:val="auto"/>
          <w:szCs w:val="24"/>
          <w:highlight w:val="none"/>
        </w:rPr>
        <w:t>开工日期7天前向承包人移交施工现场。</w:t>
      </w:r>
    </w:p>
    <w:p w14:paraId="7918677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2.4.2 提供施工条件</w:t>
      </w:r>
    </w:p>
    <w:p w14:paraId="7FE5540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除专用合同条款另有约定外，发包人应负责提供施工所需要的条件，包括：</w:t>
      </w:r>
    </w:p>
    <w:p w14:paraId="0A7BD43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（1）将施工用水、电力、通讯线路等施工所必需的条件接至施工现场内；</w:t>
      </w:r>
    </w:p>
    <w:p w14:paraId="3D7B0BF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（2）保证向承包人提供正常施工所需要的进入施工现场的交通条件；</w:t>
      </w:r>
    </w:p>
    <w:p w14:paraId="1847146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（3）协调处理施工现场周围地下管线和邻近建筑物、构筑物、古树名木的保护工作，并承担相关费用；</w:t>
      </w:r>
    </w:p>
    <w:p w14:paraId="63693F8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（4）按照专用合同条款约定</w:t>
      </w:r>
      <w:r>
        <w:rPr>
          <w:rFonts w:hint="eastAsia" w:ascii="Times New Roman" w:hAnsi="Times New Roman"/>
          <w:color w:val="auto"/>
          <w:szCs w:val="24"/>
          <w:highlight w:val="none"/>
        </w:rPr>
        <w:t>应</w:t>
      </w:r>
      <w:r>
        <w:rPr>
          <w:rFonts w:ascii="Times New Roman" w:hAnsi="Times New Roman"/>
          <w:color w:val="auto"/>
          <w:szCs w:val="24"/>
          <w:highlight w:val="none"/>
        </w:rPr>
        <w:t>提供的其他设施和条件。</w:t>
      </w:r>
    </w:p>
    <w:p w14:paraId="0E71AF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2.4.3 提供基础资料</w:t>
      </w:r>
    </w:p>
    <w:p w14:paraId="0332AE2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425DC0C9">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按照法律规定确需在开工后方能提供的基础资料，发包人应尽其努力及时地在相应工程施工前的合理期限内提供，合理期限应以不影响承包人的正常施工为限。</w:t>
      </w:r>
    </w:p>
    <w:p w14:paraId="1FADFC5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2.4.4 逾期提供的责任</w:t>
      </w:r>
    </w:p>
    <w:p w14:paraId="3A650B3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因发包人原因未能按合同约定及时向承包人提供施工现场、施工条件、基础资料的，由发包人承担由此增加的费用和（或）延误的工期。</w:t>
      </w:r>
    </w:p>
    <w:p w14:paraId="425C5993">
      <w:pPr>
        <w:keepNext/>
        <w:keepLines/>
        <w:spacing w:line="400" w:lineRule="exact"/>
        <w:outlineLvl w:val="2"/>
        <w:rPr>
          <w:rFonts w:ascii="Times New Roman" w:hAnsi="Times New Roman" w:eastAsia="黑体" w:cs="宋体"/>
          <w:b/>
          <w:color w:val="auto"/>
          <w:sz w:val="24"/>
          <w:szCs w:val="20"/>
          <w:highlight w:val="none"/>
        </w:rPr>
      </w:pPr>
      <w:bookmarkStart w:id="940" w:name="_Toc28532143"/>
      <w:bookmarkStart w:id="941" w:name="_Toc351203514"/>
      <w:bookmarkStart w:id="942" w:name="_Toc9859"/>
      <w:r>
        <w:rPr>
          <w:rFonts w:ascii="Times New Roman" w:hAnsi="Times New Roman" w:eastAsia="黑体" w:cs="宋体"/>
          <w:b/>
          <w:color w:val="auto"/>
          <w:sz w:val="24"/>
          <w:szCs w:val="20"/>
          <w:highlight w:val="none"/>
        </w:rPr>
        <w:t>2</w:t>
      </w:r>
      <w:bookmarkStart w:id="943" w:name="_Toc337558745"/>
      <w:bookmarkStart w:id="944" w:name="_Toc296503042"/>
      <w:bookmarkStart w:id="945" w:name="_Toc296346543"/>
      <w:r>
        <w:rPr>
          <w:rFonts w:ascii="Times New Roman" w:hAnsi="Times New Roman" w:eastAsia="黑体" w:cs="宋体"/>
          <w:b/>
          <w:color w:val="auto"/>
          <w:sz w:val="24"/>
          <w:szCs w:val="20"/>
          <w:highlight w:val="none"/>
        </w:rPr>
        <w:t>.5 资</w:t>
      </w:r>
      <w:bookmarkEnd w:id="943"/>
      <w:bookmarkEnd w:id="944"/>
      <w:bookmarkEnd w:id="945"/>
      <w:r>
        <w:rPr>
          <w:rFonts w:ascii="Times New Roman" w:hAnsi="Times New Roman" w:eastAsia="黑体" w:cs="宋体"/>
          <w:b/>
          <w:color w:val="auto"/>
          <w:sz w:val="24"/>
          <w:szCs w:val="20"/>
          <w:highlight w:val="none"/>
        </w:rPr>
        <w:t>金来源证明及支付担保</w:t>
      </w:r>
      <w:bookmarkEnd w:id="940"/>
      <w:bookmarkEnd w:id="941"/>
      <w:bookmarkEnd w:id="942"/>
    </w:p>
    <w:p w14:paraId="3D768D0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除专用合同条款另有约定外，发包人应在收到承包人要求提供资金来源证明的书面通知后28天内，向承包人提供能够按照合同约定支付合同价款的相应资金来源证明。</w:t>
      </w:r>
    </w:p>
    <w:p w14:paraId="3171B74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33977D5D">
      <w:pPr>
        <w:keepNext/>
        <w:keepLines/>
        <w:spacing w:line="400" w:lineRule="exact"/>
        <w:outlineLvl w:val="2"/>
        <w:rPr>
          <w:rFonts w:ascii="Times New Roman" w:hAnsi="Times New Roman" w:eastAsia="黑体" w:cs="宋体"/>
          <w:b/>
          <w:color w:val="auto"/>
          <w:sz w:val="24"/>
          <w:szCs w:val="20"/>
          <w:highlight w:val="none"/>
        </w:rPr>
      </w:pPr>
      <w:bookmarkStart w:id="946" w:name="_Toc14888"/>
      <w:bookmarkStart w:id="947" w:name="_Toc351203515"/>
      <w:bookmarkStart w:id="948" w:name="_Toc28532144"/>
      <w:r>
        <w:rPr>
          <w:rFonts w:ascii="Times New Roman" w:hAnsi="Times New Roman" w:eastAsia="黑体" w:cs="宋体"/>
          <w:b/>
          <w:color w:val="auto"/>
          <w:sz w:val="24"/>
          <w:szCs w:val="20"/>
          <w:highlight w:val="none"/>
        </w:rPr>
        <w:t>2.6 支付合同价款</w:t>
      </w:r>
      <w:bookmarkEnd w:id="946"/>
      <w:bookmarkEnd w:id="947"/>
      <w:bookmarkEnd w:id="948"/>
    </w:p>
    <w:p w14:paraId="7847766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发包人应按合同约定向承包人及时支付合同价款。</w:t>
      </w:r>
    </w:p>
    <w:p w14:paraId="3B36044A">
      <w:pPr>
        <w:keepNext/>
        <w:keepLines/>
        <w:spacing w:line="400" w:lineRule="exact"/>
        <w:outlineLvl w:val="2"/>
        <w:rPr>
          <w:rFonts w:ascii="Times New Roman" w:hAnsi="Times New Roman" w:eastAsia="黑体" w:cs="宋体"/>
          <w:b/>
          <w:color w:val="auto"/>
          <w:sz w:val="24"/>
          <w:szCs w:val="20"/>
          <w:highlight w:val="none"/>
        </w:rPr>
      </w:pPr>
      <w:bookmarkStart w:id="949" w:name="_Toc8701"/>
      <w:bookmarkStart w:id="950" w:name="_Toc351203516"/>
      <w:bookmarkStart w:id="951" w:name="_Toc28532145"/>
      <w:r>
        <w:rPr>
          <w:rFonts w:ascii="Times New Roman" w:hAnsi="Times New Roman" w:eastAsia="黑体" w:cs="宋体"/>
          <w:b/>
          <w:color w:val="auto"/>
          <w:sz w:val="24"/>
          <w:szCs w:val="20"/>
          <w:highlight w:val="none"/>
        </w:rPr>
        <w:t>2.7 组织竣工验收</w:t>
      </w:r>
      <w:bookmarkEnd w:id="949"/>
      <w:bookmarkEnd w:id="950"/>
      <w:bookmarkEnd w:id="951"/>
    </w:p>
    <w:p w14:paraId="0D6C68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发包人应按合同约定及时组织竣工验收。</w:t>
      </w:r>
    </w:p>
    <w:p w14:paraId="0149DFBB">
      <w:pPr>
        <w:keepNext/>
        <w:keepLines/>
        <w:spacing w:line="400" w:lineRule="exact"/>
        <w:outlineLvl w:val="2"/>
        <w:rPr>
          <w:rFonts w:ascii="Times New Roman" w:hAnsi="Times New Roman" w:eastAsia="黑体" w:cs="宋体"/>
          <w:b/>
          <w:color w:val="auto"/>
          <w:sz w:val="24"/>
          <w:szCs w:val="20"/>
          <w:highlight w:val="none"/>
        </w:rPr>
      </w:pPr>
      <w:bookmarkStart w:id="952" w:name="_Toc614"/>
      <w:bookmarkStart w:id="953" w:name="_Toc28532146"/>
      <w:bookmarkStart w:id="954" w:name="_Toc351203517"/>
      <w:r>
        <w:rPr>
          <w:rFonts w:ascii="Times New Roman" w:hAnsi="Times New Roman" w:eastAsia="黑体" w:cs="宋体"/>
          <w:b/>
          <w:color w:val="auto"/>
          <w:sz w:val="24"/>
          <w:szCs w:val="20"/>
          <w:highlight w:val="none"/>
        </w:rPr>
        <w:t>2.8 现场统一管理协议</w:t>
      </w:r>
      <w:bookmarkEnd w:id="952"/>
      <w:bookmarkEnd w:id="953"/>
      <w:bookmarkEnd w:id="954"/>
    </w:p>
    <w:p w14:paraId="033E128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发包人应与承包人、由发包人直接发包的专业工程的承包人签订施工现场统一管理协议，明确各方的权利义务。施工现场统一管理协议作为专用合同条款的附件。</w:t>
      </w:r>
    </w:p>
    <w:p w14:paraId="5A14A425">
      <w:pPr>
        <w:keepNext/>
        <w:keepLines/>
        <w:spacing w:before="100" w:line="400" w:lineRule="exact"/>
        <w:outlineLvl w:val="1"/>
        <w:rPr>
          <w:rFonts w:ascii="Times New Roman" w:hAnsi="Times New Roman" w:eastAsia="黑体" w:cs="宋体"/>
          <w:b/>
          <w:color w:val="auto"/>
          <w:sz w:val="28"/>
          <w:szCs w:val="20"/>
          <w:highlight w:val="none"/>
        </w:rPr>
      </w:pPr>
      <w:bookmarkStart w:id="955" w:name="_Toc351203518"/>
      <w:bookmarkStart w:id="956" w:name="_Toc22751"/>
      <w:bookmarkStart w:id="957" w:name="_Toc28532147"/>
      <w:r>
        <w:rPr>
          <w:rFonts w:ascii="Times New Roman" w:hAnsi="Times New Roman" w:eastAsia="黑体" w:cs="宋体"/>
          <w:b/>
          <w:color w:val="auto"/>
          <w:sz w:val="28"/>
          <w:szCs w:val="20"/>
          <w:highlight w:val="none"/>
        </w:rPr>
        <w:t>3</w:t>
      </w:r>
      <w:bookmarkStart w:id="958" w:name="_Toc296503045"/>
      <w:bookmarkStart w:id="959" w:name="_Toc337558746"/>
      <w:bookmarkStart w:id="960" w:name="_Toc296346546"/>
      <w:r>
        <w:rPr>
          <w:rFonts w:ascii="Times New Roman" w:hAnsi="Times New Roman" w:eastAsia="黑体" w:cs="宋体"/>
          <w:b/>
          <w:color w:val="auto"/>
          <w:sz w:val="28"/>
          <w:szCs w:val="20"/>
          <w:highlight w:val="none"/>
        </w:rPr>
        <w:t>. 承包人</w:t>
      </w:r>
      <w:bookmarkEnd w:id="955"/>
      <w:bookmarkEnd w:id="956"/>
      <w:bookmarkEnd w:id="957"/>
    </w:p>
    <w:bookmarkEnd w:id="958"/>
    <w:bookmarkEnd w:id="959"/>
    <w:bookmarkEnd w:id="960"/>
    <w:p w14:paraId="43542C79">
      <w:pPr>
        <w:keepNext/>
        <w:keepLines/>
        <w:spacing w:line="400" w:lineRule="exact"/>
        <w:outlineLvl w:val="2"/>
        <w:rPr>
          <w:rFonts w:ascii="Times New Roman" w:hAnsi="Times New Roman" w:eastAsia="黑体" w:cs="宋体"/>
          <w:b/>
          <w:color w:val="auto"/>
          <w:sz w:val="24"/>
          <w:szCs w:val="20"/>
          <w:highlight w:val="none"/>
        </w:rPr>
      </w:pPr>
      <w:bookmarkStart w:id="961" w:name="_Toc351203519"/>
      <w:bookmarkStart w:id="962" w:name="_Toc28532148"/>
      <w:bookmarkStart w:id="963" w:name="_Toc28678"/>
      <w:r>
        <w:rPr>
          <w:rFonts w:ascii="Times New Roman" w:hAnsi="Times New Roman" w:eastAsia="黑体" w:cs="宋体"/>
          <w:b/>
          <w:color w:val="auto"/>
          <w:sz w:val="24"/>
          <w:szCs w:val="20"/>
          <w:highlight w:val="none"/>
        </w:rPr>
        <w:t>3</w:t>
      </w:r>
      <w:bookmarkStart w:id="964" w:name="_Toc296503046"/>
      <w:bookmarkStart w:id="965" w:name="_Toc296346547"/>
      <w:bookmarkStart w:id="966" w:name="_Toc337558747"/>
      <w:r>
        <w:rPr>
          <w:rFonts w:ascii="Times New Roman" w:hAnsi="Times New Roman" w:eastAsia="黑体" w:cs="宋体"/>
          <w:b/>
          <w:color w:val="auto"/>
          <w:sz w:val="24"/>
          <w:szCs w:val="20"/>
          <w:highlight w:val="none"/>
        </w:rPr>
        <w:t>.1 承包人的一般义务</w:t>
      </w:r>
      <w:bookmarkEnd w:id="961"/>
      <w:bookmarkEnd w:id="962"/>
      <w:bookmarkEnd w:id="963"/>
    </w:p>
    <w:bookmarkEnd w:id="964"/>
    <w:bookmarkEnd w:id="965"/>
    <w:bookmarkEnd w:id="966"/>
    <w:p w14:paraId="43CD599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承包人在履行合同过程中应遵守法律和工程建设标准规范，并履行以下义务：</w:t>
      </w:r>
    </w:p>
    <w:p w14:paraId="3D0FC3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w:t>
      </w:r>
      <w:r>
        <w:rPr>
          <w:rFonts w:hint="eastAsia" w:ascii="Times New Roman" w:hAnsi="Times New Roman"/>
          <w:color w:val="auto"/>
          <w:szCs w:val="24"/>
          <w:highlight w:val="none"/>
        </w:rPr>
        <w:t>1</w:t>
      </w:r>
      <w:r>
        <w:rPr>
          <w:rFonts w:ascii="Times New Roman" w:hAnsi="Times New Roman"/>
          <w:color w:val="auto"/>
          <w:szCs w:val="24"/>
          <w:highlight w:val="none"/>
        </w:rPr>
        <w:t>）办理法律规定</w:t>
      </w:r>
      <w:r>
        <w:rPr>
          <w:rFonts w:hint="eastAsia" w:ascii="Times New Roman" w:hAnsi="Times New Roman"/>
          <w:color w:val="auto"/>
          <w:szCs w:val="24"/>
          <w:highlight w:val="none"/>
        </w:rPr>
        <w:t>应</w:t>
      </w:r>
      <w:r>
        <w:rPr>
          <w:rFonts w:ascii="Times New Roman" w:hAnsi="Times New Roman"/>
          <w:color w:val="auto"/>
          <w:szCs w:val="24"/>
          <w:highlight w:val="none"/>
        </w:rPr>
        <w:t>由承包人办理的许可和批准，并将</w:t>
      </w:r>
      <w:r>
        <w:rPr>
          <w:rFonts w:hint="eastAsia" w:ascii="Times New Roman" w:hAnsi="Times New Roman"/>
          <w:color w:val="auto"/>
          <w:szCs w:val="24"/>
          <w:highlight w:val="none"/>
        </w:rPr>
        <w:t>办理</w:t>
      </w:r>
      <w:r>
        <w:rPr>
          <w:rFonts w:ascii="Times New Roman" w:hAnsi="Times New Roman"/>
          <w:color w:val="auto"/>
          <w:szCs w:val="24"/>
          <w:highlight w:val="none"/>
        </w:rPr>
        <w:t>结果书面报送发包人留存；</w:t>
      </w:r>
    </w:p>
    <w:p w14:paraId="0D5BF06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（2）按法律规定和合同约定完成工程，并在保修期内承担保修义务；</w:t>
      </w:r>
    </w:p>
    <w:p w14:paraId="0676B4E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（3）按法律规定和合同约定采取施工安全和环境保护措施，办理工伤保险，确保工程及人员、材料、设备和设施的安全；</w:t>
      </w:r>
    </w:p>
    <w:p w14:paraId="110329E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（4）按合同约定的工作内容和施工进度要求，编制施工组织设计和施工措施计划，并对所有施工作业和施工方法的完备性和安全可靠性负责；</w:t>
      </w:r>
    </w:p>
    <w:p w14:paraId="6F99FD1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1E610F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（6）按照第6.3款</w:t>
      </w:r>
      <w:r>
        <w:rPr>
          <w:rFonts w:hint="eastAsia" w:ascii="Times New Roman" w:hAnsi="Times New Roman"/>
          <w:color w:val="auto"/>
          <w:szCs w:val="24"/>
          <w:highlight w:val="none"/>
        </w:rPr>
        <w:t>〔</w:t>
      </w:r>
      <w:r>
        <w:rPr>
          <w:rFonts w:ascii="Times New Roman" w:hAnsi="Times New Roman"/>
          <w:color w:val="auto"/>
          <w:szCs w:val="24"/>
          <w:highlight w:val="none"/>
        </w:rPr>
        <w:t>环境保护</w:t>
      </w:r>
      <w:r>
        <w:rPr>
          <w:rFonts w:hint="eastAsia" w:ascii="Times New Roman" w:hAnsi="Times New Roman"/>
          <w:color w:val="auto"/>
          <w:szCs w:val="24"/>
          <w:highlight w:val="none"/>
        </w:rPr>
        <w:t>〕</w:t>
      </w:r>
      <w:r>
        <w:rPr>
          <w:rFonts w:ascii="Times New Roman" w:hAnsi="Times New Roman"/>
          <w:color w:val="auto"/>
          <w:szCs w:val="24"/>
          <w:highlight w:val="none"/>
        </w:rPr>
        <w:t>约定负责施工场地及其周边环境与生态的保护工作；</w:t>
      </w:r>
    </w:p>
    <w:p w14:paraId="0BB3051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（7）按第6.1款</w:t>
      </w:r>
      <w:r>
        <w:rPr>
          <w:rFonts w:hint="eastAsia" w:ascii="Times New Roman" w:hAnsi="Times New Roman"/>
          <w:color w:val="auto"/>
          <w:szCs w:val="24"/>
          <w:highlight w:val="none"/>
        </w:rPr>
        <w:t>〔</w:t>
      </w:r>
      <w:r>
        <w:rPr>
          <w:rFonts w:ascii="Times New Roman" w:hAnsi="Times New Roman"/>
          <w:color w:val="auto"/>
          <w:szCs w:val="24"/>
          <w:highlight w:val="none"/>
        </w:rPr>
        <w:t>安全文明施工</w:t>
      </w:r>
      <w:r>
        <w:rPr>
          <w:rFonts w:hint="eastAsia" w:ascii="Times New Roman" w:hAnsi="Times New Roman"/>
          <w:color w:val="auto"/>
          <w:szCs w:val="24"/>
          <w:highlight w:val="none"/>
        </w:rPr>
        <w:t>〕</w:t>
      </w:r>
      <w:r>
        <w:rPr>
          <w:rFonts w:ascii="Times New Roman" w:hAnsi="Times New Roman"/>
          <w:color w:val="auto"/>
          <w:szCs w:val="24"/>
          <w:highlight w:val="none"/>
        </w:rPr>
        <w:t>约定采取施工安全措施，确保工程及其人员、材料、设备和设施的安全，防止因工程施工造成的人身伤害和财产损失；</w:t>
      </w:r>
    </w:p>
    <w:p w14:paraId="157F610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w:t>
      </w:r>
      <w:r>
        <w:rPr>
          <w:rFonts w:hint="eastAsia" w:ascii="Times New Roman" w:hAnsi="Times New Roman"/>
          <w:color w:val="auto"/>
          <w:szCs w:val="24"/>
          <w:highlight w:val="none"/>
        </w:rPr>
        <w:t>将</w:t>
      </w:r>
      <w:r>
        <w:rPr>
          <w:rFonts w:ascii="Times New Roman" w:hAnsi="Times New Roman"/>
          <w:color w:val="auto"/>
          <w:szCs w:val="24"/>
          <w:highlight w:val="none"/>
        </w:rPr>
        <w:t>发包人按合同约定支付的各项价款专用于合同工程，且应及时支付其雇用人员工资，并及时向分包人支付合同价款；</w:t>
      </w:r>
    </w:p>
    <w:p w14:paraId="778BC23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（9）按照法律规定和合同约定编制竣工资料，完成竣工资料立卷及归档，并按专用合同条款约定的竣工资料的套数、内容、时间等要求移交发包人；</w:t>
      </w:r>
    </w:p>
    <w:p w14:paraId="18FC4BA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（10）应履行的其他义务。</w:t>
      </w:r>
    </w:p>
    <w:p w14:paraId="206FBD8B">
      <w:pPr>
        <w:keepNext/>
        <w:keepLines/>
        <w:spacing w:line="400" w:lineRule="exact"/>
        <w:outlineLvl w:val="2"/>
        <w:rPr>
          <w:rFonts w:ascii="Times New Roman" w:hAnsi="Times New Roman" w:eastAsia="黑体" w:cs="宋体"/>
          <w:b/>
          <w:color w:val="auto"/>
          <w:sz w:val="24"/>
          <w:szCs w:val="20"/>
          <w:highlight w:val="none"/>
        </w:rPr>
      </w:pPr>
      <w:bookmarkStart w:id="967" w:name="_Toc351203520"/>
      <w:bookmarkStart w:id="968" w:name="_Toc28532149"/>
      <w:bookmarkStart w:id="969" w:name="_Toc5580"/>
      <w:r>
        <w:rPr>
          <w:rFonts w:ascii="Times New Roman" w:hAnsi="Times New Roman" w:eastAsia="黑体" w:cs="宋体"/>
          <w:b/>
          <w:color w:val="auto"/>
          <w:sz w:val="24"/>
          <w:szCs w:val="20"/>
          <w:highlight w:val="none"/>
        </w:rPr>
        <w:t>3</w:t>
      </w:r>
      <w:bookmarkStart w:id="970" w:name="_Toc337558748"/>
      <w:bookmarkStart w:id="971" w:name="_Toc296346548"/>
      <w:bookmarkStart w:id="972" w:name="_Toc296503047"/>
      <w:r>
        <w:rPr>
          <w:rFonts w:ascii="Times New Roman" w:hAnsi="Times New Roman" w:eastAsia="黑体" w:cs="宋体"/>
          <w:b/>
          <w:color w:val="auto"/>
          <w:sz w:val="24"/>
          <w:szCs w:val="20"/>
          <w:highlight w:val="none"/>
        </w:rPr>
        <w:t xml:space="preserve">.2 </w:t>
      </w:r>
      <w:bookmarkEnd w:id="967"/>
      <w:r>
        <w:rPr>
          <w:rFonts w:ascii="Times New Roman" w:hAnsi="Times New Roman" w:eastAsia="黑体" w:cs="宋体"/>
          <w:b/>
          <w:color w:val="auto"/>
          <w:sz w:val="24"/>
          <w:szCs w:val="20"/>
          <w:highlight w:val="none"/>
        </w:rPr>
        <w:t>项目经理</w:t>
      </w:r>
      <w:bookmarkEnd w:id="968"/>
      <w:bookmarkEnd w:id="969"/>
    </w:p>
    <w:bookmarkEnd w:id="970"/>
    <w:bookmarkEnd w:id="971"/>
    <w:bookmarkEnd w:id="972"/>
    <w:p w14:paraId="0FD430B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5848A06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76BC7C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承包人违反上述约定的，应按照专用合同条款的约定，承担违约责任。</w:t>
      </w:r>
    </w:p>
    <w:p w14:paraId="5DA0D6F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3.2.2 项目经理按合同约定组织工程实施。在紧急情况下</w:t>
      </w:r>
      <w:r>
        <w:rPr>
          <w:rFonts w:hint="eastAsia" w:ascii="Times New Roman" w:hAnsi="Times New Roman"/>
          <w:color w:val="auto"/>
          <w:szCs w:val="24"/>
          <w:highlight w:val="none"/>
        </w:rPr>
        <w:t>为确保施工安全和人员安全</w:t>
      </w:r>
      <w:r>
        <w:rPr>
          <w:rFonts w:ascii="Times New Roman" w:hAnsi="Times New Roman"/>
          <w:color w:val="auto"/>
          <w:szCs w:val="24"/>
          <w:highlight w:val="none"/>
        </w:rPr>
        <w:t>，</w:t>
      </w:r>
      <w:r>
        <w:rPr>
          <w:rFonts w:hint="eastAsia" w:ascii="Times New Roman" w:hAnsi="Times New Roman"/>
          <w:color w:val="auto"/>
          <w:szCs w:val="24"/>
          <w:highlight w:val="none"/>
        </w:rPr>
        <w:t>在</w:t>
      </w:r>
      <w:r>
        <w:rPr>
          <w:rFonts w:ascii="Times New Roman" w:hAnsi="Times New Roman"/>
          <w:color w:val="auto"/>
          <w:szCs w:val="24"/>
          <w:highlight w:val="none"/>
        </w:rPr>
        <w:t>无法与发包人代表和总监理工程师</w:t>
      </w:r>
      <w:r>
        <w:rPr>
          <w:rFonts w:hint="eastAsia" w:ascii="Times New Roman" w:hAnsi="Times New Roman"/>
          <w:color w:val="auto"/>
          <w:szCs w:val="24"/>
          <w:highlight w:val="none"/>
        </w:rPr>
        <w:t>及时</w:t>
      </w:r>
      <w:r>
        <w:rPr>
          <w:rFonts w:ascii="Times New Roman" w:hAnsi="Times New Roman"/>
          <w:color w:val="auto"/>
          <w:szCs w:val="24"/>
          <w:highlight w:val="none"/>
        </w:rPr>
        <w:t>取得联系时，项目经理有权采取必要的措施保证与工程有关的人身、财产和工程的安全，但应在48小时内向发包人代表和总监理工程师提交书面报告。</w:t>
      </w:r>
    </w:p>
    <w:p w14:paraId="7A0E5A7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85B32C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color w:val="auto"/>
          <w:szCs w:val="24"/>
          <w:highlight w:val="none"/>
        </w:rPr>
        <w:t>继</w:t>
      </w:r>
      <w:r>
        <w:rPr>
          <w:rFonts w:ascii="Times New Roman" w:hAnsi="Times New Roman"/>
          <w:color w:val="auto"/>
          <w:szCs w:val="24"/>
          <w:highlight w:val="none"/>
        </w:rPr>
        <w:t>任项目经理继续履行第3.2.1项约定的职责。承包人无正当理由拒绝更换项目经理的，应按照专用合同条款的约定承担违约责任。</w:t>
      </w:r>
    </w:p>
    <w:p w14:paraId="6C84F29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58D461C6">
      <w:pPr>
        <w:keepNext/>
        <w:keepLines/>
        <w:spacing w:line="400" w:lineRule="exact"/>
        <w:outlineLvl w:val="2"/>
        <w:rPr>
          <w:rFonts w:ascii="Times New Roman" w:hAnsi="Times New Roman" w:eastAsia="黑体" w:cs="宋体"/>
          <w:b/>
          <w:color w:val="auto"/>
          <w:sz w:val="24"/>
          <w:szCs w:val="20"/>
          <w:highlight w:val="none"/>
        </w:rPr>
      </w:pPr>
      <w:bookmarkStart w:id="973" w:name="_Toc28532150"/>
      <w:bookmarkStart w:id="974" w:name="_Toc29179"/>
      <w:bookmarkStart w:id="975" w:name="_Toc351203521"/>
      <w:r>
        <w:rPr>
          <w:rFonts w:ascii="Times New Roman" w:hAnsi="Times New Roman" w:eastAsia="黑体" w:cs="宋体"/>
          <w:b/>
          <w:color w:val="auto"/>
          <w:sz w:val="24"/>
          <w:szCs w:val="20"/>
          <w:highlight w:val="none"/>
        </w:rPr>
        <w:t>3</w:t>
      </w:r>
      <w:bookmarkStart w:id="976" w:name="_Toc296503048"/>
      <w:bookmarkStart w:id="977" w:name="_Toc296346549"/>
      <w:bookmarkStart w:id="978" w:name="_Toc337558749"/>
      <w:r>
        <w:rPr>
          <w:rFonts w:ascii="Times New Roman" w:hAnsi="Times New Roman" w:eastAsia="黑体" w:cs="宋体"/>
          <w:b/>
          <w:color w:val="auto"/>
          <w:sz w:val="24"/>
          <w:szCs w:val="20"/>
          <w:highlight w:val="none"/>
        </w:rPr>
        <w:t xml:space="preserve">.3 </w:t>
      </w:r>
      <w:bookmarkEnd w:id="976"/>
      <w:bookmarkEnd w:id="977"/>
      <w:r>
        <w:rPr>
          <w:rFonts w:ascii="Times New Roman" w:hAnsi="Times New Roman" w:eastAsia="黑体" w:cs="宋体"/>
          <w:b/>
          <w:color w:val="auto"/>
          <w:sz w:val="24"/>
          <w:szCs w:val="20"/>
          <w:highlight w:val="none"/>
        </w:rPr>
        <w:t>承包人人员</w:t>
      </w:r>
      <w:bookmarkEnd w:id="973"/>
      <w:bookmarkEnd w:id="974"/>
      <w:bookmarkEnd w:id="975"/>
    </w:p>
    <w:bookmarkEnd w:id="978"/>
    <w:p w14:paraId="7ED92F1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color w:val="auto"/>
          <w:szCs w:val="24"/>
          <w:highlight w:val="none"/>
        </w:rPr>
        <w:t>和</w:t>
      </w:r>
      <w:r>
        <w:rPr>
          <w:rFonts w:ascii="Times New Roman" w:hAnsi="Times New Roman"/>
          <w:color w:val="auto"/>
          <w:szCs w:val="24"/>
          <w:highlight w:val="none"/>
        </w:rPr>
        <w:t>缴纳社会保险的有效证明。</w:t>
      </w:r>
    </w:p>
    <w:p w14:paraId="1E53251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3.3.2 承包人派驻到施工现场的主要施工管理人员应相对稳定。施工过程中</w:t>
      </w:r>
      <w:r>
        <w:rPr>
          <w:rFonts w:hint="eastAsia" w:ascii="Times New Roman" w:hAnsi="Times New Roman"/>
          <w:color w:val="auto"/>
          <w:szCs w:val="24"/>
          <w:highlight w:val="none"/>
        </w:rPr>
        <w:t>如有变动</w:t>
      </w:r>
      <w:r>
        <w:rPr>
          <w:rFonts w:ascii="Times New Roman" w:hAnsi="Times New Roman"/>
          <w:color w:val="auto"/>
          <w:szCs w:val="24"/>
          <w:highlight w:val="none"/>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449CF81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特殊工种作业人员均应持有相应的资格证明，监理人可以随时检查。</w:t>
      </w:r>
    </w:p>
    <w:p w14:paraId="37CF081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3.3.3 发包人对于承包人主要施工管理人员</w:t>
      </w:r>
      <w:r>
        <w:rPr>
          <w:rFonts w:hint="eastAsia" w:ascii="Times New Roman" w:hAnsi="Times New Roman"/>
          <w:color w:val="auto"/>
          <w:szCs w:val="24"/>
          <w:highlight w:val="none"/>
        </w:rPr>
        <w:t>的资格或能力</w:t>
      </w:r>
      <w:r>
        <w:rPr>
          <w:rFonts w:ascii="Times New Roman" w:hAnsi="Times New Roman"/>
          <w:color w:val="auto"/>
          <w:szCs w:val="24"/>
          <w:highlight w:val="none"/>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60B4DB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577CF9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3.3.5 承包人擅自更换主要施工管理人员，或前述人员未经监理人或发包人同意擅自离开施工现场的，应按照专用合同条款约定承担违约责任。</w:t>
      </w:r>
    </w:p>
    <w:p w14:paraId="4EF0596D">
      <w:pPr>
        <w:keepNext/>
        <w:keepLines/>
        <w:spacing w:line="400" w:lineRule="exact"/>
        <w:outlineLvl w:val="2"/>
        <w:rPr>
          <w:rFonts w:ascii="Times New Roman" w:hAnsi="Times New Roman" w:eastAsia="黑体" w:cs="宋体"/>
          <w:b/>
          <w:color w:val="auto"/>
          <w:sz w:val="24"/>
          <w:szCs w:val="20"/>
          <w:highlight w:val="none"/>
        </w:rPr>
      </w:pPr>
      <w:bookmarkStart w:id="979" w:name="_Toc351203522"/>
      <w:bookmarkStart w:id="980" w:name="_Toc1881"/>
      <w:bookmarkStart w:id="981" w:name="_Toc28532151"/>
      <w:r>
        <w:rPr>
          <w:rFonts w:ascii="Times New Roman" w:hAnsi="Times New Roman" w:eastAsia="黑体" w:cs="宋体"/>
          <w:b/>
          <w:color w:val="auto"/>
          <w:sz w:val="24"/>
          <w:szCs w:val="20"/>
          <w:highlight w:val="none"/>
        </w:rPr>
        <w:t>3</w:t>
      </w:r>
      <w:bookmarkStart w:id="982" w:name="_Toc296503050"/>
      <w:bookmarkStart w:id="983" w:name="_Toc296346551"/>
      <w:bookmarkStart w:id="984" w:name="_Toc337558750"/>
      <w:r>
        <w:rPr>
          <w:rFonts w:ascii="Times New Roman" w:hAnsi="Times New Roman" w:eastAsia="黑体" w:cs="宋体"/>
          <w:b/>
          <w:color w:val="auto"/>
          <w:sz w:val="24"/>
          <w:szCs w:val="20"/>
          <w:highlight w:val="none"/>
        </w:rPr>
        <w:t>.4 承包人现场查勘</w:t>
      </w:r>
      <w:bookmarkEnd w:id="979"/>
      <w:bookmarkEnd w:id="980"/>
      <w:bookmarkEnd w:id="981"/>
    </w:p>
    <w:bookmarkEnd w:id="982"/>
    <w:bookmarkEnd w:id="983"/>
    <w:bookmarkEnd w:id="984"/>
    <w:p w14:paraId="04F4666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承包人应对基于发包人按照第2.4.3项</w:t>
      </w:r>
      <w:r>
        <w:rPr>
          <w:rFonts w:hint="eastAsia" w:ascii="Times New Roman" w:hAnsi="Times New Roman"/>
          <w:color w:val="auto"/>
          <w:szCs w:val="24"/>
          <w:highlight w:val="none"/>
        </w:rPr>
        <w:t>〔</w:t>
      </w:r>
      <w:r>
        <w:rPr>
          <w:rFonts w:ascii="Times New Roman" w:hAnsi="Times New Roman"/>
          <w:color w:val="auto"/>
          <w:szCs w:val="24"/>
          <w:highlight w:val="none"/>
        </w:rPr>
        <w:t>提供基础资料</w:t>
      </w:r>
      <w:r>
        <w:rPr>
          <w:rFonts w:hint="eastAsia" w:ascii="Times New Roman" w:hAnsi="Times New Roman"/>
          <w:color w:val="auto"/>
          <w:szCs w:val="24"/>
          <w:highlight w:val="none"/>
        </w:rPr>
        <w:t>〕</w:t>
      </w:r>
      <w:r>
        <w:rPr>
          <w:rFonts w:ascii="Times New Roman" w:hAnsi="Times New Roman"/>
          <w:color w:val="auto"/>
          <w:szCs w:val="24"/>
          <w:highlight w:val="none"/>
        </w:rPr>
        <w:t>提交的基础资料所做出的解释和推断负责，但因基础资料存在错误、遗漏导致承包人解释或推断失实的，由发包人承担责任。</w:t>
      </w:r>
    </w:p>
    <w:p w14:paraId="6EAEC39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26DECF8">
      <w:pPr>
        <w:keepNext/>
        <w:keepLines/>
        <w:spacing w:line="400" w:lineRule="exact"/>
        <w:outlineLvl w:val="2"/>
        <w:rPr>
          <w:rFonts w:hint="eastAsia" w:ascii="Times New Roman" w:hAnsi="Times New Roman" w:eastAsia="黑体" w:cs="宋体"/>
          <w:b/>
          <w:color w:val="auto"/>
          <w:sz w:val="24"/>
          <w:szCs w:val="20"/>
          <w:highlight w:val="none"/>
        </w:rPr>
      </w:pPr>
      <w:bookmarkStart w:id="985" w:name="_Toc351203523"/>
      <w:bookmarkStart w:id="986" w:name="_Toc21039"/>
      <w:bookmarkStart w:id="987" w:name="_Toc28532152"/>
      <w:r>
        <w:rPr>
          <w:rFonts w:ascii="Times New Roman" w:hAnsi="Times New Roman" w:eastAsia="黑体" w:cs="宋体"/>
          <w:b/>
          <w:color w:val="auto"/>
          <w:sz w:val="24"/>
          <w:szCs w:val="20"/>
          <w:highlight w:val="none"/>
        </w:rPr>
        <w:t>3</w:t>
      </w:r>
      <w:bookmarkStart w:id="988" w:name="_Toc337558751"/>
      <w:bookmarkStart w:id="989" w:name="_Toc296346552"/>
      <w:bookmarkStart w:id="990" w:name="_Toc296503051"/>
      <w:r>
        <w:rPr>
          <w:rFonts w:ascii="Times New Roman" w:hAnsi="Times New Roman" w:eastAsia="黑体" w:cs="宋体"/>
          <w:b/>
          <w:color w:val="auto"/>
          <w:sz w:val="24"/>
          <w:szCs w:val="20"/>
          <w:highlight w:val="none"/>
        </w:rPr>
        <w:t>.5 分包</w:t>
      </w:r>
      <w:bookmarkEnd w:id="985"/>
      <w:bookmarkEnd w:id="986"/>
      <w:bookmarkEnd w:id="987"/>
    </w:p>
    <w:bookmarkEnd w:id="988"/>
    <w:bookmarkEnd w:id="989"/>
    <w:bookmarkEnd w:id="990"/>
    <w:p w14:paraId="03CDEFC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3.5.1 分包的一般约定</w:t>
      </w:r>
    </w:p>
    <w:p w14:paraId="37310E80">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0102B53B">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承包人不得以劳务分包的名义转包或违法分包工程。</w:t>
      </w:r>
    </w:p>
    <w:p w14:paraId="06CA494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3.5.2 分包的确定</w:t>
      </w:r>
    </w:p>
    <w:p w14:paraId="08AFAF3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承包人应按专用合同条款的约定进行分包，确定分包人。已标价工程量清单或预算书中给定暂估价的专业工程，按照第10.7款</w:t>
      </w:r>
      <w:r>
        <w:rPr>
          <w:rFonts w:hint="eastAsia" w:ascii="Times New Roman" w:hAnsi="Times New Roman"/>
          <w:color w:val="auto"/>
          <w:szCs w:val="24"/>
          <w:highlight w:val="none"/>
        </w:rPr>
        <w:t>〔</w:t>
      </w:r>
      <w:r>
        <w:rPr>
          <w:rFonts w:ascii="Times New Roman" w:hAnsi="Times New Roman"/>
          <w:color w:val="auto"/>
          <w:szCs w:val="24"/>
          <w:highlight w:val="none"/>
        </w:rPr>
        <w:t>暂估价</w:t>
      </w:r>
      <w:r>
        <w:rPr>
          <w:rFonts w:hint="eastAsia" w:ascii="Times New Roman" w:hAnsi="Times New Roman"/>
          <w:color w:val="auto"/>
          <w:szCs w:val="24"/>
          <w:highlight w:val="none"/>
        </w:rPr>
        <w:t>〕</w:t>
      </w:r>
      <w:r>
        <w:rPr>
          <w:rFonts w:ascii="Times New Roman" w:hAnsi="Times New Roman"/>
          <w:color w:val="auto"/>
          <w:szCs w:val="24"/>
          <w:highlight w:val="none"/>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4CE169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3.5.3 分包管理</w:t>
      </w:r>
    </w:p>
    <w:p w14:paraId="136F705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承包人应向监理人提交分包人的主要施工管理人员表，并对分包人的施工人员进行实名制管理，包括但不限于进出场管理、登记造册以及各种证照的办理。</w:t>
      </w:r>
    </w:p>
    <w:p w14:paraId="162BFCE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3.5.4 分包合同价款</w:t>
      </w:r>
    </w:p>
    <w:p w14:paraId="5CFC092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（1）除本项第（2）目约定的情况或专用合同条款另有约定外，分包合同价款由承包人与分包人结算，未经承包人同意，发包人不得向分包人支付分包工程价款；</w:t>
      </w:r>
    </w:p>
    <w:p w14:paraId="3D7CE82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（2）生效法律文书要求发包人向分包人支付分包合同价款的，发包人有权从应付承包人工程款中扣除该部分款项。</w:t>
      </w:r>
    </w:p>
    <w:p w14:paraId="716CB46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3.5.5 分包合同权益的转让</w:t>
      </w:r>
    </w:p>
    <w:p w14:paraId="38AA490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991" w:name="_Toc351203524"/>
    </w:p>
    <w:p w14:paraId="3DFD3C91">
      <w:pPr>
        <w:keepNext/>
        <w:keepLines/>
        <w:spacing w:line="400" w:lineRule="exact"/>
        <w:outlineLvl w:val="2"/>
        <w:rPr>
          <w:rFonts w:ascii="Times New Roman" w:hAnsi="Times New Roman" w:eastAsia="黑体" w:cs="宋体"/>
          <w:b/>
          <w:color w:val="auto"/>
          <w:sz w:val="24"/>
          <w:szCs w:val="20"/>
          <w:highlight w:val="none"/>
        </w:rPr>
      </w:pPr>
      <w:bookmarkStart w:id="992" w:name="_Toc28532153"/>
      <w:bookmarkStart w:id="993" w:name="_Toc30410"/>
      <w:r>
        <w:rPr>
          <w:rFonts w:ascii="Times New Roman" w:hAnsi="Times New Roman" w:eastAsia="黑体" w:cs="宋体"/>
          <w:b/>
          <w:color w:val="auto"/>
          <w:sz w:val="24"/>
          <w:szCs w:val="20"/>
          <w:highlight w:val="none"/>
        </w:rPr>
        <w:t>3.6 工程照管与成品、半成品保护</w:t>
      </w:r>
      <w:bookmarkEnd w:id="991"/>
      <w:bookmarkEnd w:id="992"/>
      <w:bookmarkEnd w:id="993"/>
    </w:p>
    <w:p w14:paraId="42E2BE8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（1）除专用合同条款另有约定外，自发包人向承包人移交施工现场之日起，承包人应负责照管工程及工程相关的材料、工程设备，直到颁发工程接收证书之日止。</w:t>
      </w:r>
    </w:p>
    <w:p w14:paraId="4DC9B1E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w:t>
      </w:r>
      <w:r>
        <w:rPr>
          <w:rFonts w:hint="eastAsia" w:ascii="Times New Roman" w:hAnsi="Times New Roman"/>
          <w:color w:val="auto"/>
          <w:szCs w:val="24"/>
          <w:highlight w:val="none"/>
        </w:rPr>
        <w:t>2</w:t>
      </w:r>
      <w:r>
        <w:rPr>
          <w:rFonts w:ascii="Times New Roman" w:hAnsi="Times New Roman"/>
          <w:color w:val="auto"/>
          <w:szCs w:val="24"/>
          <w:highlight w:val="none"/>
        </w:rPr>
        <w:t>）在承包人负责照管期间，因承包人原因造成工程、材料、工程设备损坏的，由承包人负责修复或更换，并承担由此增加的费用和（或）延误的工期。</w:t>
      </w:r>
    </w:p>
    <w:p w14:paraId="6F7D609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w:t>
      </w:r>
      <w:r>
        <w:rPr>
          <w:rFonts w:hint="eastAsia" w:ascii="Times New Roman" w:hAnsi="Times New Roman"/>
          <w:color w:val="auto"/>
          <w:szCs w:val="24"/>
          <w:highlight w:val="none"/>
        </w:rPr>
        <w:t>3</w:t>
      </w:r>
      <w:r>
        <w:rPr>
          <w:rFonts w:ascii="Times New Roman" w:hAnsi="Times New Roman"/>
          <w:color w:val="auto"/>
          <w:szCs w:val="24"/>
          <w:highlight w:val="none"/>
        </w:rPr>
        <w:t>）对合同内分期完成的成品和半成品，在工程接收证书颁发前，由承包人承担保护责任。因承包人原因造成成品或半成品损坏的，由承包人负责修复或更换，并承担由此增加的费用和（或）延误的工期。</w:t>
      </w:r>
    </w:p>
    <w:p w14:paraId="2F95FD03">
      <w:pPr>
        <w:keepNext/>
        <w:keepLines/>
        <w:spacing w:line="400" w:lineRule="exact"/>
        <w:outlineLvl w:val="2"/>
        <w:rPr>
          <w:rFonts w:ascii="Times New Roman" w:hAnsi="Times New Roman" w:eastAsia="黑体" w:cs="宋体"/>
          <w:b/>
          <w:color w:val="auto"/>
          <w:sz w:val="24"/>
          <w:szCs w:val="20"/>
          <w:highlight w:val="none"/>
        </w:rPr>
      </w:pPr>
      <w:bookmarkStart w:id="994" w:name="_Toc351203525"/>
      <w:bookmarkStart w:id="995" w:name="_Toc28532154"/>
      <w:bookmarkStart w:id="996" w:name="_Toc18384"/>
      <w:r>
        <w:rPr>
          <w:rFonts w:ascii="Times New Roman" w:hAnsi="Times New Roman" w:eastAsia="黑体" w:cs="宋体"/>
          <w:b/>
          <w:color w:val="auto"/>
          <w:sz w:val="24"/>
          <w:szCs w:val="20"/>
          <w:highlight w:val="none"/>
        </w:rPr>
        <w:t>3</w:t>
      </w:r>
      <w:bookmarkStart w:id="997" w:name="_Toc296503052"/>
      <w:bookmarkStart w:id="998" w:name="_Toc296346553"/>
      <w:bookmarkStart w:id="999" w:name="_Toc337558752"/>
      <w:r>
        <w:rPr>
          <w:rFonts w:ascii="Times New Roman" w:hAnsi="Times New Roman" w:eastAsia="黑体" w:cs="宋体"/>
          <w:b/>
          <w:color w:val="auto"/>
          <w:sz w:val="24"/>
          <w:szCs w:val="20"/>
          <w:highlight w:val="none"/>
        </w:rPr>
        <w:t>.7 履约担保</w:t>
      </w:r>
      <w:bookmarkEnd w:id="994"/>
      <w:bookmarkEnd w:id="995"/>
      <w:bookmarkEnd w:id="996"/>
    </w:p>
    <w:bookmarkEnd w:id="997"/>
    <w:bookmarkEnd w:id="998"/>
    <w:bookmarkEnd w:id="999"/>
    <w:p w14:paraId="16E2CDC0">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发包人需要承包人提供履约担保的，由合同当事人在专用合同条款中约定履约担保的方式、金额及期限等。</w:t>
      </w:r>
      <w:r>
        <w:rPr>
          <w:rFonts w:ascii="Times New Roman" w:hAnsi="Times New Roman"/>
          <w:color w:val="auto"/>
          <w:szCs w:val="24"/>
          <w:highlight w:val="none"/>
        </w:rPr>
        <w:t>履约担保可以采用银行保函或担保公司担保等形式，具体由合同当事人在专用合同条款中约定。</w:t>
      </w:r>
    </w:p>
    <w:p w14:paraId="69BD0A0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因承包人原因导致工期延长的，继续提供履约担保所增加的费用由承包人承担；非因承包人原因导致工期延长的，继续提供履约担保所增加的费用由发包人承担。</w:t>
      </w:r>
    </w:p>
    <w:p w14:paraId="5A0C7A66">
      <w:pPr>
        <w:keepNext/>
        <w:keepLines/>
        <w:spacing w:line="400" w:lineRule="exact"/>
        <w:outlineLvl w:val="2"/>
        <w:rPr>
          <w:rFonts w:ascii="Times New Roman" w:hAnsi="Times New Roman" w:eastAsia="黑体" w:cs="宋体"/>
          <w:b/>
          <w:color w:val="auto"/>
          <w:sz w:val="24"/>
          <w:szCs w:val="20"/>
          <w:highlight w:val="none"/>
        </w:rPr>
      </w:pPr>
      <w:bookmarkStart w:id="1000" w:name="_Toc28076"/>
      <w:bookmarkStart w:id="1001" w:name="_Toc351203526"/>
      <w:bookmarkStart w:id="1002" w:name="_Toc28532155"/>
      <w:r>
        <w:rPr>
          <w:rFonts w:ascii="Times New Roman" w:hAnsi="Times New Roman" w:eastAsia="黑体" w:cs="宋体"/>
          <w:b/>
          <w:color w:val="auto"/>
          <w:sz w:val="24"/>
          <w:szCs w:val="20"/>
          <w:highlight w:val="none"/>
        </w:rPr>
        <w:t>3.8 联合体</w:t>
      </w:r>
      <w:bookmarkEnd w:id="1000"/>
      <w:bookmarkEnd w:id="1001"/>
      <w:bookmarkEnd w:id="1002"/>
    </w:p>
    <w:p w14:paraId="08AB690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3.8.1 联合体各方应共同与发包人签订合同协议书。联合体各方应为履行合同</w:t>
      </w:r>
      <w:r>
        <w:rPr>
          <w:rFonts w:hint="eastAsia" w:ascii="Times New Roman" w:hAnsi="Times New Roman"/>
          <w:color w:val="auto"/>
          <w:szCs w:val="24"/>
          <w:highlight w:val="none"/>
        </w:rPr>
        <w:t>向发包人</w:t>
      </w:r>
      <w:r>
        <w:rPr>
          <w:rFonts w:ascii="Times New Roman" w:hAnsi="Times New Roman"/>
          <w:color w:val="auto"/>
          <w:szCs w:val="24"/>
          <w:highlight w:val="none"/>
        </w:rPr>
        <w:t>承担连带责任。</w:t>
      </w:r>
    </w:p>
    <w:p w14:paraId="7433A2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3.8.2 联合体协议经发包人确认后作为合同附件。在履行合同过程中，未经发包人同意，不得修改联合体协议。</w:t>
      </w:r>
    </w:p>
    <w:p w14:paraId="43B8DC8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3.8.3 联合体牵头人负责与发包人和监理人联系，并接受指示，负责组织联合体各成员全面履行合同。</w:t>
      </w:r>
    </w:p>
    <w:p w14:paraId="6773A84C">
      <w:pPr>
        <w:keepNext/>
        <w:keepLines/>
        <w:spacing w:before="100" w:line="400" w:lineRule="exact"/>
        <w:outlineLvl w:val="1"/>
        <w:rPr>
          <w:rFonts w:ascii="Times New Roman" w:hAnsi="Times New Roman" w:eastAsia="黑体" w:cs="宋体"/>
          <w:b/>
          <w:color w:val="auto"/>
          <w:sz w:val="28"/>
          <w:szCs w:val="20"/>
          <w:highlight w:val="none"/>
        </w:rPr>
      </w:pPr>
      <w:bookmarkStart w:id="1003" w:name="_Toc28929"/>
      <w:bookmarkStart w:id="1004" w:name="_Toc351203527"/>
      <w:bookmarkStart w:id="1005" w:name="_Toc28532156"/>
      <w:r>
        <w:rPr>
          <w:rFonts w:ascii="Times New Roman" w:hAnsi="Times New Roman" w:eastAsia="黑体" w:cs="宋体"/>
          <w:b/>
          <w:color w:val="auto"/>
          <w:sz w:val="28"/>
          <w:szCs w:val="20"/>
          <w:highlight w:val="none"/>
        </w:rPr>
        <w:t>4</w:t>
      </w:r>
      <w:bookmarkStart w:id="1006" w:name="_Toc296503053"/>
      <w:bookmarkStart w:id="1007" w:name="_Toc296346554"/>
      <w:bookmarkStart w:id="1008" w:name="_Toc337558753"/>
      <w:r>
        <w:rPr>
          <w:rFonts w:ascii="Times New Roman" w:hAnsi="Times New Roman" w:eastAsia="黑体" w:cs="宋体"/>
          <w:b/>
          <w:color w:val="auto"/>
          <w:sz w:val="28"/>
          <w:szCs w:val="20"/>
          <w:highlight w:val="none"/>
        </w:rPr>
        <w:t>. 监</w:t>
      </w:r>
      <w:bookmarkEnd w:id="1006"/>
      <w:bookmarkEnd w:id="1007"/>
      <w:r>
        <w:rPr>
          <w:rFonts w:ascii="Times New Roman" w:hAnsi="Times New Roman" w:eastAsia="黑体" w:cs="宋体"/>
          <w:b/>
          <w:color w:val="auto"/>
          <w:sz w:val="28"/>
          <w:szCs w:val="20"/>
          <w:highlight w:val="none"/>
        </w:rPr>
        <w:t>理人</w:t>
      </w:r>
      <w:bookmarkEnd w:id="1003"/>
      <w:bookmarkEnd w:id="1004"/>
      <w:bookmarkEnd w:id="1005"/>
    </w:p>
    <w:bookmarkEnd w:id="1008"/>
    <w:p w14:paraId="0C292E4B">
      <w:pPr>
        <w:keepNext/>
        <w:keepLines/>
        <w:spacing w:line="400" w:lineRule="exact"/>
        <w:outlineLvl w:val="2"/>
        <w:rPr>
          <w:rFonts w:ascii="Times New Roman" w:hAnsi="Times New Roman" w:eastAsia="黑体" w:cs="宋体"/>
          <w:b/>
          <w:color w:val="auto"/>
          <w:sz w:val="24"/>
          <w:szCs w:val="20"/>
          <w:highlight w:val="none"/>
        </w:rPr>
      </w:pPr>
      <w:bookmarkStart w:id="1009" w:name="_Toc351203528"/>
      <w:bookmarkStart w:id="1010" w:name="_Toc2353"/>
      <w:bookmarkStart w:id="1011" w:name="_Toc28532157"/>
      <w:r>
        <w:rPr>
          <w:rFonts w:ascii="Times New Roman" w:hAnsi="Times New Roman" w:eastAsia="黑体" w:cs="宋体"/>
          <w:b/>
          <w:color w:val="auto"/>
          <w:sz w:val="24"/>
          <w:szCs w:val="20"/>
          <w:highlight w:val="none"/>
        </w:rPr>
        <w:t>4</w:t>
      </w:r>
      <w:bookmarkStart w:id="1012" w:name="_Toc296503054"/>
      <w:bookmarkStart w:id="1013" w:name="_Toc337558754"/>
      <w:bookmarkStart w:id="1014" w:name="_Toc296346555"/>
      <w:r>
        <w:rPr>
          <w:rFonts w:ascii="Times New Roman" w:hAnsi="Times New Roman" w:eastAsia="黑体" w:cs="宋体"/>
          <w:b/>
          <w:color w:val="auto"/>
          <w:sz w:val="24"/>
          <w:szCs w:val="20"/>
          <w:highlight w:val="none"/>
        </w:rPr>
        <w:t>.1监理人的一般规定</w:t>
      </w:r>
      <w:bookmarkEnd w:id="1009"/>
      <w:bookmarkEnd w:id="1010"/>
      <w:bookmarkEnd w:id="1011"/>
    </w:p>
    <w:bookmarkEnd w:id="1012"/>
    <w:bookmarkEnd w:id="1013"/>
    <w:bookmarkEnd w:id="1014"/>
    <w:p w14:paraId="51C05D6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7005983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除专用合同条款另有约定外，监理人在施工现场的办公场所、生活场所由承包人提供，所发生的费用由发包人承担。</w:t>
      </w:r>
    </w:p>
    <w:p w14:paraId="7F351162">
      <w:pPr>
        <w:keepNext/>
        <w:keepLines/>
        <w:spacing w:line="400" w:lineRule="exact"/>
        <w:outlineLvl w:val="2"/>
        <w:rPr>
          <w:rFonts w:ascii="Times New Roman" w:hAnsi="Times New Roman" w:eastAsia="黑体" w:cs="宋体"/>
          <w:b/>
          <w:color w:val="auto"/>
          <w:sz w:val="24"/>
          <w:szCs w:val="20"/>
          <w:highlight w:val="none"/>
        </w:rPr>
      </w:pPr>
      <w:bookmarkStart w:id="1015" w:name="_Toc28532158"/>
      <w:bookmarkStart w:id="1016" w:name="_Toc5962"/>
      <w:bookmarkStart w:id="1017" w:name="_Toc351203529"/>
      <w:r>
        <w:rPr>
          <w:rFonts w:ascii="Times New Roman" w:hAnsi="Times New Roman" w:eastAsia="黑体" w:cs="宋体"/>
          <w:b/>
          <w:color w:val="auto"/>
          <w:sz w:val="24"/>
          <w:szCs w:val="20"/>
          <w:highlight w:val="none"/>
        </w:rPr>
        <w:t>4</w:t>
      </w:r>
      <w:bookmarkStart w:id="1018" w:name="_Toc337558755"/>
      <w:r>
        <w:rPr>
          <w:rFonts w:ascii="Times New Roman" w:hAnsi="Times New Roman" w:eastAsia="黑体" w:cs="宋体"/>
          <w:b/>
          <w:color w:val="auto"/>
          <w:sz w:val="24"/>
          <w:szCs w:val="20"/>
          <w:highlight w:val="none"/>
        </w:rPr>
        <w:t>.2监理人员</w:t>
      </w:r>
      <w:bookmarkEnd w:id="1015"/>
      <w:bookmarkEnd w:id="1016"/>
      <w:bookmarkEnd w:id="1017"/>
    </w:p>
    <w:bookmarkEnd w:id="1018"/>
    <w:p w14:paraId="72A1D5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2CA72257">
      <w:pPr>
        <w:keepNext/>
        <w:keepLines/>
        <w:spacing w:line="400" w:lineRule="exact"/>
        <w:outlineLvl w:val="2"/>
        <w:rPr>
          <w:rFonts w:ascii="Times New Roman" w:hAnsi="Times New Roman" w:eastAsia="黑体" w:cs="宋体"/>
          <w:b/>
          <w:color w:val="auto"/>
          <w:sz w:val="24"/>
          <w:szCs w:val="20"/>
          <w:highlight w:val="none"/>
        </w:rPr>
      </w:pPr>
      <w:bookmarkStart w:id="1019" w:name="_Toc29048"/>
      <w:bookmarkStart w:id="1020" w:name="_Toc351203530"/>
      <w:bookmarkStart w:id="1021" w:name="_Toc28532159"/>
      <w:r>
        <w:rPr>
          <w:rFonts w:ascii="Times New Roman" w:hAnsi="Times New Roman" w:eastAsia="黑体" w:cs="宋体"/>
          <w:b/>
          <w:color w:val="auto"/>
          <w:sz w:val="24"/>
          <w:szCs w:val="20"/>
          <w:highlight w:val="none"/>
        </w:rPr>
        <w:t>4</w:t>
      </w:r>
      <w:bookmarkStart w:id="1022" w:name="_Toc296503055"/>
      <w:bookmarkStart w:id="1023" w:name="_Toc296346556"/>
      <w:bookmarkStart w:id="1024" w:name="_Toc337558756"/>
      <w:r>
        <w:rPr>
          <w:rFonts w:ascii="Times New Roman" w:hAnsi="Times New Roman" w:eastAsia="黑体" w:cs="宋体"/>
          <w:b/>
          <w:color w:val="auto"/>
          <w:sz w:val="24"/>
          <w:szCs w:val="20"/>
          <w:highlight w:val="none"/>
        </w:rPr>
        <w:t>.3</w:t>
      </w:r>
      <w:bookmarkEnd w:id="1022"/>
      <w:bookmarkEnd w:id="1023"/>
      <w:r>
        <w:rPr>
          <w:rFonts w:ascii="Times New Roman" w:hAnsi="Times New Roman" w:eastAsia="黑体" w:cs="宋体"/>
          <w:b/>
          <w:color w:val="auto"/>
          <w:sz w:val="24"/>
          <w:szCs w:val="20"/>
          <w:highlight w:val="none"/>
        </w:rPr>
        <w:t>监理人的指</w:t>
      </w:r>
      <w:bookmarkEnd w:id="1024"/>
      <w:r>
        <w:rPr>
          <w:rFonts w:ascii="Times New Roman" w:hAnsi="Times New Roman" w:eastAsia="黑体" w:cs="宋体"/>
          <w:b/>
          <w:color w:val="auto"/>
          <w:sz w:val="24"/>
          <w:szCs w:val="20"/>
          <w:highlight w:val="none"/>
        </w:rPr>
        <w:t>示</w:t>
      </w:r>
      <w:bookmarkEnd w:id="1019"/>
      <w:bookmarkEnd w:id="1020"/>
      <w:bookmarkEnd w:id="1021"/>
    </w:p>
    <w:p w14:paraId="2AC6D57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4C939AB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color w:val="auto"/>
          <w:szCs w:val="24"/>
          <w:highlight w:val="none"/>
        </w:rPr>
        <w:t>相应</w:t>
      </w:r>
      <w:r>
        <w:rPr>
          <w:rFonts w:ascii="Times New Roman" w:hAnsi="Times New Roman"/>
          <w:color w:val="auto"/>
          <w:szCs w:val="24"/>
          <w:highlight w:val="none"/>
        </w:rPr>
        <w:t>责任。除专用合同条款另有约定外，总监理工程师不应将第4.4款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约定应由总监理工程师作出确定的权力授权或委托给其他监理人员。</w:t>
      </w:r>
    </w:p>
    <w:p w14:paraId="5E584C6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承包人对监理人发出的指示有疑问的，应向监理人提出书面异议，监理人应在48小时内对该指示予以确认、更改或撤销，监理人逾期未回复的，承包人有权拒绝执行上述指示。</w:t>
      </w:r>
    </w:p>
    <w:p w14:paraId="02DF82E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2ECFAC2F">
      <w:pPr>
        <w:keepNext/>
        <w:keepLines/>
        <w:spacing w:line="400" w:lineRule="exact"/>
        <w:outlineLvl w:val="2"/>
        <w:rPr>
          <w:rFonts w:hint="eastAsia" w:ascii="Times New Roman" w:hAnsi="Times New Roman" w:eastAsia="黑体" w:cs="宋体"/>
          <w:b/>
          <w:color w:val="auto"/>
          <w:sz w:val="24"/>
          <w:szCs w:val="20"/>
          <w:highlight w:val="none"/>
        </w:rPr>
      </w:pPr>
      <w:bookmarkStart w:id="1025" w:name="_Toc28532160"/>
      <w:bookmarkStart w:id="1026" w:name="_Toc351203531"/>
      <w:bookmarkStart w:id="1027" w:name="_Toc31791"/>
      <w:r>
        <w:rPr>
          <w:rFonts w:ascii="Times New Roman" w:hAnsi="Times New Roman" w:eastAsia="黑体" w:cs="宋体"/>
          <w:b/>
          <w:color w:val="auto"/>
          <w:sz w:val="24"/>
          <w:szCs w:val="20"/>
          <w:highlight w:val="none"/>
        </w:rPr>
        <w:t>4</w:t>
      </w:r>
      <w:bookmarkStart w:id="1028" w:name="_Toc296346558"/>
      <w:bookmarkStart w:id="1029" w:name="_Toc337558757"/>
      <w:bookmarkStart w:id="1030" w:name="_Toc296503057"/>
      <w:r>
        <w:rPr>
          <w:rFonts w:ascii="Times New Roman" w:hAnsi="Times New Roman" w:eastAsia="黑体" w:cs="宋体"/>
          <w:b/>
          <w:color w:val="auto"/>
          <w:sz w:val="24"/>
          <w:szCs w:val="20"/>
          <w:highlight w:val="none"/>
        </w:rPr>
        <w:t>.4 商定或确定</w:t>
      </w:r>
      <w:bookmarkEnd w:id="1025"/>
      <w:bookmarkEnd w:id="1026"/>
      <w:bookmarkEnd w:id="1027"/>
    </w:p>
    <w:bookmarkEnd w:id="1028"/>
    <w:bookmarkEnd w:id="1029"/>
    <w:bookmarkEnd w:id="1030"/>
    <w:p w14:paraId="291E278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w:t>
      </w:r>
      <w:r>
        <w:rPr>
          <w:rFonts w:hint="eastAsia" w:ascii="Times New Roman" w:hAnsi="Times New Roman"/>
          <w:color w:val="auto"/>
          <w:szCs w:val="24"/>
          <w:highlight w:val="none"/>
        </w:rPr>
        <w:t>当事人</w:t>
      </w:r>
      <w:r>
        <w:rPr>
          <w:rFonts w:ascii="Times New Roman" w:hAnsi="Times New Roman"/>
          <w:color w:val="auto"/>
          <w:szCs w:val="24"/>
          <w:highlight w:val="none"/>
        </w:rPr>
        <w:t>进行</w:t>
      </w:r>
      <w:r>
        <w:rPr>
          <w:rFonts w:hint="eastAsia" w:ascii="Times New Roman" w:hAnsi="Times New Roman"/>
          <w:color w:val="auto"/>
          <w:szCs w:val="24"/>
          <w:highlight w:val="none"/>
        </w:rPr>
        <w:t>商定</w:t>
      </w:r>
      <w:r>
        <w:rPr>
          <w:rFonts w:ascii="Times New Roman" w:hAnsi="Times New Roman"/>
          <w:color w:val="auto"/>
          <w:szCs w:val="24"/>
          <w:highlight w:val="none"/>
        </w:rPr>
        <w:t>或确定时，总监理工程师应当会同合同当事人尽量通过协商达成一致，不能达成一致的，由总监理工程师按照合同约定审慎做出公正的确定。</w:t>
      </w:r>
    </w:p>
    <w:p w14:paraId="71B964E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约定处理。争议解决前，合同当事人暂按总监理工程师的确定执行；争议解决后，争议解决的结果与总监理工程师的确定不一致的，按照争议解决的结果执行，由此造成的损失由责任人承担。</w:t>
      </w:r>
    </w:p>
    <w:p w14:paraId="34DD80A6">
      <w:pPr>
        <w:keepNext/>
        <w:keepLines/>
        <w:spacing w:before="100" w:line="400" w:lineRule="exact"/>
        <w:outlineLvl w:val="1"/>
        <w:rPr>
          <w:rFonts w:ascii="Times New Roman" w:hAnsi="Times New Roman" w:eastAsia="黑体" w:cs="宋体"/>
          <w:b/>
          <w:color w:val="auto"/>
          <w:sz w:val="28"/>
          <w:szCs w:val="20"/>
          <w:highlight w:val="none"/>
        </w:rPr>
      </w:pPr>
      <w:bookmarkStart w:id="1031" w:name="_Toc28532161"/>
      <w:bookmarkStart w:id="1032" w:name="_Toc351203532"/>
      <w:bookmarkStart w:id="1033" w:name="_Toc23605"/>
      <w:r>
        <w:rPr>
          <w:rFonts w:ascii="Times New Roman" w:hAnsi="Times New Roman" w:eastAsia="黑体" w:cs="宋体"/>
          <w:b/>
          <w:color w:val="auto"/>
          <w:sz w:val="28"/>
          <w:szCs w:val="20"/>
          <w:highlight w:val="none"/>
        </w:rPr>
        <w:t>5</w:t>
      </w:r>
      <w:bookmarkStart w:id="1034" w:name="_Toc337558758"/>
      <w:r>
        <w:rPr>
          <w:rFonts w:ascii="Times New Roman" w:hAnsi="Times New Roman" w:eastAsia="黑体" w:cs="宋体"/>
          <w:b/>
          <w:color w:val="auto"/>
          <w:sz w:val="28"/>
          <w:szCs w:val="20"/>
          <w:highlight w:val="none"/>
        </w:rPr>
        <w:t>. 工程质量</w:t>
      </w:r>
      <w:bookmarkEnd w:id="1031"/>
      <w:bookmarkEnd w:id="1032"/>
      <w:bookmarkEnd w:id="1033"/>
    </w:p>
    <w:bookmarkEnd w:id="1034"/>
    <w:p w14:paraId="7F32903F">
      <w:pPr>
        <w:keepNext/>
        <w:keepLines/>
        <w:spacing w:line="400" w:lineRule="exact"/>
        <w:outlineLvl w:val="2"/>
        <w:rPr>
          <w:rFonts w:ascii="Times New Roman" w:hAnsi="Times New Roman" w:eastAsia="黑体" w:cs="宋体"/>
          <w:b/>
          <w:color w:val="auto"/>
          <w:sz w:val="24"/>
          <w:szCs w:val="20"/>
          <w:highlight w:val="none"/>
        </w:rPr>
      </w:pPr>
      <w:bookmarkStart w:id="1035" w:name="_Toc6103"/>
      <w:bookmarkStart w:id="1036" w:name="_Toc351203533"/>
      <w:bookmarkStart w:id="1037" w:name="_Toc28532162"/>
      <w:r>
        <w:rPr>
          <w:rFonts w:ascii="Times New Roman" w:hAnsi="Times New Roman" w:eastAsia="黑体" w:cs="宋体"/>
          <w:b/>
          <w:color w:val="auto"/>
          <w:sz w:val="24"/>
          <w:szCs w:val="20"/>
          <w:highlight w:val="none"/>
        </w:rPr>
        <w:t>5</w:t>
      </w:r>
      <w:bookmarkStart w:id="1038" w:name="_Toc337558759"/>
      <w:r>
        <w:rPr>
          <w:rFonts w:ascii="Times New Roman" w:hAnsi="Times New Roman" w:eastAsia="黑体" w:cs="宋体"/>
          <w:b/>
          <w:color w:val="auto"/>
          <w:sz w:val="24"/>
          <w:szCs w:val="20"/>
          <w:highlight w:val="none"/>
        </w:rPr>
        <w:t>.1质量要求</w:t>
      </w:r>
      <w:bookmarkEnd w:id="1035"/>
      <w:bookmarkEnd w:id="1036"/>
      <w:bookmarkEnd w:id="1037"/>
    </w:p>
    <w:bookmarkEnd w:id="1038"/>
    <w:p w14:paraId="0D0D80E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5.1.1 工程质量标准必须符合现行国家有关工程施工质量验收规范和标准的要求。有关工程质量的特殊标准或要求由合同当事人在专用合同条款中约定。</w:t>
      </w:r>
    </w:p>
    <w:p w14:paraId="6EA780C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5.1.2 因发包人原因造成工程质量未达到合同约定标准的，由发包人承担由此增加的费用和（或）延误的工期，并支付承包人合理的利润。</w:t>
      </w:r>
    </w:p>
    <w:p w14:paraId="05BCC38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5.1.3 因承包人原因造成工程质量未达到合同约定标准的，发包人有权要求承包人返工直至工程质量达到合同约定的标准为止，并由承包人承担由此增加的费用和（或）延误的工期。</w:t>
      </w:r>
    </w:p>
    <w:p w14:paraId="0A5585CB">
      <w:pPr>
        <w:keepNext/>
        <w:keepLines/>
        <w:spacing w:line="400" w:lineRule="exact"/>
        <w:outlineLvl w:val="2"/>
        <w:rPr>
          <w:rFonts w:ascii="Times New Roman" w:hAnsi="Times New Roman" w:eastAsia="黑体" w:cs="宋体"/>
          <w:b/>
          <w:color w:val="auto"/>
          <w:sz w:val="24"/>
          <w:szCs w:val="20"/>
          <w:highlight w:val="none"/>
        </w:rPr>
      </w:pPr>
      <w:bookmarkStart w:id="1039" w:name="_Toc28532163"/>
      <w:bookmarkStart w:id="1040" w:name="_Toc351203534"/>
      <w:bookmarkStart w:id="1041" w:name="_Toc32067"/>
      <w:r>
        <w:rPr>
          <w:rFonts w:ascii="Times New Roman" w:hAnsi="Times New Roman" w:eastAsia="黑体" w:cs="宋体"/>
          <w:b/>
          <w:color w:val="auto"/>
          <w:sz w:val="24"/>
          <w:szCs w:val="20"/>
          <w:highlight w:val="none"/>
        </w:rPr>
        <w:t>5</w:t>
      </w:r>
      <w:bookmarkStart w:id="1042" w:name="_Toc337558760"/>
      <w:r>
        <w:rPr>
          <w:rFonts w:ascii="Times New Roman" w:hAnsi="Times New Roman" w:eastAsia="黑体" w:cs="宋体"/>
          <w:b/>
          <w:color w:val="auto"/>
          <w:sz w:val="24"/>
          <w:szCs w:val="20"/>
          <w:highlight w:val="none"/>
        </w:rPr>
        <w:t>.2质量保证措施</w:t>
      </w:r>
      <w:bookmarkEnd w:id="1039"/>
      <w:bookmarkEnd w:id="1040"/>
      <w:bookmarkEnd w:id="1041"/>
    </w:p>
    <w:bookmarkEnd w:id="1042"/>
    <w:p w14:paraId="08D229E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5.2.1 发包人的质量管理</w:t>
      </w:r>
    </w:p>
    <w:p w14:paraId="15F3AC4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发包人应按照法律规定及合同约定完成与工程质量有关的各项工作。</w:t>
      </w:r>
    </w:p>
    <w:p w14:paraId="65A28F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5.2.2 承包人的质量管理</w:t>
      </w:r>
    </w:p>
    <w:p w14:paraId="4B9505B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承包人按照第7.1款</w:t>
      </w:r>
      <w:r>
        <w:rPr>
          <w:rFonts w:hint="eastAsia" w:ascii="Times New Roman" w:hAnsi="Times New Roman"/>
          <w:color w:val="auto"/>
          <w:szCs w:val="24"/>
          <w:highlight w:val="none"/>
        </w:rPr>
        <w:t>〔</w:t>
      </w:r>
      <w:r>
        <w:rPr>
          <w:rFonts w:ascii="Times New Roman" w:hAnsi="Times New Roman"/>
          <w:color w:val="auto"/>
          <w:szCs w:val="24"/>
          <w:highlight w:val="none"/>
        </w:rPr>
        <w:t>施工组织设计</w:t>
      </w:r>
      <w:r>
        <w:rPr>
          <w:rFonts w:hint="eastAsia" w:ascii="Times New Roman" w:hAnsi="Times New Roman"/>
          <w:color w:val="auto"/>
          <w:szCs w:val="24"/>
          <w:highlight w:val="none"/>
        </w:rPr>
        <w:t>〕</w:t>
      </w:r>
      <w:r>
        <w:rPr>
          <w:rFonts w:ascii="Times New Roman" w:hAnsi="Times New Roman"/>
          <w:color w:val="auto"/>
          <w:szCs w:val="24"/>
          <w:highlight w:val="none"/>
        </w:rPr>
        <w:t>约定向发包人和监理人提交工程质量保证体系及措施文件，建立完善的质量检查制度，并提交相应的工程质量文件。对于发包人和监理人违反法律规定和合同约定的错误指示，承包人有权拒绝实施。</w:t>
      </w:r>
    </w:p>
    <w:p w14:paraId="18FBF8B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承包人应对施工人员进行质量教育和技术培训，定期考核施工人员的劳动技能，严格执行施工规范和操作规程。</w:t>
      </w:r>
    </w:p>
    <w:p w14:paraId="7AE18EC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B8DFCB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5.2.3 监理人的质量检查和检验</w:t>
      </w:r>
    </w:p>
    <w:p w14:paraId="4FADF0F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753E094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6661425F">
      <w:pPr>
        <w:keepNext/>
        <w:keepLines/>
        <w:spacing w:line="400" w:lineRule="exact"/>
        <w:outlineLvl w:val="2"/>
        <w:rPr>
          <w:rFonts w:ascii="Times New Roman" w:hAnsi="Times New Roman" w:eastAsia="黑体" w:cs="宋体"/>
          <w:b/>
          <w:color w:val="auto"/>
          <w:sz w:val="24"/>
          <w:szCs w:val="20"/>
          <w:highlight w:val="none"/>
        </w:rPr>
      </w:pPr>
      <w:bookmarkStart w:id="1043" w:name="_Toc28532164"/>
      <w:bookmarkStart w:id="1044" w:name="_Toc351203535"/>
      <w:bookmarkStart w:id="1045" w:name="_Toc16822"/>
      <w:r>
        <w:rPr>
          <w:rFonts w:ascii="Times New Roman" w:hAnsi="Times New Roman" w:eastAsia="黑体" w:cs="宋体"/>
          <w:b/>
          <w:color w:val="auto"/>
          <w:sz w:val="24"/>
          <w:szCs w:val="20"/>
          <w:highlight w:val="none"/>
        </w:rPr>
        <w:t>5</w:t>
      </w:r>
      <w:bookmarkStart w:id="1046" w:name="_Toc337558761"/>
      <w:r>
        <w:rPr>
          <w:rFonts w:ascii="Times New Roman" w:hAnsi="Times New Roman" w:eastAsia="黑体" w:cs="宋体"/>
          <w:b/>
          <w:color w:val="auto"/>
          <w:sz w:val="24"/>
          <w:szCs w:val="20"/>
          <w:highlight w:val="none"/>
        </w:rPr>
        <w:t>.3 隐蔽工程检查</w:t>
      </w:r>
      <w:bookmarkEnd w:id="1043"/>
      <w:bookmarkEnd w:id="1044"/>
      <w:bookmarkEnd w:id="1045"/>
    </w:p>
    <w:bookmarkEnd w:id="1046"/>
    <w:p w14:paraId="25062D5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5.3.1承包人自检</w:t>
      </w:r>
    </w:p>
    <w:p w14:paraId="527574D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承包人应当对工程隐蔽部位进行自检，并经自检确认是否具备覆盖条件。</w:t>
      </w:r>
    </w:p>
    <w:p w14:paraId="1D5C6AF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5.3.2检查程序</w:t>
      </w:r>
    </w:p>
    <w:p w14:paraId="79FE436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除专用合同条款另有约定外，工程隐蔽部位经承包人自检确认具备覆盖条件的，承包人应在</w:t>
      </w:r>
      <w:r>
        <w:rPr>
          <w:rFonts w:hint="eastAsia" w:ascii="Times New Roman" w:hAnsi="Times New Roman"/>
          <w:color w:val="auto"/>
          <w:szCs w:val="24"/>
          <w:highlight w:val="none"/>
        </w:rPr>
        <w:t>共同</w:t>
      </w:r>
      <w:r>
        <w:rPr>
          <w:rFonts w:ascii="Times New Roman" w:hAnsi="Times New Roman"/>
          <w:color w:val="auto"/>
          <w:szCs w:val="24"/>
          <w:highlight w:val="none"/>
        </w:rPr>
        <w:t>检查前48小时书面通知监理人检查，通知中应载明隐蔽检查的内容、时间和地点，并应附有自检记录和必要的检查资料。</w:t>
      </w:r>
    </w:p>
    <w:p w14:paraId="09C0965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9CF753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color w:val="auto"/>
          <w:szCs w:val="24"/>
          <w:highlight w:val="none"/>
        </w:rPr>
        <w:t>〔</w:t>
      </w:r>
      <w:r>
        <w:rPr>
          <w:rFonts w:ascii="Times New Roman" w:hAnsi="Times New Roman"/>
          <w:color w:val="auto"/>
          <w:szCs w:val="24"/>
          <w:highlight w:val="none"/>
        </w:rPr>
        <w:t>重新检查</w:t>
      </w:r>
      <w:r>
        <w:rPr>
          <w:rFonts w:hint="eastAsia" w:ascii="Times New Roman" w:hAnsi="Times New Roman"/>
          <w:color w:val="auto"/>
          <w:szCs w:val="24"/>
          <w:highlight w:val="none"/>
        </w:rPr>
        <w:t>〕</w:t>
      </w:r>
      <w:r>
        <w:rPr>
          <w:rFonts w:ascii="Times New Roman" w:hAnsi="Times New Roman"/>
          <w:color w:val="auto"/>
          <w:szCs w:val="24"/>
          <w:highlight w:val="none"/>
        </w:rPr>
        <w:t>的约定重新检查。</w:t>
      </w:r>
    </w:p>
    <w:p w14:paraId="290C5C5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5.3.3 重新检查</w:t>
      </w:r>
    </w:p>
    <w:p w14:paraId="47D4862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17D0745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5.3.4 承包人私自覆盖</w:t>
      </w:r>
    </w:p>
    <w:p w14:paraId="0D09811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45FE4EF4">
      <w:pPr>
        <w:keepNext/>
        <w:keepLines/>
        <w:spacing w:line="400" w:lineRule="exact"/>
        <w:outlineLvl w:val="2"/>
        <w:rPr>
          <w:rFonts w:ascii="Times New Roman" w:hAnsi="Times New Roman" w:eastAsia="黑体" w:cs="宋体"/>
          <w:b/>
          <w:color w:val="auto"/>
          <w:sz w:val="24"/>
          <w:szCs w:val="20"/>
          <w:highlight w:val="none"/>
        </w:rPr>
      </w:pPr>
      <w:bookmarkStart w:id="1047" w:name="_Toc7470"/>
      <w:bookmarkStart w:id="1048" w:name="_Toc351203536"/>
      <w:bookmarkStart w:id="1049" w:name="_Toc28532165"/>
      <w:r>
        <w:rPr>
          <w:rFonts w:ascii="Times New Roman" w:hAnsi="Times New Roman" w:eastAsia="黑体" w:cs="宋体"/>
          <w:b/>
          <w:color w:val="auto"/>
          <w:sz w:val="24"/>
          <w:szCs w:val="20"/>
          <w:highlight w:val="none"/>
        </w:rPr>
        <w:t>5</w:t>
      </w:r>
      <w:bookmarkStart w:id="1050" w:name="_Toc337558762"/>
      <w:r>
        <w:rPr>
          <w:rFonts w:ascii="Times New Roman" w:hAnsi="Times New Roman" w:eastAsia="黑体" w:cs="宋体"/>
          <w:b/>
          <w:color w:val="auto"/>
          <w:sz w:val="24"/>
          <w:szCs w:val="20"/>
          <w:highlight w:val="none"/>
        </w:rPr>
        <w:t>.4不合格工程的处理</w:t>
      </w:r>
      <w:bookmarkEnd w:id="1047"/>
      <w:bookmarkEnd w:id="1048"/>
      <w:bookmarkEnd w:id="1049"/>
    </w:p>
    <w:bookmarkEnd w:id="1050"/>
    <w:p w14:paraId="4E67BC2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color w:val="auto"/>
          <w:szCs w:val="24"/>
          <w:highlight w:val="none"/>
        </w:rPr>
        <w:t>〔</w:t>
      </w:r>
      <w:r>
        <w:rPr>
          <w:rFonts w:ascii="Times New Roman" w:hAnsi="Times New Roman"/>
          <w:color w:val="auto"/>
          <w:szCs w:val="24"/>
          <w:highlight w:val="none"/>
        </w:rPr>
        <w:t>拒绝接收全部或部分工程</w:t>
      </w:r>
      <w:r>
        <w:rPr>
          <w:rFonts w:hint="eastAsia" w:ascii="Times New Roman" w:hAnsi="Times New Roman"/>
          <w:color w:val="auto"/>
          <w:szCs w:val="24"/>
          <w:highlight w:val="none"/>
        </w:rPr>
        <w:t>〕</w:t>
      </w:r>
      <w:r>
        <w:rPr>
          <w:rFonts w:ascii="Times New Roman" w:hAnsi="Times New Roman"/>
          <w:color w:val="auto"/>
          <w:szCs w:val="24"/>
          <w:highlight w:val="none"/>
        </w:rPr>
        <w:t xml:space="preserve">约定执行。 </w:t>
      </w:r>
    </w:p>
    <w:p w14:paraId="63A8721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5.4.2 因发包人原因造成工程不合格的，由此增加的费用和（或）延误的工期由发包人承担，并支付承包人合理的利润。</w:t>
      </w:r>
    </w:p>
    <w:p w14:paraId="694219B5">
      <w:pPr>
        <w:keepNext/>
        <w:keepLines/>
        <w:spacing w:line="400" w:lineRule="exact"/>
        <w:outlineLvl w:val="2"/>
        <w:rPr>
          <w:rFonts w:ascii="Times New Roman" w:hAnsi="Times New Roman" w:eastAsia="黑体" w:cs="宋体"/>
          <w:b/>
          <w:color w:val="auto"/>
          <w:sz w:val="24"/>
          <w:szCs w:val="20"/>
          <w:highlight w:val="none"/>
        </w:rPr>
      </w:pPr>
      <w:bookmarkStart w:id="1051" w:name="_Toc28532166"/>
      <w:bookmarkStart w:id="1052" w:name="_Toc351203537"/>
      <w:bookmarkStart w:id="1053" w:name="_Toc15235"/>
      <w:r>
        <w:rPr>
          <w:rFonts w:ascii="Times New Roman" w:hAnsi="Times New Roman" w:eastAsia="黑体" w:cs="宋体"/>
          <w:b/>
          <w:color w:val="auto"/>
          <w:sz w:val="24"/>
          <w:szCs w:val="20"/>
          <w:highlight w:val="none"/>
        </w:rPr>
        <w:t>5.5 质量争议检测</w:t>
      </w:r>
      <w:bookmarkEnd w:id="1051"/>
      <w:bookmarkEnd w:id="1052"/>
      <w:bookmarkEnd w:id="1053"/>
    </w:p>
    <w:p w14:paraId="021437A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合同当事人对工程质量有争议的，由双方协商确定的工程质量检测机构鉴定，由此产生的费用及因此造成的损失，由责任方承担。</w:t>
      </w:r>
    </w:p>
    <w:p w14:paraId="525855E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合同当事人均有责任的，由双方根据其责任分别承担。合同当事人无法达成一致的，按照第4.4款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45ABA88F">
      <w:pPr>
        <w:keepNext/>
        <w:keepLines/>
        <w:spacing w:before="100" w:line="400" w:lineRule="exact"/>
        <w:outlineLvl w:val="1"/>
        <w:rPr>
          <w:rFonts w:ascii="Times New Roman" w:hAnsi="Times New Roman" w:eastAsia="黑体" w:cs="宋体"/>
          <w:b/>
          <w:color w:val="auto"/>
          <w:sz w:val="28"/>
          <w:szCs w:val="20"/>
          <w:highlight w:val="none"/>
        </w:rPr>
      </w:pPr>
      <w:bookmarkStart w:id="1054" w:name="_Toc3261"/>
      <w:bookmarkStart w:id="1055" w:name="_Toc28532167"/>
      <w:bookmarkStart w:id="1056" w:name="_Toc351203538"/>
      <w:r>
        <w:rPr>
          <w:rFonts w:ascii="Times New Roman" w:hAnsi="Times New Roman" w:eastAsia="黑体" w:cs="宋体"/>
          <w:b/>
          <w:color w:val="auto"/>
          <w:sz w:val="28"/>
          <w:szCs w:val="20"/>
          <w:highlight w:val="none"/>
        </w:rPr>
        <w:t>6</w:t>
      </w:r>
      <w:bookmarkStart w:id="1057" w:name="_Toc337558763"/>
      <w:r>
        <w:rPr>
          <w:rFonts w:ascii="Times New Roman" w:hAnsi="Times New Roman" w:eastAsia="黑体" w:cs="宋体"/>
          <w:b/>
          <w:color w:val="auto"/>
          <w:sz w:val="28"/>
          <w:szCs w:val="20"/>
          <w:highlight w:val="none"/>
        </w:rPr>
        <w:t>. 安全文明施工与环境保护</w:t>
      </w:r>
      <w:bookmarkEnd w:id="1054"/>
      <w:bookmarkEnd w:id="1055"/>
      <w:bookmarkEnd w:id="1056"/>
    </w:p>
    <w:bookmarkEnd w:id="1057"/>
    <w:p w14:paraId="267F1297">
      <w:pPr>
        <w:keepNext/>
        <w:keepLines/>
        <w:spacing w:line="400" w:lineRule="exact"/>
        <w:outlineLvl w:val="2"/>
        <w:rPr>
          <w:rFonts w:ascii="Times New Roman" w:hAnsi="Times New Roman" w:eastAsia="黑体" w:cs="宋体"/>
          <w:b/>
          <w:color w:val="auto"/>
          <w:sz w:val="24"/>
          <w:szCs w:val="20"/>
          <w:highlight w:val="none"/>
        </w:rPr>
      </w:pPr>
      <w:bookmarkStart w:id="1058" w:name="_Toc6418"/>
      <w:bookmarkStart w:id="1059" w:name="_Toc351203539"/>
      <w:bookmarkStart w:id="1060" w:name="_Toc28532168"/>
      <w:r>
        <w:rPr>
          <w:rFonts w:ascii="Times New Roman" w:hAnsi="Times New Roman" w:eastAsia="黑体" w:cs="宋体"/>
          <w:b/>
          <w:color w:val="auto"/>
          <w:sz w:val="24"/>
          <w:szCs w:val="20"/>
          <w:highlight w:val="none"/>
        </w:rPr>
        <w:t>6</w:t>
      </w:r>
      <w:bookmarkStart w:id="1061" w:name="_Toc337558764"/>
      <w:r>
        <w:rPr>
          <w:rFonts w:ascii="Times New Roman" w:hAnsi="Times New Roman" w:eastAsia="黑体" w:cs="宋体"/>
          <w:b/>
          <w:color w:val="auto"/>
          <w:sz w:val="24"/>
          <w:szCs w:val="20"/>
          <w:highlight w:val="none"/>
        </w:rPr>
        <w:t>.1安全文明施工</w:t>
      </w:r>
      <w:bookmarkEnd w:id="1058"/>
      <w:bookmarkEnd w:id="1059"/>
      <w:bookmarkEnd w:id="1060"/>
    </w:p>
    <w:bookmarkEnd w:id="1061"/>
    <w:p w14:paraId="4AACF69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6.1.1安全生产要求</w:t>
      </w:r>
    </w:p>
    <w:p w14:paraId="7561AA9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9EDAE5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在施工过程中，如遇到突发的地质变动、事先未知的地下施工障碍等影响施工安全的紧急情况，</w:t>
      </w:r>
      <w:r>
        <w:rPr>
          <w:rFonts w:hint="eastAsia" w:ascii="Times New Roman" w:hAnsi="Times New Roman"/>
          <w:color w:val="auto"/>
          <w:szCs w:val="24"/>
          <w:highlight w:val="none"/>
        </w:rPr>
        <w:t>承包人应及时报告监理人和发包人，</w:t>
      </w:r>
      <w:r>
        <w:rPr>
          <w:rFonts w:ascii="Times New Roman" w:hAnsi="Times New Roman"/>
          <w:color w:val="auto"/>
          <w:szCs w:val="24"/>
          <w:highlight w:val="none"/>
        </w:rPr>
        <w:t>发包人应当及时下令停工并报政府有关行政管理部门采取应急措施。</w:t>
      </w:r>
    </w:p>
    <w:p w14:paraId="6047947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因安全生产需要暂停施工的，按照第7.8款</w:t>
      </w:r>
      <w:r>
        <w:rPr>
          <w:rFonts w:hint="eastAsia" w:ascii="Times New Roman" w:hAnsi="Times New Roman"/>
          <w:color w:val="auto"/>
          <w:szCs w:val="24"/>
          <w:highlight w:val="none"/>
        </w:rPr>
        <w:t>〔</w:t>
      </w:r>
      <w:r>
        <w:rPr>
          <w:rFonts w:ascii="Times New Roman" w:hAnsi="Times New Roman"/>
          <w:color w:val="auto"/>
          <w:szCs w:val="24"/>
          <w:highlight w:val="none"/>
        </w:rPr>
        <w:t>暂停施工</w:t>
      </w:r>
      <w:r>
        <w:rPr>
          <w:rFonts w:hint="eastAsia" w:ascii="Times New Roman" w:hAnsi="Times New Roman"/>
          <w:color w:val="auto"/>
          <w:szCs w:val="24"/>
          <w:highlight w:val="none"/>
        </w:rPr>
        <w:t>〕</w:t>
      </w:r>
      <w:r>
        <w:rPr>
          <w:rFonts w:ascii="Times New Roman" w:hAnsi="Times New Roman"/>
          <w:color w:val="auto"/>
          <w:szCs w:val="24"/>
          <w:highlight w:val="none"/>
        </w:rPr>
        <w:t>的约定执行。</w:t>
      </w:r>
    </w:p>
    <w:p w14:paraId="04B55D4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6.1.2 安全生产保证措施</w:t>
      </w:r>
    </w:p>
    <w:p w14:paraId="4BA5609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承包人应当按照有关规定编制安全技术措施或者专项施工方案，建立安全生产责任制度、治安保卫制度及安全生产教育培训制度，并按安全生产法律规定及合同约定履行安全职责，</w:t>
      </w:r>
      <w:r>
        <w:rPr>
          <w:rFonts w:hint="eastAsia" w:ascii="Times New Roman" w:hAnsi="Times New Roman"/>
          <w:color w:val="auto"/>
          <w:szCs w:val="24"/>
          <w:highlight w:val="none"/>
        </w:rPr>
        <w:t>如实</w:t>
      </w:r>
      <w:r>
        <w:rPr>
          <w:rFonts w:ascii="Times New Roman" w:hAnsi="Times New Roman"/>
          <w:color w:val="auto"/>
          <w:szCs w:val="24"/>
          <w:highlight w:val="none"/>
        </w:rPr>
        <w:t>编制工程安全生产的有关记录，接受发包人、监理人及政府安全监督部门的检查与监督。</w:t>
      </w:r>
    </w:p>
    <w:p w14:paraId="1AA3999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6.1.3特别安全生产事项</w:t>
      </w:r>
    </w:p>
    <w:p w14:paraId="7A7E381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6E01D63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5771975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157B79C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需单独编制危险性较大分部分项专项工程施工方案的，及要求进行专家论证的超过一定规模的危险性较大的分部分项工程，承包人应及时编制和组织论证。</w:t>
      </w:r>
    </w:p>
    <w:p w14:paraId="30EF108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6.1.4 治安保卫</w:t>
      </w:r>
    </w:p>
    <w:p w14:paraId="7ABBB22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除专用合同条款另有约定外，发包人应与当地公安部门协商，在现场建立治安管理机构或联防组织，统一管理施工场地的治安保卫事项，履行合同工程的治安保卫职责。</w:t>
      </w:r>
    </w:p>
    <w:p w14:paraId="32FA674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发包人和承包人除应协助现场治安管理机构或联防组织维护施工场地的社会治安外，还应做好包括生活区在内的各自管辖区的治安保卫工作。</w:t>
      </w:r>
    </w:p>
    <w:p w14:paraId="3F0B0BF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color w:val="auto"/>
          <w:szCs w:val="24"/>
          <w:highlight w:val="none"/>
        </w:rPr>
        <w:t>和</w:t>
      </w:r>
      <w:r>
        <w:rPr>
          <w:rFonts w:ascii="Times New Roman" w:hAnsi="Times New Roman"/>
          <w:color w:val="auto"/>
          <w:szCs w:val="24"/>
          <w:highlight w:val="none"/>
        </w:rPr>
        <w:t>财产损失。</w:t>
      </w:r>
    </w:p>
    <w:p w14:paraId="6DBB426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6.1.5 文明施工</w:t>
      </w:r>
    </w:p>
    <w:p w14:paraId="4FF5B9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承包人在工程施工期间，应当采取措施保持施工现场平整，物料堆放整齐。工程所在地有关政府行政管理部门有特殊要求的，按照其要求执行。</w:t>
      </w:r>
      <w:r>
        <w:rPr>
          <w:rFonts w:hint="eastAsia" w:ascii="Times New Roman" w:hAnsi="Times New Roman"/>
          <w:color w:val="auto"/>
          <w:szCs w:val="24"/>
          <w:highlight w:val="none"/>
        </w:rPr>
        <w:t>合同当事人对文明施工有其他要求的，可以在专用合同条款中明确。</w:t>
      </w:r>
    </w:p>
    <w:p w14:paraId="28333E7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657E0FC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6.1.6 安全文明施工费</w:t>
      </w:r>
    </w:p>
    <w:p w14:paraId="74C0FEA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安全文明施工费由发包人承担，发包人不得以任何形式扣减该部分费用。因基准日期后合同所适用的法律或政府有关规定发生变化，增加的安全文明施工费由发包人承担。</w:t>
      </w:r>
    </w:p>
    <w:p w14:paraId="54DB51A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2B859FD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color w:val="auto"/>
          <w:szCs w:val="24"/>
          <w:highlight w:val="none"/>
        </w:rPr>
        <w:t>〔</w:t>
      </w:r>
      <w:r>
        <w:rPr>
          <w:rFonts w:ascii="Times New Roman" w:hAnsi="Times New Roman"/>
          <w:color w:val="auto"/>
          <w:szCs w:val="24"/>
          <w:highlight w:val="none"/>
        </w:rPr>
        <w:t>发包人违约的情形</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21B3399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F71D72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6.1.7 紧急情况</w:t>
      </w:r>
      <w:r>
        <w:rPr>
          <w:rFonts w:hint="eastAsia" w:ascii="Times New Roman" w:hAnsi="Times New Roman"/>
          <w:color w:val="auto"/>
          <w:szCs w:val="24"/>
          <w:highlight w:val="none"/>
        </w:rPr>
        <w:t>处理</w:t>
      </w:r>
    </w:p>
    <w:p w14:paraId="117B5A8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19A68A7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6.1.8 事故处理</w:t>
      </w:r>
    </w:p>
    <w:p w14:paraId="6D87B2CE">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DDB5A7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6.1.9 安全生产责任</w:t>
      </w:r>
    </w:p>
    <w:p w14:paraId="7DAE76C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6.1.9.1 发包人的安全责任</w:t>
      </w:r>
    </w:p>
    <w:p w14:paraId="1B4A8E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发包人应负责赔偿以下各种情况造成</w:t>
      </w:r>
      <w:r>
        <w:rPr>
          <w:rFonts w:hint="eastAsia" w:ascii="Times New Roman" w:hAnsi="Times New Roman"/>
          <w:color w:val="auto"/>
          <w:szCs w:val="24"/>
          <w:highlight w:val="none"/>
        </w:rPr>
        <w:t>的</w:t>
      </w:r>
      <w:r>
        <w:rPr>
          <w:rFonts w:ascii="Times New Roman" w:hAnsi="Times New Roman"/>
          <w:color w:val="auto"/>
          <w:szCs w:val="24"/>
          <w:highlight w:val="none"/>
        </w:rPr>
        <w:t>损失：</w:t>
      </w:r>
    </w:p>
    <w:p w14:paraId="7588F5D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（1）工程或工程的任何部分对土地的占用所造成的第三者财产损失；</w:t>
      </w:r>
    </w:p>
    <w:p w14:paraId="5A20FDD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（2）由于发包人原因在施工场地及其毗邻地带造成的第三者人身伤亡和财产损失</w:t>
      </w:r>
      <w:r>
        <w:rPr>
          <w:rFonts w:hint="eastAsia" w:ascii="Times New Roman" w:hAnsi="Times New Roman"/>
          <w:color w:val="auto"/>
          <w:szCs w:val="24"/>
          <w:highlight w:val="none"/>
        </w:rPr>
        <w:t>；</w:t>
      </w:r>
    </w:p>
    <w:p w14:paraId="5BB0F6E1">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（3）由于发包人原因对承包人、监理人造成的人员人身伤亡和财产损失；</w:t>
      </w:r>
    </w:p>
    <w:p w14:paraId="70B154DC">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（4）由于发包人原因造成的发包人自身人员的人身伤害以及财产损失。</w:t>
      </w:r>
    </w:p>
    <w:p w14:paraId="59C951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6.1.9.2 承包人的安全责任</w:t>
      </w:r>
    </w:p>
    <w:p w14:paraId="2E422D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由于承包人原因在施工场地内及其毗邻地带造成的</w:t>
      </w:r>
      <w:r>
        <w:rPr>
          <w:rFonts w:hint="eastAsia" w:ascii="Times New Roman" w:hAnsi="Times New Roman"/>
          <w:color w:val="auto"/>
          <w:szCs w:val="24"/>
          <w:highlight w:val="none"/>
        </w:rPr>
        <w:t>发包人、监理人以及</w:t>
      </w:r>
      <w:r>
        <w:rPr>
          <w:rFonts w:ascii="Times New Roman" w:hAnsi="Times New Roman"/>
          <w:color w:val="auto"/>
          <w:szCs w:val="24"/>
          <w:highlight w:val="none"/>
        </w:rPr>
        <w:t>第三者人员伤亡和财产损失，由承包人负责赔偿。</w:t>
      </w:r>
    </w:p>
    <w:p w14:paraId="588708F6">
      <w:pPr>
        <w:keepNext/>
        <w:keepLines/>
        <w:spacing w:line="400" w:lineRule="exact"/>
        <w:outlineLvl w:val="2"/>
        <w:rPr>
          <w:rFonts w:ascii="Times New Roman" w:hAnsi="Times New Roman" w:eastAsia="黑体" w:cs="宋体"/>
          <w:b/>
          <w:color w:val="auto"/>
          <w:sz w:val="24"/>
          <w:szCs w:val="20"/>
          <w:highlight w:val="none"/>
        </w:rPr>
      </w:pPr>
      <w:bookmarkStart w:id="1062" w:name="_Toc351203540"/>
      <w:bookmarkStart w:id="1063" w:name="_Toc9720"/>
      <w:bookmarkStart w:id="1064" w:name="_Toc28532169"/>
      <w:r>
        <w:rPr>
          <w:rFonts w:ascii="Times New Roman" w:hAnsi="Times New Roman" w:eastAsia="黑体" w:cs="宋体"/>
          <w:b/>
          <w:color w:val="auto"/>
          <w:sz w:val="24"/>
          <w:szCs w:val="20"/>
          <w:highlight w:val="none"/>
        </w:rPr>
        <w:t>6</w:t>
      </w:r>
      <w:bookmarkStart w:id="1065" w:name="_Toc337558765"/>
      <w:r>
        <w:rPr>
          <w:rFonts w:ascii="Times New Roman" w:hAnsi="Times New Roman" w:eastAsia="黑体" w:cs="宋体"/>
          <w:b/>
          <w:color w:val="auto"/>
          <w:sz w:val="24"/>
          <w:szCs w:val="20"/>
          <w:highlight w:val="none"/>
        </w:rPr>
        <w:t>.2 职业健康</w:t>
      </w:r>
      <w:bookmarkEnd w:id="1062"/>
      <w:bookmarkEnd w:id="1063"/>
      <w:bookmarkEnd w:id="1064"/>
    </w:p>
    <w:bookmarkEnd w:id="1065"/>
    <w:p w14:paraId="39B39A8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6.2.1 劳动保护</w:t>
      </w:r>
    </w:p>
    <w:p w14:paraId="69F72E7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20396DF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5A87D48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w:t>
      </w:r>
      <w:r>
        <w:rPr>
          <w:rFonts w:hint="eastAsia" w:ascii="Times New Roman" w:hAnsi="Times New Roman"/>
          <w:color w:val="auto"/>
          <w:szCs w:val="24"/>
          <w:highlight w:val="none"/>
        </w:rPr>
        <w:t>法律</w:t>
      </w:r>
      <w:r>
        <w:rPr>
          <w:rFonts w:ascii="Times New Roman" w:hAnsi="Times New Roman"/>
          <w:color w:val="auto"/>
          <w:szCs w:val="24"/>
          <w:highlight w:val="none"/>
        </w:rPr>
        <w:t>规定安排工作时间，保证其雇佣人员享有休息和休假的权利。因工程施工的特殊需要占用休假日或延长工作时间的，应不超过法律规定的限度，并按法律规定给予补休或付酬。</w:t>
      </w:r>
    </w:p>
    <w:p w14:paraId="3BCF364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6.2.2 生活条件</w:t>
      </w:r>
    </w:p>
    <w:p w14:paraId="37F3D9E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1B039339">
      <w:pPr>
        <w:keepNext/>
        <w:keepLines/>
        <w:spacing w:line="400" w:lineRule="exact"/>
        <w:outlineLvl w:val="2"/>
        <w:rPr>
          <w:rFonts w:ascii="Times New Roman" w:hAnsi="Times New Roman" w:eastAsia="黑体" w:cs="宋体"/>
          <w:b/>
          <w:color w:val="auto"/>
          <w:sz w:val="24"/>
          <w:szCs w:val="20"/>
          <w:highlight w:val="none"/>
        </w:rPr>
      </w:pPr>
      <w:bookmarkStart w:id="1066" w:name="_Toc5062"/>
      <w:bookmarkStart w:id="1067" w:name="_Toc28532170"/>
      <w:bookmarkStart w:id="1068" w:name="_Toc351203541"/>
      <w:r>
        <w:rPr>
          <w:rFonts w:ascii="Times New Roman" w:hAnsi="Times New Roman" w:eastAsia="黑体" w:cs="宋体"/>
          <w:b/>
          <w:color w:val="auto"/>
          <w:sz w:val="24"/>
          <w:szCs w:val="20"/>
          <w:highlight w:val="none"/>
        </w:rPr>
        <w:t>6</w:t>
      </w:r>
      <w:bookmarkStart w:id="1069" w:name="_Toc337558766"/>
      <w:r>
        <w:rPr>
          <w:rFonts w:ascii="Times New Roman" w:hAnsi="Times New Roman" w:eastAsia="黑体" w:cs="宋体"/>
          <w:b/>
          <w:color w:val="auto"/>
          <w:sz w:val="24"/>
          <w:szCs w:val="20"/>
          <w:highlight w:val="none"/>
        </w:rPr>
        <w:t>.3 环境保护</w:t>
      </w:r>
      <w:bookmarkEnd w:id="1066"/>
      <w:bookmarkEnd w:id="1067"/>
      <w:bookmarkEnd w:id="1068"/>
    </w:p>
    <w:bookmarkEnd w:id="1069"/>
    <w:p w14:paraId="1839D02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4B0265E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承包人应当承担因其原因引起的环境污染侵权损害赔偿责任，因上述环境污染引起纠纷而导致暂停施工的，由此增加的费用和（或）延误的工期由承包人承担。</w:t>
      </w:r>
    </w:p>
    <w:p w14:paraId="0B9D7C3F">
      <w:pPr>
        <w:keepNext/>
        <w:keepLines/>
        <w:spacing w:before="100" w:line="400" w:lineRule="exact"/>
        <w:outlineLvl w:val="1"/>
        <w:rPr>
          <w:rFonts w:ascii="Times New Roman" w:hAnsi="Times New Roman" w:eastAsia="黑体" w:cs="宋体"/>
          <w:b/>
          <w:color w:val="auto"/>
          <w:sz w:val="28"/>
          <w:szCs w:val="20"/>
          <w:highlight w:val="none"/>
        </w:rPr>
      </w:pPr>
      <w:bookmarkStart w:id="1070" w:name="_Toc351203542"/>
      <w:bookmarkStart w:id="1071" w:name="_Toc20040"/>
      <w:bookmarkStart w:id="1072" w:name="_Toc28532171"/>
      <w:r>
        <w:rPr>
          <w:rFonts w:ascii="Times New Roman" w:hAnsi="Times New Roman" w:eastAsia="黑体" w:cs="宋体"/>
          <w:b/>
          <w:color w:val="auto"/>
          <w:sz w:val="28"/>
          <w:szCs w:val="20"/>
          <w:highlight w:val="none"/>
        </w:rPr>
        <w:t>7</w:t>
      </w:r>
      <w:bookmarkStart w:id="1073" w:name="_Toc337558767"/>
      <w:r>
        <w:rPr>
          <w:rFonts w:ascii="Times New Roman" w:hAnsi="Times New Roman" w:eastAsia="黑体" w:cs="宋体"/>
          <w:b/>
          <w:color w:val="auto"/>
          <w:sz w:val="28"/>
          <w:szCs w:val="20"/>
          <w:highlight w:val="none"/>
        </w:rPr>
        <w:t>. 工期和进度</w:t>
      </w:r>
      <w:bookmarkEnd w:id="1070"/>
      <w:bookmarkEnd w:id="1071"/>
      <w:bookmarkEnd w:id="1072"/>
    </w:p>
    <w:bookmarkEnd w:id="1073"/>
    <w:p w14:paraId="6FAB5BD6">
      <w:pPr>
        <w:keepNext/>
        <w:keepLines/>
        <w:spacing w:line="400" w:lineRule="exact"/>
        <w:outlineLvl w:val="2"/>
        <w:rPr>
          <w:rFonts w:ascii="Times New Roman" w:hAnsi="Times New Roman" w:eastAsia="黑体" w:cs="宋体"/>
          <w:b/>
          <w:color w:val="auto"/>
          <w:sz w:val="24"/>
          <w:szCs w:val="20"/>
          <w:highlight w:val="none"/>
        </w:rPr>
      </w:pPr>
      <w:bookmarkStart w:id="1074" w:name="_Toc3761"/>
      <w:bookmarkStart w:id="1075" w:name="_Toc28532172"/>
      <w:bookmarkStart w:id="1076" w:name="_Toc351203543"/>
      <w:r>
        <w:rPr>
          <w:rFonts w:ascii="Times New Roman" w:hAnsi="Times New Roman" w:eastAsia="黑体" w:cs="宋体"/>
          <w:b/>
          <w:color w:val="auto"/>
          <w:sz w:val="24"/>
          <w:szCs w:val="20"/>
          <w:highlight w:val="none"/>
        </w:rPr>
        <w:t>7</w:t>
      </w:r>
      <w:bookmarkStart w:id="1077" w:name="_Toc337558768"/>
      <w:bookmarkStart w:id="1078" w:name="_Toc296503066"/>
      <w:bookmarkStart w:id="1079" w:name="_Toc296346567"/>
      <w:r>
        <w:rPr>
          <w:rFonts w:ascii="Times New Roman" w:hAnsi="Times New Roman" w:eastAsia="黑体" w:cs="宋体"/>
          <w:b/>
          <w:color w:val="auto"/>
          <w:sz w:val="24"/>
          <w:szCs w:val="20"/>
          <w:highlight w:val="none"/>
        </w:rPr>
        <w:t>.1施工组织设计</w:t>
      </w:r>
      <w:bookmarkEnd w:id="1074"/>
      <w:bookmarkEnd w:id="1075"/>
      <w:bookmarkEnd w:id="1076"/>
    </w:p>
    <w:bookmarkEnd w:id="1077"/>
    <w:p w14:paraId="19F5B4D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7.1.1 施工组织设计的内容</w:t>
      </w:r>
    </w:p>
    <w:p w14:paraId="59BF382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施工组织设计应包含以下内容：</w:t>
      </w:r>
    </w:p>
    <w:p w14:paraId="5886BC0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（1）施工方案； </w:t>
      </w:r>
    </w:p>
    <w:p w14:paraId="5385CAC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（2）施工现场平面布置图；</w:t>
      </w:r>
    </w:p>
    <w:p w14:paraId="790327B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（3）施工进度计划和保证措施； </w:t>
      </w:r>
    </w:p>
    <w:p w14:paraId="2A0FA0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（4）劳动力及材料供应计划；</w:t>
      </w:r>
    </w:p>
    <w:p w14:paraId="09DE891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（5）施工机械设备的选用；</w:t>
      </w:r>
    </w:p>
    <w:p w14:paraId="1045604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（6）质量保证体系及措施；</w:t>
      </w:r>
    </w:p>
    <w:p w14:paraId="1AB85F1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（7）安全生产、文明施工措施；</w:t>
      </w:r>
    </w:p>
    <w:p w14:paraId="5525B7E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（8）环境保护、成本控制措施</w:t>
      </w:r>
      <w:r>
        <w:rPr>
          <w:rFonts w:hint="eastAsia" w:ascii="Times New Roman" w:hAnsi="Times New Roman"/>
          <w:color w:val="auto"/>
          <w:szCs w:val="24"/>
          <w:highlight w:val="none"/>
        </w:rPr>
        <w:t>；</w:t>
      </w:r>
    </w:p>
    <w:p w14:paraId="536FE838">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（9）合同当事人约定的其他内容</w:t>
      </w:r>
      <w:r>
        <w:rPr>
          <w:rFonts w:ascii="Times New Roman" w:hAnsi="Times New Roman"/>
          <w:color w:val="auto"/>
          <w:szCs w:val="24"/>
          <w:highlight w:val="none"/>
        </w:rPr>
        <w:t>。</w:t>
      </w:r>
    </w:p>
    <w:p w14:paraId="7868E83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7.1.2 施工组织设计的提交和修改</w:t>
      </w:r>
    </w:p>
    <w:p w14:paraId="1EA683A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除专用合同条款另有约定外，承包人应在合同签订后14天内，但至迟不得晚于第7.3.2项</w:t>
      </w:r>
      <w:r>
        <w:rPr>
          <w:rFonts w:hint="eastAsia" w:ascii="Times New Roman" w:hAnsi="Times New Roman"/>
          <w:color w:val="auto"/>
          <w:szCs w:val="24"/>
          <w:highlight w:val="none"/>
        </w:rPr>
        <w:t>〔</w:t>
      </w:r>
      <w:r>
        <w:rPr>
          <w:rFonts w:ascii="Times New Roman" w:hAnsi="Times New Roman"/>
          <w:color w:val="auto"/>
          <w:szCs w:val="24"/>
          <w:highlight w:val="none"/>
        </w:rPr>
        <w:t>开工通知</w:t>
      </w:r>
      <w:r>
        <w:rPr>
          <w:rFonts w:hint="eastAsia" w:ascii="Times New Roman" w:hAnsi="Times New Roman"/>
          <w:color w:val="auto"/>
          <w:szCs w:val="24"/>
          <w:highlight w:val="none"/>
        </w:rPr>
        <w:t>〕</w:t>
      </w:r>
      <w:r>
        <w:rPr>
          <w:rFonts w:ascii="Times New Roman" w:hAnsi="Times New Roman"/>
          <w:color w:val="auto"/>
          <w:szCs w:val="24"/>
          <w:highlight w:val="none"/>
        </w:rPr>
        <w:t>载明的开工日期前7天，向监理人提交详细的施工组织设计，并由监理人报送发包人。</w:t>
      </w:r>
      <w:r>
        <w:rPr>
          <w:rFonts w:hint="eastAsia" w:ascii="Times New Roman" w:hAnsi="Times New Roman"/>
          <w:color w:val="auto"/>
          <w:szCs w:val="24"/>
          <w:highlight w:val="none"/>
        </w:rPr>
        <w:t>除专用合同条款另有约定外，发包人和监理人应在监理人收到施工组织设计后7天内确认或提出修改意见</w:t>
      </w:r>
      <w:r>
        <w:rPr>
          <w:rFonts w:ascii="Times New Roman" w:hAnsi="Times New Roman"/>
          <w:color w:val="auto"/>
          <w:szCs w:val="24"/>
          <w:highlight w:val="none"/>
        </w:rPr>
        <w:t>。对发包人和监理人提出的合理意见和要求，承包人应自费修改完善。根据工程实际情况需要修改施工组织设计的，承包人应向发包人和监理人提交修改后的施工组织设计。</w:t>
      </w:r>
    </w:p>
    <w:p w14:paraId="39C5878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施工进度计划的编制和修改按照第7.2款</w:t>
      </w:r>
      <w:r>
        <w:rPr>
          <w:rFonts w:hint="eastAsia" w:ascii="Times New Roman" w:hAnsi="Times New Roman"/>
          <w:color w:val="auto"/>
          <w:szCs w:val="24"/>
          <w:highlight w:val="none"/>
        </w:rPr>
        <w:t>〔</w:t>
      </w:r>
      <w:r>
        <w:rPr>
          <w:rFonts w:ascii="Times New Roman" w:hAnsi="Times New Roman"/>
          <w:color w:val="auto"/>
          <w:szCs w:val="24"/>
          <w:highlight w:val="none"/>
        </w:rPr>
        <w:t>施工进度计划</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5E24672C">
      <w:pPr>
        <w:keepNext/>
        <w:keepLines/>
        <w:spacing w:line="400" w:lineRule="exact"/>
        <w:outlineLvl w:val="2"/>
        <w:rPr>
          <w:rFonts w:ascii="Times New Roman" w:hAnsi="Times New Roman" w:eastAsia="黑体" w:cs="宋体"/>
          <w:b/>
          <w:color w:val="auto"/>
          <w:sz w:val="24"/>
          <w:szCs w:val="20"/>
          <w:highlight w:val="none"/>
        </w:rPr>
      </w:pPr>
      <w:bookmarkStart w:id="1080" w:name="_Toc19098"/>
      <w:bookmarkStart w:id="1081" w:name="_Toc351203544"/>
      <w:bookmarkStart w:id="1082" w:name="_Toc28532173"/>
      <w:r>
        <w:rPr>
          <w:rFonts w:ascii="Times New Roman" w:hAnsi="Times New Roman" w:eastAsia="黑体" w:cs="宋体"/>
          <w:b/>
          <w:color w:val="auto"/>
          <w:sz w:val="24"/>
          <w:szCs w:val="20"/>
          <w:highlight w:val="none"/>
        </w:rPr>
        <w:t>7</w:t>
      </w:r>
      <w:bookmarkStart w:id="1083" w:name="_Toc337558769"/>
      <w:r>
        <w:rPr>
          <w:rFonts w:ascii="Times New Roman" w:hAnsi="Times New Roman" w:eastAsia="黑体" w:cs="宋体"/>
          <w:b/>
          <w:color w:val="auto"/>
          <w:sz w:val="24"/>
          <w:szCs w:val="20"/>
          <w:highlight w:val="none"/>
        </w:rPr>
        <w:t>.2 施工进度计划</w:t>
      </w:r>
      <w:bookmarkEnd w:id="1080"/>
      <w:bookmarkEnd w:id="1081"/>
      <w:bookmarkEnd w:id="1082"/>
    </w:p>
    <w:bookmarkEnd w:id="1083"/>
    <w:p w14:paraId="7B663EE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7.2.1 施工进度计划的编制</w:t>
      </w:r>
    </w:p>
    <w:p w14:paraId="45650E0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承包人应按照第7.1款</w:t>
      </w:r>
      <w:r>
        <w:rPr>
          <w:rFonts w:hint="eastAsia" w:ascii="Times New Roman" w:hAnsi="Times New Roman"/>
          <w:color w:val="auto"/>
          <w:szCs w:val="24"/>
          <w:highlight w:val="none"/>
        </w:rPr>
        <w:t>〔</w:t>
      </w:r>
      <w:r>
        <w:rPr>
          <w:rFonts w:ascii="Times New Roman" w:hAnsi="Times New Roman"/>
          <w:color w:val="auto"/>
          <w:szCs w:val="24"/>
          <w:highlight w:val="none"/>
        </w:rPr>
        <w:t>施工组织设计</w:t>
      </w:r>
      <w:r>
        <w:rPr>
          <w:rFonts w:hint="eastAsia" w:ascii="Times New Roman" w:hAnsi="Times New Roman"/>
          <w:color w:val="auto"/>
          <w:szCs w:val="24"/>
          <w:highlight w:val="none"/>
        </w:rPr>
        <w:t>〕</w:t>
      </w:r>
      <w:r>
        <w:rPr>
          <w:rFonts w:ascii="Times New Roman" w:hAnsi="Times New Roman"/>
          <w:color w:val="auto"/>
          <w:szCs w:val="24"/>
          <w:highlight w:val="none"/>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1E59A80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7.2.2 施工进度计划的修订</w:t>
      </w:r>
    </w:p>
    <w:p w14:paraId="1D357B2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583A429">
      <w:pPr>
        <w:keepNext/>
        <w:keepLines/>
        <w:spacing w:line="400" w:lineRule="exact"/>
        <w:outlineLvl w:val="2"/>
        <w:rPr>
          <w:rFonts w:ascii="Times New Roman" w:hAnsi="Times New Roman" w:eastAsia="黑体" w:cs="宋体"/>
          <w:b/>
          <w:color w:val="auto"/>
          <w:sz w:val="24"/>
          <w:szCs w:val="20"/>
          <w:highlight w:val="none"/>
        </w:rPr>
      </w:pPr>
      <w:bookmarkStart w:id="1084" w:name="_Toc28532174"/>
      <w:bookmarkStart w:id="1085" w:name="_Toc351203545"/>
      <w:bookmarkStart w:id="1086" w:name="_Toc30880"/>
      <w:r>
        <w:rPr>
          <w:rFonts w:ascii="Times New Roman" w:hAnsi="Times New Roman" w:eastAsia="黑体" w:cs="宋体"/>
          <w:b/>
          <w:color w:val="auto"/>
          <w:sz w:val="24"/>
          <w:szCs w:val="20"/>
          <w:highlight w:val="none"/>
        </w:rPr>
        <w:t>7</w:t>
      </w:r>
      <w:bookmarkStart w:id="1087" w:name="_Toc337558770"/>
      <w:r>
        <w:rPr>
          <w:rFonts w:ascii="Times New Roman" w:hAnsi="Times New Roman" w:eastAsia="黑体" w:cs="宋体"/>
          <w:b/>
          <w:color w:val="auto"/>
          <w:sz w:val="24"/>
          <w:szCs w:val="20"/>
          <w:highlight w:val="none"/>
        </w:rPr>
        <w:t>.3 开工</w:t>
      </w:r>
      <w:bookmarkEnd w:id="1084"/>
      <w:bookmarkEnd w:id="1085"/>
      <w:bookmarkEnd w:id="1086"/>
    </w:p>
    <w:p w14:paraId="4DB85F9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7.3.1 开工准备</w:t>
      </w:r>
    </w:p>
    <w:p w14:paraId="2AA1C2A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除专用合同条款另有约定外，承包人应按照第7.1款</w:t>
      </w:r>
      <w:r>
        <w:rPr>
          <w:rFonts w:hint="eastAsia" w:ascii="Times New Roman" w:hAnsi="Times New Roman"/>
          <w:color w:val="auto"/>
          <w:szCs w:val="24"/>
          <w:highlight w:val="none"/>
        </w:rPr>
        <w:t>〔</w:t>
      </w:r>
      <w:r>
        <w:rPr>
          <w:rFonts w:ascii="Times New Roman" w:hAnsi="Times New Roman"/>
          <w:color w:val="auto"/>
          <w:szCs w:val="24"/>
          <w:highlight w:val="none"/>
        </w:rPr>
        <w:t>施工组织设计</w:t>
      </w:r>
      <w:r>
        <w:rPr>
          <w:rFonts w:hint="eastAsia" w:ascii="Times New Roman" w:hAnsi="Times New Roman"/>
          <w:color w:val="auto"/>
          <w:szCs w:val="24"/>
          <w:highlight w:val="none"/>
        </w:rPr>
        <w:t>〕</w:t>
      </w:r>
      <w:r>
        <w:rPr>
          <w:rFonts w:ascii="Times New Roman" w:hAnsi="Times New Roman"/>
          <w:color w:val="auto"/>
          <w:szCs w:val="24"/>
          <w:highlight w:val="none"/>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4537A07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除专用合同条款另有约定外，合同当事人应按约定完成开工准备工作。</w:t>
      </w:r>
    </w:p>
    <w:p w14:paraId="669CBA1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7.3.2 开工通知</w:t>
      </w:r>
    </w:p>
    <w:bookmarkEnd w:id="1087"/>
    <w:p w14:paraId="6A09CF0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7A56859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5E734FAD">
      <w:pPr>
        <w:keepNext/>
        <w:keepLines/>
        <w:spacing w:line="400" w:lineRule="exact"/>
        <w:outlineLvl w:val="2"/>
        <w:rPr>
          <w:rFonts w:ascii="Times New Roman" w:hAnsi="Times New Roman" w:eastAsia="黑体" w:cs="宋体"/>
          <w:b/>
          <w:color w:val="auto"/>
          <w:sz w:val="24"/>
          <w:szCs w:val="20"/>
          <w:highlight w:val="none"/>
        </w:rPr>
      </w:pPr>
      <w:bookmarkStart w:id="1088" w:name="_Toc28532175"/>
      <w:bookmarkStart w:id="1089" w:name="_Toc351203546"/>
      <w:bookmarkStart w:id="1090" w:name="_Toc32183"/>
      <w:r>
        <w:rPr>
          <w:rFonts w:ascii="Times New Roman" w:hAnsi="Times New Roman" w:eastAsia="黑体" w:cs="宋体"/>
          <w:b/>
          <w:color w:val="auto"/>
          <w:sz w:val="24"/>
          <w:szCs w:val="20"/>
          <w:highlight w:val="none"/>
        </w:rPr>
        <w:t>7.4测量放线</w:t>
      </w:r>
      <w:bookmarkEnd w:id="1088"/>
      <w:bookmarkEnd w:id="1089"/>
      <w:bookmarkEnd w:id="1090"/>
    </w:p>
    <w:p w14:paraId="4F92FF7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7.4.1 除专用合同条款另有约定外，发包人应在至迟不得晚于第7.3.2项</w:t>
      </w:r>
      <w:r>
        <w:rPr>
          <w:rFonts w:hint="eastAsia" w:ascii="Times New Roman" w:hAnsi="Times New Roman"/>
          <w:color w:val="auto"/>
          <w:szCs w:val="24"/>
          <w:highlight w:val="none"/>
        </w:rPr>
        <w:t>〔</w:t>
      </w:r>
      <w:r>
        <w:rPr>
          <w:rFonts w:ascii="Times New Roman" w:hAnsi="Times New Roman"/>
          <w:color w:val="auto"/>
          <w:szCs w:val="24"/>
          <w:highlight w:val="none"/>
        </w:rPr>
        <w:t>开工通知</w:t>
      </w:r>
      <w:r>
        <w:rPr>
          <w:rFonts w:hint="eastAsia" w:ascii="Times New Roman" w:hAnsi="Times New Roman"/>
          <w:color w:val="auto"/>
          <w:szCs w:val="24"/>
          <w:highlight w:val="none"/>
        </w:rPr>
        <w:t>〕</w:t>
      </w:r>
      <w:r>
        <w:rPr>
          <w:rFonts w:ascii="Times New Roman" w:hAnsi="Times New Roman"/>
          <w:color w:val="auto"/>
          <w:szCs w:val="24"/>
          <w:highlight w:val="none"/>
        </w:rPr>
        <w:t>载明的开工日期前7天通过监理人向承包人提供测量基准点、基准线和水准点及其书面资料。发包人应对其提供的测量基准点、基准线和水准点及其书面资料的真实性、准确性和完整性负责。</w:t>
      </w:r>
    </w:p>
    <w:p w14:paraId="00BFF46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DF6479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76F35D0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施工过程中对施工现场内水准点等测量标志物的保护工作由承包人负责。</w:t>
      </w:r>
      <w:bookmarkStart w:id="1091" w:name="_Toc351203547"/>
    </w:p>
    <w:p w14:paraId="2FAA99DB">
      <w:pPr>
        <w:keepNext/>
        <w:keepLines/>
        <w:spacing w:line="400" w:lineRule="exact"/>
        <w:outlineLvl w:val="2"/>
        <w:rPr>
          <w:rFonts w:ascii="Times New Roman" w:hAnsi="Times New Roman" w:eastAsia="黑体" w:cs="宋体"/>
          <w:b/>
          <w:color w:val="auto"/>
          <w:sz w:val="24"/>
          <w:szCs w:val="20"/>
          <w:highlight w:val="none"/>
        </w:rPr>
      </w:pPr>
      <w:bookmarkStart w:id="1092" w:name="_Toc25512"/>
      <w:bookmarkStart w:id="1093" w:name="_Toc28532176"/>
      <w:r>
        <w:rPr>
          <w:rFonts w:ascii="Times New Roman" w:hAnsi="Times New Roman" w:eastAsia="黑体" w:cs="宋体"/>
          <w:b/>
          <w:color w:val="auto"/>
          <w:sz w:val="24"/>
          <w:szCs w:val="20"/>
          <w:highlight w:val="none"/>
        </w:rPr>
        <w:t>7</w:t>
      </w:r>
      <w:bookmarkEnd w:id="1078"/>
      <w:bookmarkEnd w:id="1079"/>
      <w:bookmarkStart w:id="1094" w:name="_Toc296346574"/>
      <w:bookmarkStart w:id="1095" w:name="_Toc296503073"/>
      <w:bookmarkStart w:id="1096" w:name="_Toc337558772"/>
      <w:r>
        <w:rPr>
          <w:rFonts w:ascii="Times New Roman" w:hAnsi="Times New Roman" w:eastAsia="黑体" w:cs="宋体"/>
          <w:b/>
          <w:color w:val="auto"/>
          <w:sz w:val="24"/>
          <w:szCs w:val="20"/>
          <w:highlight w:val="none"/>
        </w:rPr>
        <w:t>.5</w:t>
      </w:r>
      <w:r>
        <w:rPr>
          <w:rFonts w:hint="eastAsia" w:ascii="Times New Roman" w:hAnsi="Times New Roman" w:eastAsia="黑体" w:cs="宋体"/>
          <w:b/>
          <w:color w:val="auto"/>
          <w:sz w:val="24"/>
          <w:szCs w:val="20"/>
          <w:highlight w:val="none"/>
        </w:rPr>
        <w:t xml:space="preserve"> </w:t>
      </w:r>
      <w:r>
        <w:rPr>
          <w:rFonts w:ascii="Times New Roman" w:hAnsi="Times New Roman" w:eastAsia="黑体" w:cs="宋体"/>
          <w:b/>
          <w:color w:val="auto"/>
          <w:sz w:val="24"/>
          <w:szCs w:val="20"/>
          <w:highlight w:val="none"/>
        </w:rPr>
        <w:t>工期延误</w:t>
      </w:r>
      <w:bookmarkEnd w:id="1091"/>
      <w:bookmarkEnd w:id="1092"/>
      <w:bookmarkEnd w:id="1093"/>
    </w:p>
    <w:bookmarkEnd w:id="1094"/>
    <w:bookmarkEnd w:id="1095"/>
    <w:bookmarkEnd w:id="1096"/>
    <w:p w14:paraId="1C931D5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7.5.1 因发包人原因导致工期延误</w:t>
      </w:r>
    </w:p>
    <w:p w14:paraId="3DD557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在合同履行过程中，因下列情况导致工期延误和（或）费用增加的，由发包人承担由此延误的工期和（或）增加的费用，且发包人应支付承包人合理的利润： </w:t>
      </w:r>
    </w:p>
    <w:p w14:paraId="6EE70D8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（1）发包人未能按合同约定提供图纸或所提供图纸不符合合同约定的；</w:t>
      </w:r>
    </w:p>
    <w:p w14:paraId="29E711A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（2）发包人未能按合同约定提供施工现场、施工条件、基础资料、许可、批准等开工条件的；</w:t>
      </w:r>
    </w:p>
    <w:p w14:paraId="3CC6273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（3）发包人提供的测量基准点、基准线和水准点及其书面资料存在错误或疏漏的；</w:t>
      </w:r>
    </w:p>
    <w:p w14:paraId="1A1787C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（4）发包人未能在计划开工日期之日起7天内同意下达开工通知的；</w:t>
      </w:r>
    </w:p>
    <w:p w14:paraId="2A86A46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（5）发包人未能按合同约定日期支付工程预付款、进度款或竣工结算款的；</w:t>
      </w:r>
    </w:p>
    <w:p w14:paraId="692F1BE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（6）监理人未按合同约定发出指示、批准等文件的；</w:t>
      </w:r>
    </w:p>
    <w:p w14:paraId="6AA2A43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（7）专用合同条款中约定的其他情形。</w:t>
      </w:r>
    </w:p>
    <w:p w14:paraId="1921A63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color w:val="auto"/>
          <w:szCs w:val="24"/>
          <w:highlight w:val="none"/>
        </w:rPr>
        <w:t>〔</w:t>
      </w:r>
      <w:r>
        <w:rPr>
          <w:rFonts w:ascii="Times New Roman" w:hAnsi="Times New Roman"/>
          <w:color w:val="auto"/>
          <w:szCs w:val="24"/>
          <w:highlight w:val="none"/>
        </w:rPr>
        <w:t>施工进度计划的修订</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6006744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7.5.2 因承包人原因导致工期延误</w:t>
      </w:r>
    </w:p>
    <w:p w14:paraId="28DDCD44">
      <w:pPr>
        <w:spacing w:line="400" w:lineRule="exact"/>
        <w:ind w:firstLine="420" w:firstLineChars="200"/>
        <w:rPr>
          <w:rFonts w:ascii="Times New Roman" w:hAnsi="Times New Roman"/>
          <w:color w:val="auto"/>
          <w:szCs w:val="24"/>
          <w:highlight w:val="none"/>
        </w:rPr>
      </w:pPr>
      <w:bookmarkStart w:id="1097" w:name="_Toc296503076"/>
      <w:bookmarkStart w:id="1098" w:name="_Toc296346577"/>
      <w:r>
        <w:rPr>
          <w:rFonts w:ascii="Times New Roman" w:hAnsi="Times New Roman"/>
          <w:color w:val="auto"/>
          <w:szCs w:val="24"/>
          <w:highlight w:val="none"/>
        </w:rPr>
        <w:t>因</w:t>
      </w:r>
      <w:bookmarkEnd w:id="1097"/>
      <w:bookmarkEnd w:id="1098"/>
      <w:r>
        <w:rPr>
          <w:rFonts w:ascii="Times New Roman" w:hAnsi="Times New Roman"/>
          <w:color w:val="auto"/>
          <w:szCs w:val="24"/>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07E20ED3">
      <w:pPr>
        <w:keepNext/>
        <w:keepLines/>
        <w:spacing w:line="400" w:lineRule="exact"/>
        <w:outlineLvl w:val="2"/>
        <w:rPr>
          <w:rFonts w:ascii="Times New Roman" w:hAnsi="Times New Roman" w:eastAsia="黑体" w:cs="宋体"/>
          <w:b/>
          <w:color w:val="auto"/>
          <w:sz w:val="24"/>
          <w:szCs w:val="20"/>
          <w:highlight w:val="none"/>
        </w:rPr>
      </w:pPr>
      <w:bookmarkStart w:id="1099" w:name="_Toc10791"/>
      <w:bookmarkStart w:id="1100" w:name="_Toc351203548"/>
      <w:bookmarkStart w:id="1101" w:name="_Toc28532177"/>
      <w:r>
        <w:rPr>
          <w:rFonts w:ascii="Times New Roman" w:hAnsi="Times New Roman" w:eastAsia="黑体" w:cs="宋体"/>
          <w:b/>
          <w:color w:val="auto"/>
          <w:sz w:val="24"/>
          <w:szCs w:val="20"/>
          <w:highlight w:val="none"/>
        </w:rPr>
        <w:t>7</w:t>
      </w:r>
      <w:bookmarkStart w:id="1102" w:name="_Toc296503074"/>
      <w:bookmarkStart w:id="1103" w:name="_Toc296346575"/>
      <w:bookmarkStart w:id="1104" w:name="_Toc337558773"/>
      <w:bookmarkStart w:id="1105" w:name="_Toc296503077"/>
      <w:bookmarkStart w:id="1106" w:name="_Toc296346578"/>
      <w:r>
        <w:rPr>
          <w:rFonts w:ascii="Times New Roman" w:hAnsi="Times New Roman" w:eastAsia="黑体" w:cs="宋体"/>
          <w:b/>
          <w:color w:val="auto"/>
          <w:sz w:val="24"/>
          <w:szCs w:val="20"/>
          <w:highlight w:val="none"/>
        </w:rPr>
        <w:t>.6 不利物质条件</w:t>
      </w:r>
      <w:bookmarkEnd w:id="1099"/>
      <w:bookmarkEnd w:id="1100"/>
      <w:bookmarkEnd w:id="1101"/>
    </w:p>
    <w:bookmarkEnd w:id="1102"/>
    <w:bookmarkEnd w:id="1103"/>
    <w:bookmarkEnd w:id="1104"/>
    <w:p w14:paraId="26513B3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1C079F6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color w:val="auto"/>
          <w:szCs w:val="24"/>
          <w:highlight w:val="none"/>
        </w:rPr>
        <w:t>〔</w:t>
      </w:r>
      <w:r>
        <w:rPr>
          <w:rFonts w:ascii="Times New Roman" w:hAnsi="Times New Roman"/>
          <w:color w:val="auto"/>
          <w:szCs w:val="24"/>
          <w:highlight w:val="none"/>
        </w:rPr>
        <w:t>变更</w:t>
      </w:r>
      <w:r>
        <w:rPr>
          <w:rFonts w:hint="eastAsia" w:ascii="Times New Roman" w:hAnsi="Times New Roman"/>
          <w:color w:val="auto"/>
          <w:szCs w:val="24"/>
          <w:highlight w:val="none"/>
        </w:rPr>
        <w:t>〕</w:t>
      </w:r>
      <w:r>
        <w:rPr>
          <w:rFonts w:ascii="Times New Roman" w:hAnsi="Times New Roman"/>
          <w:color w:val="auto"/>
          <w:szCs w:val="24"/>
          <w:highlight w:val="none"/>
        </w:rPr>
        <w:t>约定执行。承包人因采取合理措施而增加的费用和（或）延误的工期由发包人承担。</w:t>
      </w:r>
    </w:p>
    <w:p w14:paraId="70BA18EF">
      <w:pPr>
        <w:keepNext/>
        <w:keepLines/>
        <w:spacing w:line="400" w:lineRule="exact"/>
        <w:outlineLvl w:val="2"/>
        <w:rPr>
          <w:rFonts w:ascii="Times New Roman" w:hAnsi="Times New Roman" w:eastAsia="黑体" w:cs="宋体"/>
          <w:b/>
          <w:color w:val="auto"/>
          <w:sz w:val="24"/>
          <w:szCs w:val="20"/>
          <w:highlight w:val="none"/>
        </w:rPr>
      </w:pPr>
      <w:bookmarkStart w:id="1107" w:name="_Toc351203549"/>
      <w:bookmarkStart w:id="1108" w:name="_Toc28532178"/>
      <w:bookmarkStart w:id="1109" w:name="_Toc9704"/>
      <w:r>
        <w:rPr>
          <w:rFonts w:ascii="Times New Roman" w:hAnsi="Times New Roman" w:eastAsia="黑体" w:cs="宋体"/>
          <w:b/>
          <w:color w:val="auto"/>
          <w:sz w:val="24"/>
          <w:szCs w:val="20"/>
          <w:highlight w:val="none"/>
        </w:rPr>
        <w:t>7</w:t>
      </w:r>
      <w:bookmarkStart w:id="1110" w:name="_Toc296503075"/>
      <w:bookmarkStart w:id="1111" w:name="_Toc296346576"/>
      <w:bookmarkStart w:id="1112" w:name="_Toc337558774"/>
      <w:r>
        <w:rPr>
          <w:rFonts w:ascii="Times New Roman" w:hAnsi="Times New Roman" w:eastAsia="黑体" w:cs="宋体"/>
          <w:b/>
          <w:color w:val="auto"/>
          <w:sz w:val="24"/>
          <w:szCs w:val="20"/>
          <w:highlight w:val="none"/>
        </w:rPr>
        <w:t>.7</w:t>
      </w:r>
      <w:r>
        <w:rPr>
          <w:rFonts w:hint="eastAsia" w:ascii="Times New Roman" w:hAnsi="Times New Roman" w:eastAsia="黑体" w:cs="宋体"/>
          <w:b/>
          <w:color w:val="auto"/>
          <w:sz w:val="24"/>
          <w:szCs w:val="20"/>
          <w:highlight w:val="none"/>
        </w:rPr>
        <w:t xml:space="preserve"> </w:t>
      </w:r>
      <w:r>
        <w:rPr>
          <w:rFonts w:ascii="Times New Roman" w:hAnsi="Times New Roman" w:eastAsia="黑体" w:cs="宋体"/>
          <w:b/>
          <w:color w:val="auto"/>
          <w:sz w:val="24"/>
          <w:szCs w:val="20"/>
          <w:highlight w:val="none"/>
        </w:rPr>
        <w:t>异常恶劣的气候条件</w:t>
      </w:r>
      <w:bookmarkEnd w:id="1107"/>
      <w:bookmarkEnd w:id="1108"/>
      <w:bookmarkEnd w:id="1109"/>
    </w:p>
    <w:bookmarkEnd w:id="1110"/>
    <w:bookmarkEnd w:id="1111"/>
    <w:bookmarkEnd w:id="1112"/>
    <w:p w14:paraId="227686B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0AFCE70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color w:val="auto"/>
          <w:szCs w:val="24"/>
          <w:highlight w:val="none"/>
        </w:rPr>
        <w:t>〔</w:t>
      </w:r>
      <w:r>
        <w:rPr>
          <w:rFonts w:ascii="Times New Roman" w:hAnsi="Times New Roman"/>
          <w:color w:val="auto"/>
          <w:szCs w:val="24"/>
          <w:highlight w:val="none"/>
        </w:rPr>
        <w:t>变更</w:t>
      </w:r>
      <w:r>
        <w:rPr>
          <w:rFonts w:hint="eastAsia" w:ascii="Times New Roman" w:hAnsi="Times New Roman"/>
          <w:color w:val="auto"/>
          <w:szCs w:val="24"/>
          <w:highlight w:val="none"/>
        </w:rPr>
        <w:t>〕</w:t>
      </w:r>
      <w:r>
        <w:rPr>
          <w:rFonts w:ascii="Times New Roman" w:hAnsi="Times New Roman"/>
          <w:color w:val="auto"/>
          <w:szCs w:val="24"/>
          <w:highlight w:val="none"/>
        </w:rPr>
        <w:t>约定办理。承包人因采取合理措施而增加的费用和（或）延误的工期由发包人承担。</w:t>
      </w:r>
      <w:bookmarkStart w:id="1113" w:name="_Toc351203550"/>
    </w:p>
    <w:p w14:paraId="705D512E">
      <w:pPr>
        <w:keepNext/>
        <w:keepLines/>
        <w:spacing w:line="400" w:lineRule="exact"/>
        <w:outlineLvl w:val="2"/>
        <w:rPr>
          <w:rFonts w:ascii="Times New Roman" w:hAnsi="Times New Roman" w:eastAsia="黑体" w:cs="宋体"/>
          <w:b/>
          <w:color w:val="auto"/>
          <w:sz w:val="24"/>
          <w:szCs w:val="20"/>
          <w:highlight w:val="none"/>
        </w:rPr>
      </w:pPr>
      <w:bookmarkStart w:id="1114" w:name="_Toc28532179"/>
      <w:bookmarkStart w:id="1115" w:name="_Toc23638"/>
      <w:r>
        <w:rPr>
          <w:rFonts w:ascii="Times New Roman" w:hAnsi="Times New Roman" w:eastAsia="黑体" w:cs="宋体"/>
          <w:b/>
          <w:color w:val="auto"/>
          <w:sz w:val="24"/>
          <w:szCs w:val="20"/>
          <w:highlight w:val="none"/>
        </w:rPr>
        <w:t>7</w:t>
      </w:r>
      <w:bookmarkStart w:id="1116" w:name="_Toc337558775"/>
      <w:r>
        <w:rPr>
          <w:rFonts w:ascii="Times New Roman" w:hAnsi="Times New Roman" w:eastAsia="黑体" w:cs="宋体"/>
          <w:b/>
          <w:color w:val="auto"/>
          <w:sz w:val="24"/>
          <w:szCs w:val="20"/>
          <w:highlight w:val="none"/>
        </w:rPr>
        <w:t>.8</w:t>
      </w:r>
      <w:r>
        <w:rPr>
          <w:rFonts w:hint="eastAsia" w:ascii="Times New Roman" w:hAnsi="Times New Roman" w:eastAsia="黑体" w:cs="宋体"/>
          <w:b/>
          <w:color w:val="auto"/>
          <w:sz w:val="24"/>
          <w:szCs w:val="20"/>
          <w:highlight w:val="none"/>
        </w:rPr>
        <w:t xml:space="preserve"> </w:t>
      </w:r>
      <w:r>
        <w:rPr>
          <w:rFonts w:ascii="Times New Roman" w:hAnsi="Times New Roman" w:eastAsia="黑体" w:cs="宋体"/>
          <w:b/>
          <w:color w:val="auto"/>
          <w:sz w:val="24"/>
          <w:szCs w:val="20"/>
          <w:highlight w:val="none"/>
        </w:rPr>
        <w:t>暂停施工</w:t>
      </w:r>
      <w:bookmarkEnd w:id="1113"/>
      <w:bookmarkEnd w:id="1114"/>
      <w:bookmarkEnd w:id="1115"/>
    </w:p>
    <w:bookmarkEnd w:id="1105"/>
    <w:bookmarkEnd w:id="1106"/>
    <w:bookmarkEnd w:id="1116"/>
    <w:p w14:paraId="5B6C912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7.8.1发包人原因引起的暂停施工</w:t>
      </w:r>
    </w:p>
    <w:p w14:paraId="250CF8A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因发包人原因引起暂停施工的，监理人经发包人同意后，应及时下达暂停施工指示。情况紧急且监理人未及时下达暂停施工指示的，按照第7.8.4项</w:t>
      </w:r>
      <w:r>
        <w:rPr>
          <w:rFonts w:hint="eastAsia" w:ascii="Times New Roman" w:hAnsi="Times New Roman"/>
          <w:color w:val="auto"/>
          <w:szCs w:val="24"/>
          <w:highlight w:val="none"/>
        </w:rPr>
        <w:t>〔</w:t>
      </w:r>
      <w:r>
        <w:rPr>
          <w:rFonts w:ascii="Times New Roman" w:hAnsi="Times New Roman"/>
          <w:color w:val="auto"/>
          <w:szCs w:val="24"/>
          <w:highlight w:val="none"/>
        </w:rPr>
        <w:t>紧急情况下的暂停施工</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380B7A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因发包人原因引起的暂停施工，发包人应承担由此增加的费用和（或）延误的工期，并支付承包人合理的利润。</w:t>
      </w:r>
    </w:p>
    <w:p w14:paraId="402AD12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7.8.2 承包人原因引起的暂停施工</w:t>
      </w:r>
    </w:p>
    <w:p w14:paraId="48613BD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因承包人原因引起的暂停施工，承包人应承担由此增加的费用和（或）延误的工期，且承包人在收到监理人复工指示后</w:t>
      </w:r>
      <w:r>
        <w:rPr>
          <w:rFonts w:hint="eastAsia" w:ascii="Times New Roman" w:hAnsi="Times New Roman"/>
          <w:color w:val="auto"/>
          <w:szCs w:val="24"/>
          <w:highlight w:val="none"/>
        </w:rPr>
        <w:t>84</w:t>
      </w:r>
      <w:r>
        <w:rPr>
          <w:rFonts w:ascii="Times New Roman" w:hAnsi="Times New Roman"/>
          <w:color w:val="auto"/>
          <w:szCs w:val="24"/>
          <w:highlight w:val="none"/>
        </w:rPr>
        <w:t>天内仍未复工的，视为第16.2.1项</w:t>
      </w:r>
      <w:r>
        <w:rPr>
          <w:rFonts w:hint="eastAsia" w:ascii="Times New Roman" w:hAnsi="Times New Roman"/>
          <w:color w:val="auto"/>
          <w:szCs w:val="24"/>
          <w:highlight w:val="none"/>
        </w:rPr>
        <w:t>〔</w:t>
      </w:r>
      <w:r>
        <w:rPr>
          <w:rFonts w:ascii="Times New Roman" w:hAnsi="Times New Roman"/>
          <w:color w:val="auto"/>
          <w:szCs w:val="24"/>
          <w:highlight w:val="none"/>
        </w:rPr>
        <w:t>承包人违约的情形</w:t>
      </w:r>
      <w:r>
        <w:rPr>
          <w:rFonts w:hint="eastAsia" w:ascii="Times New Roman" w:hAnsi="Times New Roman"/>
          <w:color w:val="auto"/>
          <w:szCs w:val="24"/>
          <w:highlight w:val="none"/>
        </w:rPr>
        <w:t>〕</w:t>
      </w:r>
      <w:r>
        <w:rPr>
          <w:rFonts w:ascii="Times New Roman" w:hAnsi="Times New Roman"/>
          <w:color w:val="auto"/>
          <w:szCs w:val="24"/>
          <w:highlight w:val="none"/>
        </w:rPr>
        <w:t>第（7）目约定的承包人无法继续履行合同的情形。</w:t>
      </w:r>
    </w:p>
    <w:p w14:paraId="1B96204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7.8.3 指示暂停施工</w:t>
      </w:r>
    </w:p>
    <w:p w14:paraId="54C88DA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监理人认为有必要时，并经发包人批准后，可向承包人作出暂停施工的指示，承包人应按监理人指示暂停施工。</w:t>
      </w:r>
    </w:p>
    <w:p w14:paraId="57C0472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7.8.4 紧急情况下的暂停施工</w:t>
      </w:r>
    </w:p>
    <w:p w14:paraId="23D9B97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约定处理。</w:t>
      </w:r>
    </w:p>
    <w:p w14:paraId="52B2AB1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7.8.5 暂停施工后的复工</w:t>
      </w:r>
    </w:p>
    <w:p w14:paraId="4A4CFE8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1B7E3D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承包人无故拖延和拒绝复工的，承包人承担由此增加的费用和（或）延误的工期；因发包人原因无法按时复工的，按照第7.5.1项</w:t>
      </w:r>
      <w:r>
        <w:rPr>
          <w:rFonts w:hint="eastAsia" w:ascii="Times New Roman" w:hAnsi="Times New Roman"/>
          <w:color w:val="auto"/>
          <w:szCs w:val="24"/>
          <w:highlight w:val="none"/>
        </w:rPr>
        <w:t>〔</w:t>
      </w:r>
      <w:r>
        <w:rPr>
          <w:rFonts w:ascii="Times New Roman" w:hAnsi="Times New Roman"/>
          <w:color w:val="auto"/>
          <w:szCs w:val="24"/>
          <w:highlight w:val="none"/>
        </w:rPr>
        <w:t>因发包人原因导致工期延误</w:t>
      </w:r>
      <w:r>
        <w:rPr>
          <w:rFonts w:hint="eastAsia" w:ascii="Times New Roman" w:hAnsi="Times New Roman"/>
          <w:color w:val="auto"/>
          <w:szCs w:val="24"/>
          <w:highlight w:val="none"/>
        </w:rPr>
        <w:t>〕</w:t>
      </w:r>
      <w:r>
        <w:rPr>
          <w:rFonts w:ascii="Times New Roman" w:hAnsi="Times New Roman"/>
          <w:color w:val="auto"/>
          <w:szCs w:val="24"/>
          <w:highlight w:val="none"/>
        </w:rPr>
        <w:t>约定办理。</w:t>
      </w:r>
    </w:p>
    <w:p w14:paraId="01FA299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7.8.6 暂停施工持续56天以上</w:t>
      </w:r>
    </w:p>
    <w:p w14:paraId="3B1D3B6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监理人发出暂停施工指示后56天内未向承包人发出复工通知，除该项停工属于第7.8.2项</w:t>
      </w:r>
      <w:r>
        <w:rPr>
          <w:rFonts w:hint="eastAsia" w:ascii="Times New Roman" w:hAnsi="Times New Roman"/>
          <w:color w:val="auto"/>
          <w:szCs w:val="24"/>
          <w:highlight w:val="none"/>
        </w:rPr>
        <w:t>〔</w:t>
      </w:r>
      <w:r>
        <w:rPr>
          <w:rFonts w:ascii="Times New Roman" w:hAnsi="Times New Roman"/>
          <w:color w:val="auto"/>
          <w:szCs w:val="24"/>
          <w:highlight w:val="none"/>
        </w:rPr>
        <w:t>承包人原因引起的暂停施工</w:t>
      </w:r>
      <w:r>
        <w:rPr>
          <w:rFonts w:hint="eastAsia" w:ascii="Times New Roman" w:hAnsi="Times New Roman"/>
          <w:color w:val="auto"/>
          <w:szCs w:val="24"/>
          <w:highlight w:val="none"/>
        </w:rPr>
        <w:t>〕</w:t>
      </w:r>
      <w:r>
        <w:rPr>
          <w:rFonts w:ascii="Times New Roman" w:hAnsi="Times New Roman"/>
          <w:color w:val="auto"/>
          <w:szCs w:val="24"/>
          <w:highlight w:val="none"/>
        </w:rPr>
        <w:t>及第17条</w:t>
      </w:r>
      <w:r>
        <w:rPr>
          <w:rFonts w:hint="eastAsia" w:ascii="Times New Roman" w:hAnsi="Times New Roman"/>
          <w:color w:val="auto"/>
          <w:szCs w:val="24"/>
          <w:highlight w:val="none"/>
        </w:rPr>
        <w:t>〔</w:t>
      </w:r>
      <w:r>
        <w:rPr>
          <w:rFonts w:ascii="Times New Roman" w:hAnsi="Times New Roman"/>
          <w:color w:val="auto"/>
          <w:szCs w:val="24"/>
          <w:highlight w:val="none"/>
        </w:rPr>
        <w:t>不可抗力</w:t>
      </w:r>
      <w:r>
        <w:rPr>
          <w:rFonts w:hint="eastAsia" w:ascii="Times New Roman" w:hAnsi="Times New Roman"/>
          <w:color w:val="auto"/>
          <w:szCs w:val="24"/>
          <w:highlight w:val="none"/>
        </w:rPr>
        <w:t>〕</w:t>
      </w:r>
      <w:r>
        <w:rPr>
          <w:rFonts w:ascii="Times New Roman" w:hAnsi="Times New Roman"/>
          <w:color w:val="auto"/>
          <w:szCs w:val="24"/>
          <w:highlight w:val="none"/>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color w:val="auto"/>
          <w:szCs w:val="24"/>
          <w:highlight w:val="none"/>
        </w:rPr>
        <w:t>〔</w:t>
      </w:r>
      <w:r>
        <w:rPr>
          <w:rFonts w:ascii="Times New Roman" w:hAnsi="Times New Roman"/>
          <w:color w:val="auto"/>
          <w:szCs w:val="24"/>
          <w:highlight w:val="none"/>
        </w:rPr>
        <w:t>变更的范围</w:t>
      </w:r>
      <w:r>
        <w:rPr>
          <w:rFonts w:hint="eastAsia" w:ascii="Times New Roman" w:hAnsi="Times New Roman"/>
          <w:color w:val="auto"/>
          <w:szCs w:val="24"/>
          <w:highlight w:val="none"/>
        </w:rPr>
        <w:t>〕</w:t>
      </w:r>
      <w:r>
        <w:rPr>
          <w:rFonts w:ascii="Times New Roman" w:hAnsi="Times New Roman"/>
          <w:color w:val="auto"/>
          <w:szCs w:val="24"/>
          <w:highlight w:val="none"/>
        </w:rPr>
        <w:t>第（2）项的可取消工作。</w:t>
      </w:r>
    </w:p>
    <w:p w14:paraId="2A57AAC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暂停施工持续</w:t>
      </w:r>
      <w:r>
        <w:rPr>
          <w:rFonts w:hint="eastAsia" w:ascii="Times New Roman" w:hAnsi="Times New Roman"/>
          <w:color w:val="auto"/>
          <w:szCs w:val="24"/>
          <w:highlight w:val="none"/>
        </w:rPr>
        <w:t>84</w:t>
      </w:r>
      <w:r>
        <w:rPr>
          <w:rFonts w:ascii="Times New Roman" w:hAnsi="Times New Roman"/>
          <w:color w:val="auto"/>
          <w:szCs w:val="24"/>
          <w:highlight w:val="none"/>
        </w:rPr>
        <w:t>天以上不复工的，且不属于第7.8.2项</w:t>
      </w:r>
      <w:r>
        <w:rPr>
          <w:rFonts w:hint="eastAsia" w:ascii="Times New Roman" w:hAnsi="Times New Roman"/>
          <w:color w:val="auto"/>
          <w:szCs w:val="24"/>
          <w:highlight w:val="none"/>
        </w:rPr>
        <w:t>〔</w:t>
      </w:r>
      <w:r>
        <w:rPr>
          <w:rFonts w:ascii="Times New Roman" w:hAnsi="Times New Roman"/>
          <w:color w:val="auto"/>
          <w:szCs w:val="24"/>
          <w:highlight w:val="none"/>
        </w:rPr>
        <w:t>承包人原因引起的暂停施工</w:t>
      </w:r>
      <w:r>
        <w:rPr>
          <w:rFonts w:hint="eastAsia" w:ascii="Times New Roman" w:hAnsi="Times New Roman"/>
          <w:color w:val="auto"/>
          <w:szCs w:val="24"/>
          <w:highlight w:val="none"/>
        </w:rPr>
        <w:t>〕</w:t>
      </w:r>
      <w:r>
        <w:rPr>
          <w:rFonts w:ascii="Times New Roman" w:hAnsi="Times New Roman"/>
          <w:color w:val="auto"/>
          <w:szCs w:val="24"/>
          <w:highlight w:val="none"/>
        </w:rPr>
        <w:t>及第17条</w:t>
      </w:r>
      <w:r>
        <w:rPr>
          <w:rFonts w:hint="eastAsia" w:ascii="Times New Roman" w:hAnsi="Times New Roman"/>
          <w:color w:val="auto"/>
          <w:szCs w:val="24"/>
          <w:highlight w:val="none"/>
        </w:rPr>
        <w:t>〔</w:t>
      </w:r>
      <w:r>
        <w:rPr>
          <w:rFonts w:ascii="Times New Roman" w:hAnsi="Times New Roman"/>
          <w:color w:val="auto"/>
          <w:szCs w:val="24"/>
          <w:highlight w:val="none"/>
        </w:rPr>
        <w:t>不可抗力</w:t>
      </w:r>
      <w:r>
        <w:rPr>
          <w:rFonts w:hint="eastAsia" w:ascii="Times New Roman" w:hAnsi="Times New Roman"/>
          <w:color w:val="auto"/>
          <w:szCs w:val="24"/>
          <w:highlight w:val="none"/>
        </w:rPr>
        <w:t>〕</w:t>
      </w:r>
      <w:r>
        <w:rPr>
          <w:rFonts w:ascii="Times New Roman" w:hAnsi="Times New Roman"/>
          <w:color w:val="auto"/>
          <w:szCs w:val="24"/>
          <w:highlight w:val="none"/>
        </w:rPr>
        <w:t>约定的情形，并影响到整个工程以及合同目的实现的，承包人有权提出价格调整要求，或者解除合同。解除合同的，按照第16.1.3项</w:t>
      </w:r>
      <w:r>
        <w:rPr>
          <w:rFonts w:hint="eastAsia" w:ascii="Times New Roman" w:hAnsi="Times New Roman"/>
          <w:color w:val="auto"/>
          <w:szCs w:val="24"/>
          <w:highlight w:val="none"/>
        </w:rPr>
        <w:t>〔</w:t>
      </w:r>
      <w:r>
        <w:rPr>
          <w:rFonts w:ascii="Times New Roman" w:hAnsi="Times New Roman"/>
          <w:color w:val="auto"/>
          <w:szCs w:val="24"/>
          <w:highlight w:val="none"/>
        </w:rPr>
        <w:t>因发包人违约解除合同</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6C19106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7.8.7 暂停施工期间的工程照管</w:t>
      </w:r>
    </w:p>
    <w:p w14:paraId="6782977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暂停施工期间，承包人应负责妥善照管工程并提供安全保障，由此增加的费用由责任方承担。</w:t>
      </w:r>
    </w:p>
    <w:p w14:paraId="54FCC9E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7.8.8 暂停施工的措施</w:t>
      </w:r>
    </w:p>
    <w:p w14:paraId="2694F65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暂停施工期间，发包人和承包人均应采取必要的措施确保工程质量及安全，防止因暂停施工扩大损失。</w:t>
      </w:r>
    </w:p>
    <w:p w14:paraId="43F79DA9">
      <w:pPr>
        <w:keepNext/>
        <w:keepLines/>
        <w:spacing w:line="400" w:lineRule="exact"/>
        <w:outlineLvl w:val="2"/>
        <w:rPr>
          <w:rFonts w:ascii="Times New Roman" w:hAnsi="Times New Roman" w:eastAsia="黑体" w:cs="宋体"/>
          <w:b/>
          <w:color w:val="auto"/>
          <w:sz w:val="24"/>
          <w:szCs w:val="20"/>
          <w:highlight w:val="none"/>
        </w:rPr>
      </w:pPr>
      <w:bookmarkStart w:id="1117" w:name="_Toc13733"/>
      <w:bookmarkStart w:id="1118" w:name="_Toc28532180"/>
      <w:bookmarkStart w:id="1119" w:name="_Toc351203551"/>
      <w:r>
        <w:rPr>
          <w:rFonts w:ascii="Times New Roman" w:hAnsi="Times New Roman" w:eastAsia="黑体" w:cs="宋体"/>
          <w:b/>
          <w:color w:val="auto"/>
          <w:sz w:val="24"/>
          <w:szCs w:val="20"/>
          <w:highlight w:val="none"/>
        </w:rPr>
        <w:t>7.9提前竣工</w:t>
      </w:r>
      <w:bookmarkEnd w:id="1117"/>
      <w:bookmarkEnd w:id="1118"/>
      <w:bookmarkEnd w:id="1119"/>
    </w:p>
    <w:p w14:paraId="3475505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color w:val="auto"/>
          <w:szCs w:val="24"/>
          <w:highlight w:val="none"/>
        </w:rPr>
        <w:t>承包人认为提前竣工指示无法执行的，应向监理人和发包人提出书面异议，发包人和监理人应在收到异议后7天内予以答复。任何情况下，发包人不得压缩合理工期。</w:t>
      </w:r>
    </w:p>
    <w:p w14:paraId="28E9535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7.9.2 发包人要求承包人提前竣工，或承包人提出提前竣工的建议能够给发包人带来效益的，合同当事人可以在专用合同条款中约定提前竣工的奖励。</w:t>
      </w:r>
    </w:p>
    <w:p w14:paraId="09B66CF0">
      <w:pPr>
        <w:keepNext/>
        <w:keepLines/>
        <w:spacing w:before="100" w:line="400" w:lineRule="exact"/>
        <w:outlineLvl w:val="1"/>
        <w:rPr>
          <w:rFonts w:ascii="Times New Roman" w:hAnsi="Times New Roman" w:eastAsia="黑体" w:cs="宋体"/>
          <w:b/>
          <w:color w:val="auto"/>
          <w:sz w:val="28"/>
          <w:szCs w:val="20"/>
          <w:highlight w:val="none"/>
        </w:rPr>
      </w:pPr>
      <w:bookmarkStart w:id="1120" w:name="_Toc28532181"/>
      <w:bookmarkStart w:id="1121" w:name="_Toc351203552"/>
      <w:bookmarkStart w:id="1122" w:name="_Toc1762"/>
      <w:r>
        <w:rPr>
          <w:rFonts w:ascii="Times New Roman" w:hAnsi="Times New Roman" w:eastAsia="黑体" w:cs="宋体"/>
          <w:b/>
          <w:color w:val="auto"/>
          <w:sz w:val="28"/>
          <w:szCs w:val="20"/>
          <w:highlight w:val="none"/>
        </w:rPr>
        <w:t>8</w:t>
      </w:r>
      <w:bookmarkStart w:id="1123" w:name="_Toc337558776"/>
      <w:bookmarkStart w:id="1124" w:name="_Toc296503058"/>
      <w:bookmarkStart w:id="1125" w:name="_Toc296346559"/>
      <w:r>
        <w:rPr>
          <w:rFonts w:ascii="Times New Roman" w:hAnsi="Times New Roman" w:eastAsia="黑体" w:cs="宋体"/>
          <w:b/>
          <w:color w:val="auto"/>
          <w:sz w:val="28"/>
          <w:szCs w:val="20"/>
          <w:highlight w:val="none"/>
        </w:rPr>
        <w:t>. 材料与设备</w:t>
      </w:r>
      <w:bookmarkEnd w:id="1120"/>
      <w:bookmarkEnd w:id="1121"/>
      <w:bookmarkEnd w:id="1122"/>
    </w:p>
    <w:bookmarkEnd w:id="1123"/>
    <w:bookmarkEnd w:id="1124"/>
    <w:bookmarkEnd w:id="1125"/>
    <w:p w14:paraId="6E75D4EF">
      <w:pPr>
        <w:keepNext/>
        <w:keepLines/>
        <w:spacing w:line="400" w:lineRule="exact"/>
        <w:outlineLvl w:val="2"/>
        <w:rPr>
          <w:rFonts w:ascii="Times New Roman" w:hAnsi="Times New Roman" w:eastAsia="黑体" w:cs="宋体"/>
          <w:b/>
          <w:color w:val="auto"/>
          <w:sz w:val="24"/>
          <w:szCs w:val="20"/>
          <w:highlight w:val="none"/>
        </w:rPr>
      </w:pPr>
      <w:bookmarkStart w:id="1126" w:name="_Toc17122"/>
      <w:bookmarkStart w:id="1127" w:name="_Toc28532182"/>
      <w:bookmarkStart w:id="1128" w:name="_Toc351203553"/>
      <w:r>
        <w:rPr>
          <w:rFonts w:ascii="Times New Roman" w:hAnsi="Times New Roman" w:eastAsia="黑体" w:cs="宋体"/>
          <w:b/>
          <w:color w:val="auto"/>
          <w:sz w:val="24"/>
          <w:szCs w:val="20"/>
          <w:highlight w:val="none"/>
        </w:rPr>
        <w:t>8</w:t>
      </w:r>
      <w:bookmarkStart w:id="1129" w:name="_Toc337558777"/>
      <w:bookmarkStart w:id="1130" w:name="_Toc296346560"/>
      <w:bookmarkStart w:id="1131" w:name="_Toc296503059"/>
      <w:bookmarkStart w:id="1132" w:name="_Toc468936960"/>
      <w:r>
        <w:rPr>
          <w:rFonts w:ascii="Times New Roman" w:hAnsi="Times New Roman" w:eastAsia="黑体" w:cs="宋体"/>
          <w:b/>
          <w:color w:val="auto"/>
          <w:sz w:val="24"/>
          <w:szCs w:val="20"/>
          <w:highlight w:val="none"/>
        </w:rPr>
        <w:t>.1发包人供应材料与工程设备</w:t>
      </w:r>
      <w:bookmarkEnd w:id="1126"/>
      <w:bookmarkEnd w:id="1127"/>
      <w:bookmarkEnd w:id="1128"/>
    </w:p>
    <w:bookmarkEnd w:id="1129"/>
    <w:bookmarkEnd w:id="1130"/>
    <w:bookmarkEnd w:id="1131"/>
    <w:p w14:paraId="79610EC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发包人自行供应材料、工程设备的，应在签订合同时在专用合同条款的附件《发包人供应材料设备一览表》中明确材料、工程设备的品种、规格、型号、数量、单价、质量等级和送达地点。</w:t>
      </w:r>
    </w:p>
    <w:p w14:paraId="1953ACC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承包人应提前30天通过监理人以书面形式通知发包人供应材料与工程设备进场。承包人按照第7.2.2项</w:t>
      </w:r>
      <w:r>
        <w:rPr>
          <w:rFonts w:hint="eastAsia" w:ascii="Times New Roman" w:hAnsi="Times New Roman"/>
          <w:color w:val="auto"/>
          <w:szCs w:val="24"/>
          <w:highlight w:val="none"/>
        </w:rPr>
        <w:t>〔</w:t>
      </w:r>
      <w:r>
        <w:rPr>
          <w:rFonts w:ascii="Times New Roman" w:hAnsi="Times New Roman"/>
          <w:color w:val="auto"/>
          <w:szCs w:val="24"/>
          <w:highlight w:val="none"/>
        </w:rPr>
        <w:t>施工进度计划的修订</w:t>
      </w:r>
      <w:r>
        <w:rPr>
          <w:rFonts w:hint="eastAsia" w:ascii="Times New Roman" w:hAnsi="Times New Roman"/>
          <w:color w:val="auto"/>
          <w:szCs w:val="24"/>
          <w:highlight w:val="none"/>
        </w:rPr>
        <w:t>〕</w:t>
      </w:r>
      <w:r>
        <w:rPr>
          <w:rFonts w:ascii="Times New Roman" w:hAnsi="Times New Roman"/>
          <w:color w:val="auto"/>
          <w:szCs w:val="24"/>
          <w:highlight w:val="none"/>
        </w:rPr>
        <w:t>约定修订施工进度计划时，需同时提交经修订后的发包人供应材料与工程设备的进场计划。</w:t>
      </w:r>
    </w:p>
    <w:p w14:paraId="741AC239">
      <w:pPr>
        <w:keepNext/>
        <w:keepLines/>
        <w:spacing w:line="400" w:lineRule="exact"/>
        <w:outlineLvl w:val="2"/>
        <w:rPr>
          <w:rFonts w:ascii="Times New Roman" w:hAnsi="Times New Roman" w:eastAsia="黑体" w:cs="宋体"/>
          <w:color w:val="auto"/>
          <w:sz w:val="24"/>
          <w:szCs w:val="20"/>
          <w:highlight w:val="none"/>
        </w:rPr>
      </w:pPr>
      <w:bookmarkStart w:id="1133" w:name="_Toc28532183"/>
      <w:bookmarkStart w:id="1134" w:name="_Toc351203554"/>
      <w:bookmarkStart w:id="1135" w:name="_Toc27179"/>
      <w:r>
        <w:rPr>
          <w:rFonts w:ascii="Times New Roman" w:hAnsi="Times New Roman" w:eastAsia="黑体" w:cs="宋体"/>
          <w:b/>
          <w:color w:val="auto"/>
          <w:sz w:val="24"/>
          <w:szCs w:val="20"/>
          <w:highlight w:val="none"/>
        </w:rPr>
        <w:t>8</w:t>
      </w:r>
      <w:bookmarkStart w:id="1136" w:name="_Toc296503060"/>
      <w:bookmarkStart w:id="1137" w:name="_Toc296346561"/>
      <w:bookmarkStart w:id="1138" w:name="_Toc337558778"/>
      <w:r>
        <w:rPr>
          <w:rFonts w:ascii="Times New Roman" w:hAnsi="Times New Roman" w:eastAsia="黑体" w:cs="宋体"/>
          <w:b/>
          <w:color w:val="auto"/>
          <w:sz w:val="24"/>
          <w:szCs w:val="20"/>
          <w:highlight w:val="none"/>
        </w:rPr>
        <w:t>.2承包人采购材料与工程设备</w:t>
      </w:r>
      <w:bookmarkEnd w:id="1133"/>
      <w:bookmarkEnd w:id="1134"/>
      <w:bookmarkEnd w:id="1135"/>
    </w:p>
    <w:bookmarkEnd w:id="1136"/>
    <w:bookmarkEnd w:id="1137"/>
    <w:bookmarkEnd w:id="1138"/>
    <w:p w14:paraId="5E8DDA6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color w:val="auto"/>
          <w:szCs w:val="24"/>
          <w:highlight w:val="none"/>
        </w:rPr>
        <w:t>相应责任</w:t>
      </w:r>
      <w:r>
        <w:rPr>
          <w:rFonts w:ascii="Times New Roman" w:hAnsi="Times New Roman"/>
          <w:color w:val="auto"/>
          <w:szCs w:val="24"/>
          <w:highlight w:val="none"/>
        </w:rPr>
        <w:t>。</w:t>
      </w:r>
    </w:p>
    <w:p w14:paraId="1B8682E1">
      <w:pPr>
        <w:keepNext/>
        <w:keepLines/>
        <w:spacing w:line="400" w:lineRule="exact"/>
        <w:outlineLvl w:val="2"/>
        <w:rPr>
          <w:rFonts w:ascii="Times New Roman" w:hAnsi="Times New Roman" w:eastAsia="黑体" w:cs="宋体"/>
          <w:b/>
          <w:color w:val="auto"/>
          <w:sz w:val="24"/>
          <w:szCs w:val="20"/>
          <w:highlight w:val="none"/>
        </w:rPr>
      </w:pPr>
      <w:bookmarkStart w:id="1139" w:name="_Toc351203555"/>
      <w:bookmarkStart w:id="1140" w:name="_Toc28532184"/>
      <w:bookmarkStart w:id="1141" w:name="_Toc25380"/>
      <w:r>
        <w:rPr>
          <w:rFonts w:ascii="Times New Roman" w:hAnsi="Times New Roman" w:eastAsia="黑体" w:cs="宋体"/>
          <w:b/>
          <w:color w:val="auto"/>
          <w:sz w:val="24"/>
          <w:szCs w:val="20"/>
          <w:highlight w:val="none"/>
        </w:rPr>
        <w:t>8</w:t>
      </w:r>
      <w:bookmarkStart w:id="1142" w:name="_Toc296346562"/>
      <w:bookmarkStart w:id="1143" w:name="_Toc337558779"/>
      <w:bookmarkStart w:id="1144" w:name="_Toc296503061"/>
      <w:r>
        <w:rPr>
          <w:rFonts w:ascii="Times New Roman" w:hAnsi="Times New Roman" w:eastAsia="黑体" w:cs="宋体"/>
          <w:b/>
          <w:color w:val="auto"/>
          <w:sz w:val="24"/>
          <w:szCs w:val="20"/>
          <w:highlight w:val="none"/>
        </w:rPr>
        <w:t>.3材料与工程设备的接收与拒收</w:t>
      </w:r>
      <w:bookmarkEnd w:id="1139"/>
      <w:bookmarkEnd w:id="1140"/>
      <w:bookmarkEnd w:id="1141"/>
    </w:p>
    <w:bookmarkEnd w:id="1142"/>
    <w:bookmarkEnd w:id="1143"/>
    <w:bookmarkEnd w:id="1144"/>
    <w:p w14:paraId="55AF2C7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4BCE75F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发包人提供的材料和工程设备的规格、数量或质量不符合合同约定的，或因发包人原因导致交货日期延误或交货地点变更等情况的，按照第16.1款</w:t>
      </w:r>
      <w:r>
        <w:rPr>
          <w:rFonts w:hint="eastAsia" w:ascii="Times New Roman" w:hAnsi="Times New Roman"/>
          <w:color w:val="auto"/>
          <w:szCs w:val="24"/>
          <w:highlight w:val="none"/>
        </w:rPr>
        <w:t>〔</w:t>
      </w:r>
      <w:r>
        <w:rPr>
          <w:rFonts w:ascii="Times New Roman" w:hAnsi="Times New Roman"/>
          <w:color w:val="auto"/>
          <w:szCs w:val="24"/>
          <w:highlight w:val="none"/>
        </w:rPr>
        <w:t>发包人违约</w:t>
      </w:r>
      <w:r>
        <w:rPr>
          <w:rFonts w:hint="eastAsia" w:ascii="Times New Roman" w:hAnsi="Times New Roman"/>
          <w:color w:val="auto"/>
          <w:szCs w:val="24"/>
          <w:highlight w:val="none"/>
        </w:rPr>
        <w:t>〕</w:t>
      </w:r>
      <w:r>
        <w:rPr>
          <w:rFonts w:ascii="Times New Roman" w:hAnsi="Times New Roman"/>
          <w:color w:val="auto"/>
          <w:szCs w:val="24"/>
          <w:highlight w:val="none"/>
        </w:rPr>
        <w:t>约定办理。</w:t>
      </w:r>
    </w:p>
    <w:p w14:paraId="4CF88D5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8.3.2 承包人采购的材料和工程设备，应保证产品质量合格，承包人应在材料和工程设备到货前24小时通知监理人检验。承</w:t>
      </w:r>
      <w:bookmarkStart w:id="1145" w:name="_Toc250655469"/>
      <w:r>
        <w:rPr>
          <w:rFonts w:ascii="Times New Roman" w:hAnsi="Times New Roman"/>
          <w:color w:val="auto"/>
          <w:szCs w:val="24"/>
          <w:highlight w:val="none"/>
        </w:rPr>
        <w:t>包人进行永久设备、材料的制造和生产的，应符合相关质量标准，并向监理人提交材料的样本以及有关资料，并应在使用该材料或工程设备之前获得监理人同意。</w:t>
      </w:r>
    </w:p>
    <w:bookmarkEnd w:id="1145"/>
    <w:p w14:paraId="2A800B7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35A49601">
      <w:pPr>
        <w:keepNext/>
        <w:keepLines/>
        <w:spacing w:line="400" w:lineRule="exact"/>
        <w:outlineLvl w:val="2"/>
        <w:rPr>
          <w:rFonts w:ascii="Times New Roman" w:hAnsi="Times New Roman" w:eastAsia="黑体" w:cs="宋体"/>
          <w:b/>
          <w:color w:val="auto"/>
          <w:sz w:val="24"/>
          <w:szCs w:val="20"/>
          <w:highlight w:val="none"/>
        </w:rPr>
      </w:pPr>
      <w:bookmarkStart w:id="1146" w:name="_Toc27045"/>
      <w:bookmarkStart w:id="1147" w:name="_Toc351203556"/>
      <w:bookmarkStart w:id="1148" w:name="_Toc28532185"/>
      <w:r>
        <w:rPr>
          <w:rFonts w:ascii="Times New Roman" w:hAnsi="Times New Roman" w:eastAsia="黑体" w:cs="宋体"/>
          <w:b/>
          <w:color w:val="auto"/>
          <w:sz w:val="24"/>
          <w:szCs w:val="20"/>
          <w:highlight w:val="none"/>
        </w:rPr>
        <w:t>8</w:t>
      </w:r>
      <w:bookmarkStart w:id="1149" w:name="_Toc296503062"/>
      <w:bookmarkStart w:id="1150" w:name="_Toc296346563"/>
      <w:bookmarkStart w:id="1151" w:name="_Toc337558780"/>
      <w:r>
        <w:rPr>
          <w:rFonts w:ascii="Times New Roman" w:hAnsi="Times New Roman" w:eastAsia="黑体" w:cs="宋体"/>
          <w:b/>
          <w:color w:val="auto"/>
          <w:sz w:val="24"/>
          <w:szCs w:val="20"/>
          <w:highlight w:val="none"/>
        </w:rPr>
        <w:t>.4材料与工程设备的保管与使用</w:t>
      </w:r>
      <w:bookmarkEnd w:id="1146"/>
      <w:bookmarkEnd w:id="1147"/>
      <w:bookmarkEnd w:id="1148"/>
    </w:p>
    <w:bookmarkEnd w:id="1149"/>
    <w:bookmarkEnd w:id="1150"/>
    <w:bookmarkEnd w:id="1151"/>
    <w:p w14:paraId="4EC3705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8.4.1 发包人供应材料与工程设备的保管与使用</w:t>
      </w:r>
    </w:p>
    <w:p w14:paraId="5FC48F9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4FA15CD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发包人供应的材料和工程设备使用前，由承包人负责检验，检验费用由发包人承担，不合格的不得使用。</w:t>
      </w:r>
    </w:p>
    <w:p w14:paraId="3439742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8.4.2 承包人采购材料与工程设备的保管与使用</w:t>
      </w:r>
    </w:p>
    <w:p w14:paraId="7407C2B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5B7E8EC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发包人或监理人发现承包人使用不符合设计或有关标准要求的材料和工程设备时，有权要求承包人进行修复、拆除或重新采购，由此增加的费用和（或）延误的工期，由承包人承担。</w:t>
      </w:r>
    </w:p>
    <w:p w14:paraId="1C0C2849">
      <w:pPr>
        <w:keepNext/>
        <w:keepLines/>
        <w:spacing w:line="400" w:lineRule="exact"/>
        <w:outlineLvl w:val="2"/>
        <w:rPr>
          <w:rFonts w:ascii="Times New Roman" w:hAnsi="Times New Roman" w:eastAsia="黑体" w:cs="宋体"/>
          <w:b/>
          <w:color w:val="auto"/>
          <w:sz w:val="24"/>
          <w:szCs w:val="20"/>
          <w:highlight w:val="none"/>
        </w:rPr>
      </w:pPr>
      <w:bookmarkStart w:id="1152" w:name="_Toc351203557"/>
      <w:bookmarkStart w:id="1153" w:name="_Toc28532186"/>
      <w:bookmarkStart w:id="1154" w:name="_Toc2063"/>
      <w:r>
        <w:rPr>
          <w:rFonts w:ascii="Times New Roman" w:hAnsi="Times New Roman" w:eastAsia="黑体" w:cs="宋体"/>
          <w:b/>
          <w:color w:val="auto"/>
          <w:sz w:val="24"/>
          <w:szCs w:val="20"/>
          <w:highlight w:val="none"/>
        </w:rPr>
        <w:t>8.5禁止使用不合格的材料和工程设备</w:t>
      </w:r>
      <w:bookmarkEnd w:id="1152"/>
      <w:bookmarkEnd w:id="1153"/>
      <w:bookmarkEnd w:id="1154"/>
    </w:p>
    <w:p w14:paraId="43A8550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8.5.1 监理人有权拒绝承包人提供的不合格材料或工程设备，并要求承包人立即进行更换。监理人应在更换后再次进行检查和检验，由此增加的费用和（或）延误的工期由承包人承担。</w:t>
      </w:r>
    </w:p>
    <w:p w14:paraId="65F3162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8.5.2 监理人发现承包人使用了不合格的材料和工程设备，承包人应按照监理人的指示立即改正，并禁止在工程中继续使用不合格的材料和工程设备。</w:t>
      </w:r>
    </w:p>
    <w:p w14:paraId="691D02B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8.5.3 发包人提供的材料或工程设备不符合合同要求的，承包人有权拒绝，并可要求发包人更换，由此增加的费用和（或）延误的工期由发包人承担</w:t>
      </w:r>
      <w:r>
        <w:rPr>
          <w:rFonts w:hint="eastAsia" w:ascii="Times New Roman" w:hAnsi="Times New Roman"/>
          <w:color w:val="auto"/>
          <w:szCs w:val="24"/>
          <w:highlight w:val="none"/>
        </w:rPr>
        <w:t>，并支付承包人合理的利润</w:t>
      </w:r>
      <w:r>
        <w:rPr>
          <w:rFonts w:ascii="Times New Roman" w:hAnsi="Times New Roman"/>
          <w:color w:val="auto"/>
          <w:szCs w:val="24"/>
          <w:highlight w:val="none"/>
        </w:rPr>
        <w:t>。</w:t>
      </w:r>
    </w:p>
    <w:p w14:paraId="260D4DE7">
      <w:pPr>
        <w:keepNext/>
        <w:keepLines/>
        <w:spacing w:line="400" w:lineRule="exact"/>
        <w:outlineLvl w:val="2"/>
        <w:rPr>
          <w:rFonts w:ascii="Times New Roman" w:hAnsi="Times New Roman" w:eastAsia="黑体" w:cs="宋体"/>
          <w:b/>
          <w:color w:val="auto"/>
          <w:sz w:val="24"/>
          <w:szCs w:val="20"/>
          <w:highlight w:val="none"/>
        </w:rPr>
      </w:pPr>
      <w:bookmarkStart w:id="1155" w:name="_Toc351203558"/>
      <w:bookmarkStart w:id="1156" w:name="_Toc17532"/>
      <w:bookmarkStart w:id="1157" w:name="_Toc28532187"/>
      <w:r>
        <w:rPr>
          <w:rFonts w:ascii="Times New Roman" w:hAnsi="Times New Roman" w:eastAsia="黑体" w:cs="宋体"/>
          <w:b/>
          <w:color w:val="auto"/>
          <w:sz w:val="24"/>
          <w:szCs w:val="20"/>
          <w:highlight w:val="none"/>
        </w:rPr>
        <w:t>8.6 样品</w:t>
      </w:r>
      <w:bookmarkEnd w:id="1155"/>
      <w:bookmarkEnd w:id="1156"/>
      <w:bookmarkEnd w:id="1157"/>
    </w:p>
    <w:p w14:paraId="4B904C3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8.6.1样品的报送</w:t>
      </w:r>
      <w:r>
        <w:rPr>
          <w:rFonts w:hint="eastAsia" w:ascii="Times New Roman" w:hAnsi="Times New Roman"/>
          <w:color w:val="auto"/>
          <w:szCs w:val="24"/>
          <w:highlight w:val="none"/>
        </w:rPr>
        <w:t>与封存</w:t>
      </w:r>
    </w:p>
    <w:p w14:paraId="6E1FD05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需要承包人报送样品的材料或工程设备，样品的种类、名称、规格、数量等要求均应在专用合同条款中约定。样品的报送程序如下：</w:t>
      </w:r>
    </w:p>
    <w:p w14:paraId="675676C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F7E0AE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5AFA0B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（3）经发包人和监理人审批确认的样品</w:t>
      </w:r>
      <w:r>
        <w:rPr>
          <w:rFonts w:hint="eastAsia" w:ascii="Times New Roman" w:hAnsi="Times New Roman"/>
          <w:color w:val="auto"/>
          <w:szCs w:val="24"/>
          <w:highlight w:val="none"/>
        </w:rPr>
        <w:t>应按约定的方法封样，封存的样品</w:t>
      </w:r>
      <w:r>
        <w:rPr>
          <w:rFonts w:ascii="Times New Roman" w:hAnsi="Times New Roman"/>
          <w:color w:val="auto"/>
          <w:szCs w:val="24"/>
          <w:highlight w:val="none"/>
        </w:rPr>
        <w:t>作为检验工程相关部分的标准之一。承包人在施工过程中不得使用与样品不符的材料或工程设备。</w:t>
      </w:r>
    </w:p>
    <w:p w14:paraId="2652F68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color w:val="auto"/>
          <w:szCs w:val="24"/>
          <w:highlight w:val="none"/>
        </w:rPr>
        <w:t>如果封存的样品修改或改变了合同约定，合同当事人应当以书面协议予以确认。</w:t>
      </w:r>
    </w:p>
    <w:p w14:paraId="3048EB6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8.6.2 样品的保管</w:t>
      </w:r>
    </w:p>
    <w:p w14:paraId="1FD91A5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经批准的样品应由监理人负责封存于现场，承包人应在现场为保存样品提供适当和固定的场所并保持适当和良好的存储环境条件。</w:t>
      </w:r>
    </w:p>
    <w:p w14:paraId="74454297">
      <w:pPr>
        <w:keepNext/>
        <w:keepLines/>
        <w:spacing w:line="400" w:lineRule="exact"/>
        <w:outlineLvl w:val="2"/>
        <w:rPr>
          <w:rFonts w:ascii="Times New Roman" w:hAnsi="Times New Roman" w:eastAsia="黑体" w:cs="宋体"/>
          <w:b/>
          <w:color w:val="auto"/>
          <w:sz w:val="24"/>
          <w:szCs w:val="20"/>
          <w:highlight w:val="none"/>
        </w:rPr>
      </w:pPr>
      <w:bookmarkStart w:id="1158" w:name="_Toc351203559"/>
      <w:bookmarkStart w:id="1159" w:name="_Toc28532188"/>
      <w:bookmarkStart w:id="1160" w:name="_Toc32742"/>
      <w:r>
        <w:rPr>
          <w:rFonts w:ascii="Times New Roman" w:hAnsi="Times New Roman" w:eastAsia="黑体" w:cs="宋体"/>
          <w:b/>
          <w:color w:val="auto"/>
          <w:sz w:val="24"/>
          <w:szCs w:val="20"/>
          <w:highlight w:val="none"/>
        </w:rPr>
        <w:t>8.7材料与工程设备的替代</w:t>
      </w:r>
      <w:bookmarkEnd w:id="1158"/>
      <w:bookmarkEnd w:id="1159"/>
      <w:bookmarkEnd w:id="1160"/>
    </w:p>
    <w:p w14:paraId="227B76C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8.7.1 出现下列情况需要使用替代材料和工程设备的，承包人应按照第8.7.2项约定的程序执行：</w:t>
      </w:r>
    </w:p>
    <w:p w14:paraId="22517B9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（1）基准日</w:t>
      </w:r>
      <w:r>
        <w:rPr>
          <w:rFonts w:hint="eastAsia" w:ascii="Times New Roman" w:hAnsi="Times New Roman"/>
          <w:color w:val="auto"/>
          <w:szCs w:val="24"/>
          <w:highlight w:val="none"/>
        </w:rPr>
        <w:t>期</w:t>
      </w:r>
      <w:r>
        <w:rPr>
          <w:rFonts w:ascii="Times New Roman" w:hAnsi="Times New Roman"/>
          <w:color w:val="auto"/>
          <w:szCs w:val="24"/>
          <w:highlight w:val="none"/>
        </w:rPr>
        <w:t>后生效的法律规定禁止使用的；</w:t>
      </w:r>
    </w:p>
    <w:p w14:paraId="6A85F17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（2）发包人要求使用替代品的；</w:t>
      </w:r>
    </w:p>
    <w:p w14:paraId="089A21A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（3）因其他原因必须使用替代品的。</w:t>
      </w:r>
    </w:p>
    <w:p w14:paraId="7CD827C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8.7.2 承包人应在使用替代材料和工程设备28天前书面通知监理人，并附下列文件：</w:t>
      </w:r>
    </w:p>
    <w:p w14:paraId="2F7064E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（1）被替代的材料和工程设备的名称、数量、规格、型号、品牌、性能、价格及其他相关资料；</w:t>
      </w:r>
    </w:p>
    <w:p w14:paraId="567929F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（2）替代品的名称、数量、规格、型号、品牌、性能、价格及其他相关资料；</w:t>
      </w:r>
    </w:p>
    <w:p w14:paraId="7F3C750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（3）替代品与被替代产品之间的差异以及使用替代品可能对工程产生的影响；</w:t>
      </w:r>
    </w:p>
    <w:p w14:paraId="31DE8D9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（4）替代品与被替代产品的价格差异；</w:t>
      </w:r>
    </w:p>
    <w:p w14:paraId="2F63DD5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（5）使用替代品的理由和原因说明；</w:t>
      </w:r>
    </w:p>
    <w:p w14:paraId="3F59B67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（6）监理人要求的其他文件。</w:t>
      </w:r>
    </w:p>
    <w:p w14:paraId="126FE3D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监理人应在收到通知后14天内向承包人发出经发包人签认的书面指示；监理人逾期发出书面指示的，视为发包人和监理人同意使用替代品。</w:t>
      </w:r>
    </w:p>
    <w:p w14:paraId="69CE8D4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color w:val="auto"/>
          <w:szCs w:val="24"/>
          <w:highlight w:val="none"/>
        </w:rPr>
        <w:t>既无</w:t>
      </w:r>
      <w:r>
        <w:rPr>
          <w:rFonts w:ascii="Times New Roman" w:hAnsi="Times New Roman"/>
          <w:color w:val="auto"/>
          <w:szCs w:val="24"/>
          <w:highlight w:val="none"/>
        </w:rPr>
        <w:t>相同项目</w:t>
      </w:r>
      <w:r>
        <w:rPr>
          <w:rFonts w:hint="eastAsia" w:ascii="Times New Roman" w:hAnsi="Times New Roman"/>
          <w:color w:val="auto"/>
          <w:szCs w:val="24"/>
          <w:highlight w:val="none"/>
        </w:rPr>
        <w:t>也</w:t>
      </w:r>
      <w:r>
        <w:rPr>
          <w:rFonts w:ascii="Times New Roman" w:hAnsi="Times New Roman"/>
          <w:color w:val="auto"/>
          <w:szCs w:val="24"/>
          <w:highlight w:val="none"/>
        </w:rPr>
        <w:t>无相似项目的，</w:t>
      </w:r>
      <w:r>
        <w:rPr>
          <w:rFonts w:hint="eastAsia" w:ascii="Times New Roman" w:hAnsi="Times New Roman"/>
          <w:color w:val="auto"/>
          <w:szCs w:val="24"/>
          <w:highlight w:val="none"/>
        </w:rPr>
        <w:t>按照合理的成本与利润构成的原则，</w:t>
      </w:r>
      <w:r>
        <w:rPr>
          <w:rFonts w:ascii="Times New Roman" w:hAnsi="Times New Roman"/>
          <w:color w:val="auto"/>
          <w:szCs w:val="24"/>
          <w:highlight w:val="none"/>
        </w:rPr>
        <w:t>由合同当事人按照第4.4款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确定价格。</w:t>
      </w:r>
    </w:p>
    <w:p w14:paraId="14F599BC">
      <w:pPr>
        <w:keepNext/>
        <w:keepLines/>
        <w:spacing w:line="400" w:lineRule="exact"/>
        <w:outlineLvl w:val="2"/>
        <w:rPr>
          <w:rFonts w:ascii="Times New Roman" w:hAnsi="Times New Roman" w:eastAsia="黑体" w:cs="宋体"/>
          <w:b/>
          <w:color w:val="auto"/>
          <w:sz w:val="24"/>
          <w:szCs w:val="20"/>
          <w:highlight w:val="none"/>
        </w:rPr>
      </w:pPr>
      <w:bookmarkStart w:id="1161" w:name="_Toc351203560"/>
      <w:bookmarkStart w:id="1162" w:name="_Toc28532189"/>
      <w:bookmarkStart w:id="1163" w:name="_Toc5252"/>
      <w:r>
        <w:rPr>
          <w:rFonts w:ascii="Times New Roman" w:hAnsi="Times New Roman" w:eastAsia="黑体" w:cs="宋体"/>
          <w:b/>
          <w:color w:val="auto"/>
          <w:sz w:val="24"/>
          <w:szCs w:val="20"/>
          <w:highlight w:val="none"/>
        </w:rPr>
        <w:t>8.8施工设备和临时设施</w:t>
      </w:r>
      <w:bookmarkEnd w:id="1161"/>
      <w:bookmarkEnd w:id="1162"/>
      <w:bookmarkEnd w:id="1163"/>
    </w:p>
    <w:p w14:paraId="59B38AE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8.8.1 承包人提供的施工设备和临时设施</w:t>
      </w:r>
    </w:p>
    <w:p w14:paraId="7EE0765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1F0DF89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除专用合同条款另有约定外，承包人应自行承担修建临时设施的费用，需要临时占地的，应由发包人办理申请手续并承担相应费用。</w:t>
      </w:r>
    </w:p>
    <w:p w14:paraId="1D0C916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8.8.2发包人提供的施工设备和临时设施</w:t>
      </w:r>
    </w:p>
    <w:p w14:paraId="23F9AE6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发包人提供的施工设备或临时设施在专用合同条款中约定。</w:t>
      </w:r>
    </w:p>
    <w:p w14:paraId="3CBF047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8.8.3要求承包人增加或更换施工设备</w:t>
      </w:r>
    </w:p>
    <w:p w14:paraId="5072AF7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0478554E">
      <w:pPr>
        <w:keepNext/>
        <w:keepLines/>
        <w:spacing w:line="400" w:lineRule="exact"/>
        <w:outlineLvl w:val="2"/>
        <w:rPr>
          <w:rFonts w:ascii="Times New Roman" w:hAnsi="Times New Roman" w:eastAsia="黑体" w:cs="宋体"/>
          <w:b/>
          <w:color w:val="auto"/>
          <w:sz w:val="24"/>
          <w:szCs w:val="20"/>
          <w:highlight w:val="none"/>
        </w:rPr>
      </w:pPr>
      <w:bookmarkStart w:id="1164" w:name="_Toc351203561"/>
      <w:bookmarkStart w:id="1165" w:name="_Toc28532190"/>
      <w:bookmarkStart w:id="1166" w:name="_Toc30537"/>
      <w:r>
        <w:rPr>
          <w:rFonts w:ascii="Times New Roman" w:hAnsi="Times New Roman" w:eastAsia="黑体" w:cs="宋体"/>
          <w:b/>
          <w:color w:val="auto"/>
          <w:sz w:val="24"/>
          <w:szCs w:val="20"/>
          <w:highlight w:val="none"/>
        </w:rPr>
        <w:t>8</w:t>
      </w:r>
      <w:bookmarkStart w:id="1167" w:name="_Toc296503063"/>
      <w:bookmarkStart w:id="1168" w:name="_Toc337558781"/>
      <w:bookmarkStart w:id="1169" w:name="_Toc296346564"/>
      <w:r>
        <w:rPr>
          <w:rFonts w:ascii="Times New Roman" w:hAnsi="Times New Roman" w:eastAsia="黑体" w:cs="宋体"/>
          <w:b/>
          <w:color w:val="auto"/>
          <w:sz w:val="24"/>
          <w:szCs w:val="20"/>
          <w:highlight w:val="none"/>
        </w:rPr>
        <w:t>.9材料与设备专用</w:t>
      </w:r>
      <w:bookmarkEnd w:id="1164"/>
      <w:r>
        <w:rPr>
          <w:rFonts w:hint="eastAsia" w:ascii="Times New Roman" w:hAnsi="Times New Roman" w:eastAsia="黑体" w:cs="宋体"/>
          <w:b/>
          <w:color w:val="auto"/>
          <w:sz w:val="24"/>
          <w:szCs w:val="20"/>
          <w:highlight w:val="none"/>
        </w:rPr>
        <w:t>要求</w:t>
      </w:r>
      <w:bookmarkEnd w:id="1165"/>
      <w:bookmarkEnd w:id="1166"/>
    </w:p>
    <w:bookmarkEnd w:id="1167"/>
    <w:bookmarkEnd w:id="1168"/>
    <w:bookmarkEnd w:id="1169"/>
    <w:p w14:paraId="191F8F7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1132"/>
      <w:r>
        <w:rPr>
          <w:rFonts w:ascii="Times New Roman" w:hAnsi="Times New Roman"/>
          <w:color w:val="auto"/>
          <w:szCs w:val="24"/>
          <w:highlight w:val="none"/>
        </w:rPr>
        <w:t>经发包人批准，承包人可以根据施工进度计划撤走闲置的施工设备和其他物品。</w:t>
      </w:r>
    </w:p>
    <w:p w14:paraId="7899213A">
      <w:pPr>
        <w:keepNext/>
        <w:keepLines/>
        <w:spacing w:before="100" w:line="400" w:lineRule="exact"/>
        <w:outlineLvl w:val="1"/>
        <w:rPr>
          <w:rFonts w:ascii="Times New Roman" w:hAnsi="Times New Roman" w:eastAsia="黑体" w:cs="宋体"/>
          <w:b/>
          <w:color w:val="auto"/>
          <w:sz w:val="28"/>
          <w:szCs w:val="20"/>
          <w:highlight w:val="none"/>
        </w:rPr>
      </w:pPr>
      <w:bookmarkStart w:id="1170" w:name="_Toc28532191"/>
      <w:bookmarkStart w:id="1171" w:name="_Toc351203562"/>
      <w:bookmarkStart w:id="1172" w:name="_Toc19858"/>
      <w:r>
        <w:rPr>
          <w:rFonts w:ascii="Times New Roman" w:hAnsi="Times New Roman" w:eastAsia="黑体" w:cs="宋体"/>
          <w:b/>
          <w:color w:val="auto"/>
          <w:sz w:val="28"/>
          <w:szCs w:val="20"/>
          <w:highlight w:val="none"/>
        </w:rPr>
        <w:t>9</w:t>
      </w:r>
      <w:bookmarkStart w:id="1173" w:name="_Toc337558782"/>
      <w:bookmarkStart w:id="1174" w:name="_Toc296346584"/>
      <w:bookmarkStart w:id="1175" w:name="_Toc296503083"/>
      <w:r>
        <w:rPr>
          <w:rFonts w:ascii="Times New Roman" w:hAnsi="Times New Roman" w:eastAsia="黑体" w:cs="宋体"/>
          <w:b/>
          <w:color w:val="auto"/>
          <w:sz w:val="28"/>
          <w:szCs w:val="20"/>
          <w:highlight w:val="none"/>
        </w:rPr>
        <w:t>. 试验与检验</w:t>
      </w:r>
      <w:bookmarkEnd w:id="1170"/>
      <w:bookmarkEnd w:id="1171"/>
      <w:bookmarkEnd w:id="1172"/>
    </w:p>
    <w:bookmarkEnd w:id="1173"/>
    <w:p w14:paraId="3B91C863">
      <w:pPr>
        <w:keepNext/>
        <w:keepLines/>
        <w:spacing w:line="400" w:lineRule="exact"/>
        <w:outlineLvl w:val="2"/>
        <w:rPr>
          <w:rFonts w:ascii="Times New Roman" w:hAnsi="Times New Roman" w:eastAsia="黑体" w:cs="宋体"/>
          <w:b/>
          <w:color w:val="auto"/>
          <w:sz w:val="24"/>
          <w:szCs w:val="20"/>
          <w:highlight w:val="none"/>
        </w:rPr>
      </w:pPr>
      <w:bookmarkStart w:id="1176" w:name="_Toc351203563"/>
      <w:bookmarkStart w:id="1177" w:name="_Toc28063"/>
      <w:bookmarkStart w:id="1178" w:name="_Toc28532192"/>
      <w:r>
        <w:rPr>
          <w:rFonts w:ascii="Times New Roman" w:hAnsi="Times New Roman" w:eastAsia="黑体" w:cs="宋体"/>
          <w:b/>
          <w:color w:val="auto"/>
          <w:sz w:val="24"/>
          <w:szCs w:val="20"/>
          <w:highlight w:val="none"/>
        </w:rPr>
        <w:t>9</w:t>
      </w:r>
      <w:bookmarkStart w:id="1179" w:name="_Toc337558783"/>
      <w:r>
        <w:rPr>
          <w:rFonts w:ascii="Times New Roman" w:hAnsi="Times New Roman" w:eastAsia="黑体" w:cs="宋体"/>
          <w:b/>
          <w:color w:val="auto"/>
          <w:sz w:val="24"/>
          <w:szCs w:val="20"/>
          <w:highlight w:val="none"/>
        </w:rPr>
        <w:t>.1试验设备与试验人员</w:t>
      </w:r>
      <w:bookmarkEnd w:id="1176"/>
      <w:bookmarkEnd w:id="1177"/>
      <w:bookmarkEnd w:id="1178"/>
    </w:p>
    <w:bookmarkEnd w:id="1179"/>
    <w:p w14:paraId="5D0B63E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70E065B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9.1.2 承包人应按专用合同条款的约定提供试验设备、取样装置、试验场所和试验条件，并向监理人提交相应进场计划表。</w:t>
      </w:r>
    </w:p>
    <w:p w14:paraId="5172DA3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承包人配置的试验设备要符合相应试验规程的要求并经过具有资质的检测单位检测，且在正式使用该试验设备前，需要经过监理人与承包人共同校定。</w:t>
      </w:r>
    </w:p>
    <w:p w14:paraId="517FDC5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9.1.3 承包人应向监理人提交试验人员的名单及其岗位、资格等证明资料，试验人员必须能够熟练进行相应的检测试验，承包人对试验人员的试验程序和试验结果的正确性负责。</w:t>
      </w:r>
    </w:p>
    <w:p w14:paraId="0CC9A532">
      <w:pPr>
        <w:keepNext/>
        <w:keepLines/>
        <w:spacing w:line="400" w:lineRule="exact"/>
        <w:outlineLvl w:val="2"/>
        <w:rPr>
          <w:rFonts w:ascii="Times New Roman" w:hAnsi="Times New Roman" w:eastAsia="黑体" w:cs="宋体"/>
          <w:b/>
          <w:color w:val="auto"/>
          <w:sz w:val="24"/>
          <w:szCs w:val="20"/>
          <w:highlight w:val="none"/>
        </w:rPr>
      </w:pPr>
      <w:bookmarkStart w:id="1180" w:name="_Toc2221"/>
      <w:bookmarkStart w:id="1181" w:name="_Toc351203564"/>
      <w:bookmarkStart w:id="1182" w:name="_Toc28532193"/>
      <w:r>
        <w:rPr>
          <w:rFonts w:ascii="Times New Roman" w:hAnsi="Times New Roman" w:eastAsia="黑体" w:cs="宋体"/>
          <w:b/>
          <w:color w:val="auto"/>
          <w:sz w:val="24"/>
          <w:szCs w:val="20"/>
          <w:highlight w:val="none"/>
        </w:rPr>
        <w:t>9</w:t>
      </w:r>
      <w:bookmarkStart w:id="1183" w:name="_Toc337558784"/>
      <w:r>
        <w:rPr>
          <w:rFonts w:ascii="Times New Roman" w:hAnsi="Times New Roman" w:eastAsia="黑体" w:cs="宋体"/>
          <w:b/>
          <w:color w:val="auto"/>
          <w:sz w:val="24"/>
          <w:szCs w:val="20"/>
          <w:highlight w:val="none"/>
        </w:rPr>
        <w:t>.2取样</w:t>
      </w:r>
      <w:bookmarkEnd w:id="1180"/>
      <w:bookmarkEnd w:id="1181"/>
      <w:bookmarkEnd w:id="1182"/>
    </w:p>
    <w:bookmarkEnd w:id="1183"/>
    <w:p w14:paraId="4F40FB9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试验属于自检性质的，承包人可以单独取样。试验属于监理人抽检性质的，可由监理人取样，也可由承包人的试验人员在监理人的监督下取样。</w:t>
      </w:r>
    </w:p>
    <w:p w14:paraId="17304E3D">
      <w:pPr>
        <w:keepNext/>
        <w:keepLines/>
        <w:spacing w:line="400" w:lineRule="exact"/>
        <w:outlineLvl w:val="2"/>
        <w:rPr>
          <w:rFonts w:ascii="Times New Roman" w:hAnsi="Times New Roman" w:eastAsia="黑体" w:cs="宋体"/>
          <w:b/>
          <w:color w:val="auto"/>
          <w:sz w:val="24"/>
          <w:szCs w:val="20"/>
          <w:highlight w:val="none"/>
        </w:rPr>
      </w:pPr>
      <w:bookmarkStart w:id="1184" w:name="_Toc351203565"/>
      <w:bookmarkStart w:id="1185" w:name="_Toc23055"/>
      <w:bookmarkStart w:id="1186" w:name="_Toc28532194"/>
      <w:r>
        <w:rPr>
          <w:rFonts w:ascii="Times New Roman" w:hAnsi="Times New Roman" w:eastAsia="黑体" w:cs="宋体"/>
          <w:b/>
          <w:color w:val="auto"/>
          <w:sz w:val="24"/>
          <w:szCs w:val="20"/>
          <w:highlight w:val="none"/>
        </w:rPr>
        <w:t>9</w:t>
      </w:r>
      <w:bookmarkStart w:id="1187" w:name="_Toc337558785"/>
      <w:r>
        <w:rPr>
          <w:rFonts w:ascii="Times New Roman" w:hAnsi="Times New Roman" w:eastAsia="黑体" w:cs="宋体"/>
          <w:b/>
          <w:color w:val="auto"/>
          <w:sz w:val="24"/>
          <w:szCs w:val="20"/>
          <w:highlight w:val="none"/>
        </w:rPr>
        <w:t>.3材料、工程设备和工程的试验和检验</w:t>
      </w:r>
      <w:bookmarkEnd w:id="1184"/>
      <w:bookmarkEnd w:id="1185"/>
      <w:bookmarkEnd w:id="1186"/>
    </w:p>
    <w:bookmarkEnd w:id="1187"/>
    <w:p w14:paraId="39E966C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C64161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7CF0900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C954924">
      <w:pPr>
        <w:keepNext/>
        <w:keepLines/>
        <w:spacing w:line="400" w:lineRule="exact"/>
        <w:outlineLvl w:val="2"/>
        <w:rPr>
          <w:rFonts w:ascii="Times New Roman" w:hAnsi="Times New Roman" w:eastAsia="黑体" w:cs="宋体"/>
          <w:b/>
          <w:color w:val="auto"/>
          <w:sz w:val="24"/>
          <w:szCs w:val="20"/>
          <w:highlight w:val="none"/>
        </w:rPr>
      </w:pPr>
      <w:bookmarkStart w:id="1188" w:name="_Toc351203566"/>
      <w:bookmarkStart w:id="1189" w:name="_Toc28532195"/>
      <w:bookmarkStart w:id="1190" w:name="_Toc444"/>
      <w:r>
        <w:rPr>
          <w:rFonts w:ascii="Times New Roman" w:hAnsi="Times New Roman" w:eastAsia="黑体" w:cs="宋体"/>
          <w:b/>
          <w:color w:val="auto"/>
          <w:sz w:val="24"/>
          <w:szCs w:val="20"/>
          <w:highlight w:val="none"/>
        </w:rPr>
        <w:t>9</w:t>
      </w:r>
      <w:bookmarkStart w:id="1191" w:name="_Toc337558786"/>
      <w:r>
        <w:rPr>
          <w:rFonts w:ascii="Times New Roman" w:hAnsi="Times New Roman" w:eastAsia="黑体" w:cs="宋体"/>
          <w:b/>
          <w:color w:val="auto"/>
          <w:sz w:val="24"/>
          <w:szCs w:val="20"/>
          <w:highlight w:val="none"/>
        </w:rPr>
        <w:t>.4现场工艺试验</w:t>
      </w:r>
      <w:bookmarkEnd w:id="1188"/>
      <w:bookmarkEnd w:id="1189"/>
      <w:bookmarkEnd w:id="1190"/>
    </w:p>
    <w:bookmarkEnd w:id="1191"/>
    <w:p w14:paraId="683DDD5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承包人应按合同约定或监理人指示进行现场工艺试验。对大型的现场工艺试验，监理人认为必要时，承包人应根据监理人提出的工艺试验要求，编制工艺试验措施计划，报送监理人审查。</w:t>
      </w:r>
    </w:p>
    <w:p w14:paraId="28DF64B3">
      <w:pPr>
        <w:keepNext/>
        <w:keepLines/>
        <w:spacing w:before="100" w:line="400" w:lineRule="exact"/>
        <w:outlineLvl w:val="1"/>
        <w:rPr>
          <w:rFonts w:ascii="Times New Roman" w:hAnsi="Times New Roman" w:eastAsia="黑体" w:cs="宋体"/>
          <w:b/>
          <w:color w:val="auto"/>
          <w:sz w:val="28"/>
          <w:szCs w:val="20"/>
          <w:highlight w:val="none"/>
        </w:rPr>
      </w:pPr>
      <w:bookmarkStart w:id="1192" w:name="_Toc28532196"/>
      <w:bookmarkStart w:id="1193" w:name="_Toc351203567"/>
      <w:bookmarkStart w:id="1194" w:name="_Toc27888"/>
      <w:r>
        <w:rPr>
          <w:rFonts w:ascii="Times New Roman" w:hAnsi="Times New Roman" w:eastAsia="黑体" w:cs="宋体"/>
          <w:b/>
          <w:color w:val="auto"/>
          <w:sz w:val="28"/>
          <w:szCs w:val="20"/>
          <w:highlight w:val="none"/>
        </w:rPr>
        <w:t>1</w:t>
      </w:r>
      <w:bookmarkStart w:id="1195" w:name="_Toc337558787"/>
      <w:r>
        <w:rPr>
          <w:rFonts w:ascii="Times New Roman" w:hAnsi="Times New Roman" w:eastAsia="黑体" w:cs="宋体"/>
          <w:b/>
          <w:color w:val="auto"/>
          <w:sz w:val="28"/>
          <w:szCs w:val="20"/>
          <w:highlight w:val="none"/>
        </w:rPr>
        <w:t>0. 变更</w:t>
      </w:r>
      <w:bookmarkEnd w:id="1174"/>
      <w:bookmarkEnd w:id="1175"/>
      <w:bookmarkEnd w:id="1192"/>
      <w:bookmarkEnd w:id="1193"/>
      <w:bookmarkEnd w:id="1194"/>
    </w:p>
    <w:bookmarkEnd w:id="1195"/>
    <w:p w14:paraId="7BF9BC98">
      <w:pPr>
        <w:keepNext/>
        <w:keepLines/>
        <w:spacing w:line="400" w:lineRule="exact"/>
        <w:outlineLvl w:val="2"/>
        <w:rPr>
          <w:rFonts w:ascii="Times New Roman" w:hAnsi="Times New Roman" w:eastAsia="黑体" w:cs="宋体"/>
          <w:b/>
          <w:color w:val="auto"/>
          <w:sz w:val="24"/>
          <w:szCs w:val="20"/>
          <w:highlight w:val="none"/>
        </w:rPr>
      </w:pPr>
      <w:bookmarkStart w:id="1196" w:name="_Toc28532197"/>
      <w:bookmarkStart w:id="1197" w:name="_Toc351203568"/>
      <w:bookmarkStart w:id="1198" w:name="_Toc9106"/>
      <w:r>
        <w:rPr>
          <w:rFonts w:ascii="Times New Roman" w:hAnsi="Times New Roman" w:eastAsia="黑体" w:cs="宋体"/>
          <w:b/>
          <w:color w:val="auto"/>
          <w:sz w:val="24"/>
          <w:szCs w:val="20"/>
          <w:highlight w:val="none"/>
        </w:rPr>
        <w:t>1</w:t>
      </w:r>
      <w:bookmarkStart w:id="1199" w:name="_Toc296346585"/>
      <w:bookmarkStart w:id="1200" w:name="_Toc296503084"/>
      <w:bookmarkStart w:id="1201" w:name="_Toc337558788"/>
      <w:r>
        <w:rPr>
          <w:rFonts w:ascii="Times New Roman" w:hAnsi="Times New Roman" w:eastAsia="黑体" w:cs="宋体"/>
          <w:b/>
          <w:color w:val="auto"/>
          <w:sz w:val="24"/>
          <w:szCs w:val="20"/>
          <w:highlight w:val="none"/>
        </w:rPr>
        <w:t>0.1变更的范围</w:t>
      </w:r>
      <w:bookmarkEnd w:id="1196"/>
      <w:bookmarkEnd w:id="1197"/>
      <w:bookmarkEnd w:id="1198"/>
    </w:p>
    <w:bookmarkEnd w:id="1199"/>
    <w:bookmarkEnd w:id="1200"/>
    <w:bookmarkEnd w:id="1201"/>
    <w:p w14:paraId="0BEFC6A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除专用合同条款另有约定外，合同履行过程中发生以下情形的，应按照本条约定进行变更：</w:t>
      </w:r>
    </w:p>
    <w:p w14:paraId="4A7F355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（1）增加或减少合同中任何工作，或追加额外的工作；</w:t>
      </w:r>
    </w:p>
    <w:p w14:paraId="46C7DFB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（2）取消合同中任何工作，但转由他人实施的工作除外；</w:t>
      </w:r>
    </w:p>
    <w:p w14:paraId="1526230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（3）改变合同中任何工作的质量标准或其他特性；</w:t>
      </w:r>
    </w:p>
    <w:p w14:paraId="3CCE518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（4）改变工程的基线、标高、位置和尺寸；</w:t>
      </w:r>
    </w:p>
    <w:p w14:paraId="54C7CC5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（5）改变工程的时间安排或实施顺序。</w:t>
      </w:r>
    </w:p>
    <w:p w14:paraId="69622194">
      <w:pPr>
        <w:keepNext/>
        <w:keepLines/>
        <w:spacing w:line="400" w:lineRule="exact"/>
        <w:outlineLvl w:val="2"/>
        <w:rPr>
          <w:rFonts w:ascii="Times New Roman" w:hAnsi="Times New Roman" w:eastAsia="黑体" w:cs="宋体"/>
          <w:b/>
          <w:color w:val="auto"/>
          <w:sz w:val="24"/>
          <w:szCs w:val="20"/>
          <w:highlight w:val="none"/>
        </w:rPr>
      </w:pPr>
      <w:bookmarkStart w:id="1202" w:name="_Toc31261"/>
      <w:bookmarkStart w:id="1203" w:name="_Toc28532198"/>
      <w:bookmarkStart w:id="1204" w:name="_Toc351203569"/>
      <w:r>
        <w:rPr>
          <w:rFonts w:ascii="Times New Roman" w:hAnsi="Times New Roman" w:eastAsia="黑体" w:cs="宋体"/>
          <w:b/>
          <w:color w:val="auto"/>
          <w:sz w:val="24"/>
          <w:szCs w:val="20"/>
          <w:highlight w:val="none"/>
        </w:rPr>
        <w:t>1</w:t>
      </w:r>
      <w:bookmarkStart w:id="1205" w:name="_Toc296503085"/>
      <w:bookmarkStart w:id="1206" w:name="_Toc337558789"/>
      <w:bookmarkStart w:id="1207" w:name="_Toc296346586"/>
      <w:r>
        <w:rPr>
          <w:rFonts w:ascii="Times New Roman" w:hAnsi="Times New Roman" w:eastAsia="黑体" w:cs="宋体"/>
          <w:b/>
          <w:color w:val="auto"/>
          <w:sz w:val="24"/>
          <w:szCs w:val="20"/>
          <w:highlight w:val="none"/>
        </w:rPr>
        <w:t>0.2变更权</w:t>
      </w:r>
      <w:bookmarkEnd w:id="1202"/>
      <w:bookmarkEnd w:id="1203"/>
      <w:bookmarkEnd w:id="1204"/>
    </w:p>
    <w:bookmarkEnd w:id="1205"/>
    <w:bookmarkEnd w:id="1206"/>
    <w:bookmarkEnd w:id="1207"/>
    <w:p w14:paraId="37600E2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02E5693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涉及设计变更的，应由设计人提供变更后的图纸和说明。如变更超过原设计标准或批准的建设规模时，发包人应及时办理规划、设计变更</w:t>
      </w:r>
      <w:r>
        <w:rPr>
          <w:rFonts w:hint="eastAsia" w:ascii="Times New Roman" w:hAnsi="Times New Roman"/>
          <w:color w:val="auto"/>
          <w:szCs w:val="24"/>
          <w:highlight w:val="none"/>
        </w:rPr>
        <w:t>等</w:t>
      </w:r>
      <w:r>
        <w:rPr>
          <w:rFonts w:ascii="Times New Roman" w:hAnsi="Times New Roman"/>
          <w:color w:val="auto"/>
          <w:szCs w:val="24"/>
          <w:highlight w:val="none"/>
        </w:rPr>
        <w:t>审批手续。</w:t>
      </w:r>
    </w:p>
    <w:p w14:paraId="7716B72F">
      <w:pPr>
        <w:keepNext/>
        <w:keepLines/>
        <w:spacing w:line="400" w:lineRule="exact"/>
        <w:outlineLvl w:val="2"/>
        <w:rPr>
          <w:rFonts w:ascii="Times New Roman" w:hAnsi="Times New Roman" w:eastAsia="黑体" w:cs="宋体"/>
          <w:b/>
          <w:color w:val="auto"/>
          <w:sz w:val="24"/>
          <w:szCs w:val="20"/>
          <w:highlight w:val="none"/>
        </w:rPr>
      </w:pPr>
      <w:bookmarkStart w:id="1208" w:name="_Toc28532199"/>
      <w:bookmarkStart w:id="1209" w:name="_Toc7574"/>
      <w:bookmarkStart w:id="1210" w:name="_Toc351203570"/>
      <w:r>
        <w:rPr>
          <w:rFonts w:ascii="Times New Roman" w:hAnsi="Times New Roman" w:eastAsia="黑体" w:cs="宋体"/>
          <w:b/>
          <w:color w:val="auto"/>
          <w:sz w:val="24"/>
          <w:szCs w:val="20"/>
          <w:highlight w:val="none"/>
        </w:rPr>
        <w:t>1</w:t>
      </w:r>
      <w:bookmarkStart w:id="1211" w:name="_Toc337558790"/>
      <w:bookmarkStart w:id="1212" w:name="_Toc296503086"/>
      <w:bookmarkStart w:id="1213" w:name="_Toc296346587"/>
      <w:r>
        <w:rPr>
          <w:rFonts w:ascii="Times New Roman" w:hAnsi="Times New Roman" w:eastAsia="黑体" w:cs="宋体"/>
          <w:b/>
          <w:color w:val="auto"/>
          <w:sz w:val="24"/>
          <w:szCs w:val="20"/>
          <w:highlight w:val="none"/>
        </w:rPr>
        <w:t>0.3变更程序</w:t>
      </w:r>
      <w:bookmarkEnd w:id="1208"/>
      <w:bookmarkEnd w:id="1209"/>
      <w:bookmarkEnd w:id="1210"/>
    </w:p>
    <w:bookmarkEnd w:id="1211"/>
    <w:bookmarkEnd w:id="1212"/>
    <w:bookmarkEnd w:id="1213"/>
    <w:p w14:paraId="7BCD773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10.3.1 发包人提出变更</w:t>
      </w:r>
    </w:p>
    <w:p w14:paraId="546D940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发包人提出变更的，应通过监理人向承包人发出变更指示，变更指示应说明计划变更的工程范围和变更的内容。</w:t>
      </w:r>
    </w:p>
    <w:p w14:paraId="6B7BB70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10.3.2 监理人提出变更建议</w:t>
      </w:r>
    </w:p>
    <w:p w14:paraId="33B57ABA">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65DB6DA">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10.3.3 变更执行</w:t>
      </w:r>
    </w:p>
    <w:p w14:paraId="21D9CDF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承包人收到监理人下达的变更指示后，</w:t>
      </w:r>
      <w:r>
        <w:rPr>
          <w:rFonts w:hint="eastAsia" w:ascii="Times New Roman" w:hAnsi="Times New Roman"/>
          <w:color w:val="auto"/>
          <w:szCs w:val="24"/>
          <w:highlight w:val="none"/>
        </w:rPr>
        <w:t>认为不能执行，应立即</w:t>
      </w:r>
      <w:r>
        <w:rPr>
          <w:rFonts w:ascii="Times New Roman" w:hAnsi="Times New Roman"/>
          <w:color w:val="auto"/>
          <w:szCs w:val="24"/>
          <w:highlight w:val="none"/>
        </w:rPr>
        <w:t>提出不能执行该变更指示的理由。承包人</w:t>
      </w:r>
      <w:r>
        <w:rPr>
          <w:rFonts w:hint="eastAsia" w:ascii="Times New Roman" w:hAnsi="Times New Roman"/>
          <w:color w:val="auto"/>
          <w:szCs w:val="24"/>
          <w:highlight w:val="none"/>
        </w:rPr>
        <w:t>认为可以</w:t>
      </w:r>
      <w:r>
        <w:rPr>
          <w:rFonts w:ascii="Times New Roman" w:hAnsi="Times New Roman"/>
          <w:color w:val="auto"/>
          <w:szCs w:val="24"/>
          <w:highlight w:val="none"/>
        </w:rPr>
        <w:t>执行变更的，</w:t>
      </w:r>
      <w:r>
        <w:rPr>
          <w:rFonts w:hint="eastAsia" w:ascii="Times New Roman" w:hAnsi="Times New Roman"/>
          <w:color w:val="auto"/>
          <w:szCs w:val="24"/>
          <w:highlight w:val="none"/>
        </w:rPr>
        <w:t>应当书面说明实施该变更指示对合同价格和工期的影响，且合同当事人应当按照第10.4款〔变更估价〕约定确定变更估价</w:t>
      </w:r>
      <w:r>
        <w:rPr>
          <w:rFonts w:ascii="Times New Roman" w:hAnsi="Times New Roman"/>
          <w:color w:val="auto"/>
          <w:szCs w:val="24"/>
          <w:highlight w:val="none"/>
        </w:rPr>
        <w:t>。</w:t>
      </w:r>
    </w:p>
    <w:p w14:paraId="7B46EF07">
      <w:pPr>
        <w:keepNext/>
        <w:keepLines/>
        <w:spacing w:line="400" w:lineRule="exact"/>
        <w:outlineLvl w:val="2"/>
        <w:rPr>
          <w:rFonts w:ascii="Times New Roman" w:hAnsi="Times New Roman" w:eastAsia="黑体" w:cs="宋体"/>
          <w:b/>
          <w:color w:val="auto"/>
          <w:sz w:val="24"/>
          <w:szCs w:val="20"/>
          <w:highlight w:val="none"/>
        </w:rPr>
      </w:pPr>
      <w:bookmarkStart w:id="1214" w:name="_Toc28532200"/>
      <w:bookmarkStart w:id="1215" w:name="_Toc351203571"/>
      <w:bookmarkStart w:id="1216" w:name="_Toc14996"/>
      <w:r>
        <w:rPr>
          <w:rFonts w:ascii="Times New Roman" w:hAnsi="Times New Roman" w:eastAsia="黑体" w:cs="宋体"/>
          <w:b/>
          <w:color w:val="auto"/>
          <w:sz w:val="24"/>
          <w:szCs w:val="20"/>
          <w:highlight w:val="none"/>
        </w:rPr>
        <w:t>1</w:t>
      </w:r>
      <w:bookmarkStart w:id="1217" w:name="_Toc296503087"/>
      <w:bookmarkStart w:id="1218" w:name="_Toc337558791"/>
      <w:bookmarkStart w:id="1219" w:name="_Toc296346588"/>
      <w:r>
        <w:rPr>
          <w:rFonts w:ascii="Times New Roman" w:hAnsi="Times New Roman" w:eastAsia="黑体" w:cs="宋体"/>
          <w:b/>
          <w:color w:val="auto"/>
          <w:sz w:val="24"/>
          <w:szCs w:val="20"/>
          <w:highlight w:val="none"/>
        </w:rPr>
        <w:t>0.4变更估价</w:t>
      </w:r>
      <w:bookmarkEnd w:id="1214"/>
      <w:bookmarkEnd w:id="1215"/>
      <w:bookmarkEnd w:id="1216"/>
    </w:p>
    <w:bookmarkEnd w:id="1217"/>
    <w:bookmarkEnd w:id="1218"/>
    <w:bookmarkEnd w:id="1219"/>
    <w:p w14:paraId="16FE11C7">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10.4.1 变更估价原则</w:t>
      </w:r>
    </w:p>
    <w:p w14:paraId="72693B0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除专用合同条款另有约定外，变更估价按照本款约定处理：</w:t>
      </w:r>
    </w:p>
    <w:p w14:paraId="466B824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（1）已标价工程量清单或预算书有相同项目的，按照相同项目单价认定；</w:t>
      </w:r>
    </w:p>
    <w:p w14:paraId="05CAE6D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（2）已标价工程量清单或预算书中无相同项目，但有类似项目的，参照类似项目的单价认定；</w:t>
      </w:r>
    </w:p>
    <w:p w14:paraId="6C14E7E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确定变更工作的单价。</w:t>
      </w:r>
    </w:p>
    <w:p w14:paraId="26FD1CBE">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10.4.2 变更估价程序</w:t>
      </w:r>
    </w:p>
    <w:p w14:paraId="5353AF0E">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承包人应在收到变更指示后14天内，向监理人提交变更估价申请。监理人应在收到承包人提交的变更估价申请后7天内审查完毕并报送发包人，监理人对变更估价申请有异议</w:t>
      </w:r>
      <w:r>
        <w:rPr>
          <w:rFonts w:ascii="Times New Roman" w:hAnsi="Times New Roman"/>
          <w:color w:val="auto"/>
          <w:szCs w:val="24"/>
          <w:highlight w:val="none"/>
        </w:rPr>
        <w:t>，通知承包人</w:t>
      </w:r>
      <w:r>
        <w:rPr>
          <w:rFonts w:hint="eastAsia" w:ascii="Times New Roman" w:hAnsi="Times New Roman"/>
          <w:color w:val="auto"/>
          <w:szCs w:val="24"/>
          <w:highlight w:val="none"/>
        </w:rPr>
        <w:t>修</w:t>
      </w:r>
      <w:r>
        <w:rPr>
          <w:rFonts w:ascii="Times New Roman" w:hAnsi="Times New Roman"/>
          <w:color w:val="auto"/>
          <w:szCs w:val="24"/>
          <w:highlight w:val="none"/>
        </w:rPr>
        <w:t>改</w:t>
      </w:r>
      <w:r>
        <w:rPr>
          <w:rFonts w:hint="eastAsia" w:ascii="Times New Roman" w:hAnsi="Times New Roman"/>
          <w:color w:val="auto"/>
          <w:szCs w:val="24"/>
          <w:highlight w:val="none"/>
        </w:rPr>
        <w:t>后重新提交</w:t>
      </w:r>
      <w:r>
        <w:rPr>
          <w:rFonts w:ascii="Times New Roman" w:hAnsi="Times New Roman"/>
          <w:color w:val="auto"/>
          <w:szCs w:val="24"/>
          <w:highlight w:val="none"/>
        </w:rPr>
        <w:t>。发包人应在</w:t>
      </w:r>
      <w:r>
        <w:rPr>
          <w:rFonts w:hint="eastAsia" w:ascii="Times New Roman" w:hAnsi="Times New Roman"/>
          <w:color w:val="auto"/>
          <w:szCs w:val="24"/>
          <w:highlight w:val="none"/>
        </w:rPr>
        <w:t>承包人提交变更估价申请</w:t>
      </w:r>
      <w:r>
        <w:rPr>
          <w:rFonts w:ascii="Times New Roman" w:hAnsi="Times New Roman"/>
          <w:color w:val="auto"/>
          <w:szCs w:val="24"/>
          <w:highlight w:val="none"/>
        </w:rPr>
        <w:t>后</w:t>
      </w:r>
      <w:r>
        <w:rPr>
          <w:rFonts w:hint="eastAsia" w:ascii="Times New Roman" w:hAnsi="Times New Roman"/>
          <w:color w:val="auto"/>
          <w:szCs w:val="24"/>
          <w:highlight w:val="none"/>
        </w:rPr>
        <w:t>14</w:t>
      </w:r>
      <w:r>
        <w:rPr>
          <w:rFonts w:ascii="Times New Roman" w:hAnsi="Times New Roman"/>
          <w:color w:val="auto"/>
          <w:szCs w:val="24"/>
          <w:highlight w:val="none"/>
        </w:rPr>
        <w:t>天内审批完毕。</w:t>
      </w:r>
      <w:r>
        <w:rPr>
          <w:rFonts w:hint="eastAsia" w:ascii="Times New Roman" w:hAnsi="Times New Roman"/>
          <w:color w:val="auto"/>
          <w:szCs w:val="24"/>
          <w:highlight w:val="none"/>
        </w:rPr>
        <w:t>发包人逾期未完成审批或未提出异议的，视为认可承包人提交的变更估价申请。</w:t>
      </w:r>
    </w:p>
    <w:p w14:paraId="1BF703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因变更引起的价格调整应计入最近一期的进度款中支付。</w:t>
      </w:r>
    </w:p>
    <w:p w14:paraId="550A82E9">
      <w:pPr>
        <w:keepNext/>
        <w:keepLines/>
        <w:spacing w:line="400" w:lineRule="exact"/>
        <w:outlineLvl w:val="2"/>
        <w:rPr>
          <w:rFonts w:ascii="Times New Roman" w:hAnsi="Times New Roman" w:eastAsia="黑体" w:cs="宋体"/>
          <w:b/>
          <w:color w:val="auto"/>
          <w:sz w:val="24"/>
          <w:szCs w:val="20"/>
          <w:highlight w:val="none"/>
        </w:rPr>
      </w:pPr>
      <w:bookmarkStart w:id="1220" w:name="_Toc28532201"/>
      <w:bookmarkStart w:id="1221" w:name="_Toc351203572"/>
      <w:bookmarkStart w:id="1222" w:name="_Toc5963"/>
      <w:r>
        <w:rPr>
          <w:rFonts w:ascii="Times New Roman" w:hAnsi="Times New Roman" w:eastAsia="黑体" w:cs="宋体"/>
          <w:b/>
          <w:color w:val="auto"/>
          <w:sz w:val="24"/>
          <w:szCs w:val="20"/>
          <w:highlight w:val="none"/>
        </w:rPr>
        <w:t>1</w:t>
      </w:r>
      <w:bookmarkStart w:id="1223" w:name="_Toc296503094"/>
      <w:bookmarkStart w:id="1224" w:name="_Toc337558792"/>
      <w:bookmarkStart w:id="1225" w:name="_Toc296346595"/>
      <w:r>
        <w:rPr>
          <w:rFonts w:ascii="Times New Roman" w:hAnsi="Times New Roman" w:eastAsia="黑体" w:cs="宋体"/>
          <w:b/>
          <w:color w:val="auto"/>
          <w:sz w:val="24"/>
          <w:szCs w:val="20"/>
          <w:highlight w:val="none"/>
        </w:rPr>
        <w:t>0.5承包人的合理化建议</w:t>
      </w:r>
      <w:bookmarkEnd w:id="1220"/>
      <w:bookmarkEnd w:id="1221"/>
      <w:bookmarkEnd w:id="1222"/>
    </w:p>
    <w:bookmarkEnd w:id="1223"/>
    <w:bookmarkEnd w:id="1224"/>
    <w:bookmarkEnd w:id="1225"/>
    <w:p w14:paraId="434CC12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承包人提出合理化建议的，应向监理人提交合理化建议说明，说明建议的内容和理由，以及实施该建议对合同价格和工期的影响。</w:t>
      </w:r>
    </w:p>
    <w:p w14:paraId="5CF8619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color w:val="auto"/>
          <w:szCs w:val="24"/>
          <w:highlight w:val="none"/>
        </w:rPr>
        <w:t>〔</w:t>
      </w:r>
      <w:r>
        <w:rPr>
          <w:rFonts w:ascii="Times New Roman" w:hAnsi="Times New Roman"/>
          <w:color w:val="auto"/>
          <w:szCs w:val="24"/>
          <w:highlight w:val="none"/>
        </w:rPr>
        <w:t>变更估价</w:t>
      </w:r>
      <w:r>
        <w:rPr>
          <w:rFonts w:hint="eastAsia" w:ascii="Times New Roman" w:hAnsi="Times New Roman"/>
          <w:color w:val="auto"/>
          <w:szCs w:val="24"/>
          <w:highlight w:val="none"/>
        </w:rPr>
        <w:t>〕</w:t>
      </w:r>
      <w:r>
        <w:rPr>
          <w:rFonts w:ascii="Times New Roman" w:hAnsi="Times New Roman"/>
          <w:color w:val="auto"/>
          <w:szCs w:val="24"/>
          <w:highlight w:val="none"/>
        </w:rPr>
        <w:t>约定执行。发包人不同意变更的，监理人应书面通知承包人。</w:t>
      </w:r>
    </w:p>
    <w:p w14:paraId="34FFC7D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合理化建议降低了合同价格或者提高了工程经济效益的，发包人可对承包人给予奖励，奖励的方法和金额在专用合同条款中约定。</w:t>
      </w:r>
    </w:p>
    <w:p w14:paraId="1380647C">
      <w:pPr>
        <w:keepNext/>
        <w:keepLines/>
        <w:spacing w:line="400" w:lineRule="exact"/>
        <w:outlineLvl w:val="2"/>
        <w:rPr>
          <w:rFonts w:ascii="Times New Roman" w:hAnsi="Times New Roman" w:eastAsia="黑体" w:cs="宋体"/>
          <w:b/>
          <w:color w:val="auto"/>
          <w:sz w:val="24"/>
          <w:szCs w:val="20"/>
          <w:highlight w:val="none"/>
        </w:rPr>
      </w:pPr>
      <w:bookmarkStart w:id="1226" w:name="_Toc351203573"/>
      <w:bookmarkStart w:id="1227" w:name="_Toc18495"/>
      <w:bookmarkStart w:id="1228" w:name="_Toc28532202"/>
      <w:r>
        <w:rPr>
          <w:rFonts w:ascii="Times New Roman" w:hAnsi="Times New Roman" w:eastAsia="黑体" w:cs="宋体"/>
          <w:b/>
          <w:color w:val="auto"/>
          <w:sz w:val="24"/>
          <w:szCs w:val="20"/>
          <w:highlight w:val="none"/>
        </w:rPr>
        <w:t>1</w:t>
      </w:r>
      <w:bookmarkStart w:id="1229" w:name="_Toc337558793"/>
      <w:r>
        <w:rPr>
          <w:rFonts w:ascii="Times New Roman" w:hAnsi="Times New Roman" w:eastAsia="黑体" w:cs="宋体"/>
          <w:b/>
          <w:color w:val="auto"/>
          <w:sz w:val="24"/>
          <w:szCs w:val="20"/>
          <w:highlight w:val="none"/>
        </w:rPr>
        <w:t>0.6变更引起的工期调整</w:t>
      </w:r>
      <w:bookmarkEnd w:id="1226"/>
      <w:bookmarkEnd w:id="1227"/>
      <w:bookmarkEnd w:id="1228"/>
      <w:r>
        <w:rPr>
          <w:rFonts w:ascii="Times New Roman" w:hAnsi="Times New Roman" w:eastAsia="黑体" w:cs="宋体"/>
          <w:b/>
          <w:color w:val="auto"/>
          <w:sz w:val="24"/>
          <w:szCs w:val="20"/>
          <w:highlight w:val="none"/>
        </w:rPr>
        <w:t xml:space="preserve"> </w:t>
      </w:r>
      <w:bookmarkEnd w:id="1229"/>
      <w:r>
        <w:rPr>
          <w:rFonts w:ascii="Times New Roman" w:hAnsi="Times New Roman" w:eastAsia="黑体" w:cs="宋体"/>
          <w:b/>
          <w:color w:val="auto"/>
          <w:sz w:val="24"/>
          <w:szCs w:val="20"/>
          <w:highlight w:val="none"/>
        </w:rPr>
        <w:t xml:space="preserve">  </w:t>
      </w:r>
    </w:p>
    <w:p w14:paraId="12BCE1F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因变更引起工期变化的，合同当事人均可要求调整合同工期，由合同当事人按照第4.4款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并参考工程所在地的工期定额标准确定增减工期天数。</w:t>
      </w:r>
    </w:p>
    <w:p w14:paraId="0BDB54CA">
      <w:pPr>
        <w:keepNext/>
        <w:keepLines/>
        <w:spacing w:line="400" w:lineRule="exact"/>
        <w:outlineLvl w:val="2"/>
        <w:rPr>
          <w:rFonts w:ascii="Times New Roman" w:hAnsi="Times New Roman" w:eastAsia="黑体" w:cs="宋体"/>
          <w:b/>
          <w:color w:val="auto"/>
          <w:sz w:val="24"/>
          <w:szCs w:val="20"/>
          <w:highlight w:val="none"/>
        </w:rPr>
      </w:pPr>
      <w:bookmarkStart w:id="1230" w:name="_Toc351203574"/>
      <w:bookmarkStart w:id="1231" w:name="_Toc31114"/>
      <w:bookmarkStart w:id="1232" w:name="_Toc28532203"/>
      <w:r>
        <w:rPr>
          <w:rFonts w:ascii="Times New Roman" w:hAnsi="Times New Roman" w:eastAsia="黑体" w:cs="宋体"/>
          <w:b/>
          <w:color w:val="auto"/>
          <w:sz w:val="24"/>
          <w:szCs w:val="20"/>
          <w:highlight w:val="none"/>
        </w:rPr>
        <w:t>10.7暂估价</w:t>
      </w:r>
      <w:bookmarkEnd w:id="1230"/>
      <w:bookmarkEnd w:id="1231"/>
      <w:bookmarkEnd w:id="1232"/>
    </w:p>
    <w:p w14:paraId="2AD4FC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暂估价专业分包工程、</w:t>
      </w:r>
      <w:r>
        <w:rPr>
          <w:rFonts w:hint="eastAsia" w:ascii="Times New Roman" w:hAnsi="Times New Roman"/>
          <w:color w:val="auto"/>
          <w:szCs w:val="24"/>
          <w:highlight w:val="none"/>
        </w:rPr>
        <w:t>服务、</w:t>
      </w:r>
      <w:r>
        <w:rPr>
          <w:rFonts w:ascii="Times New Roman" w:hAnsi="Times New Roman"/>
          <w:color w:val="auto"/>
          <w:szCs w:val="24"/>
          <w:highlight w:val="none"/>
        </w:rPr>
        <w:t>材料和工程设备的明细由合同当事人在专用合同条款中约定。</w:t>
      </w:r>
    </w:p>
    <w:p w14:paraId="180364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10.7.1 依法必须招标的暂估价项目</w:t>
      </w:r>
    </w:p>
    <w:p w14:paraId="796DF0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对于依法必须招标的暂估价项目，采取以下第1种方式确定</w:t>
      </w:r>
      <w:r>
        <w:rPr>
          <w:rFonts w:hint="eastAsia" w:ascii="Times New Roman" w:hAnsi="Times New Roman"/>
          <w:color w:val="auto"/>
          <w:szCs w:val="24"/>
          <w:highlight w:val="none"/>
        </w:rPr>
        <w:t>。合同当事人也可以在</w:t>
      </w:r>
      <w:r>
        <w:rPr>
          <w:rFonts w:ascii="Times New Roman" w:hAnsi="Times New Roman"/>
          <w:color w:val="auto"/>
          <w:szCs w:val="24"/>
          <w:highlight w:val="none"/>
        </w:rPr>
        <w:t>专用合同条款</w:t>
      </w:r>
      <w:r>
        <w:rPr>
          <w:rFonts w:hint="eastAsia" w:ascii="Times New Roman" w:hAnsi="Times New Roman"/>
          <w:color w:val="auto"/>
          <w:szCs w:val="24"/>
          <w:highlight w:val="none"/>
        </w:rPr>
        <w:t>中选择其他招标方式。</w:t>
      </w:r>
    </w:p>
    <w:p w14:paraId="2DA0FAD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第1种方式：对于依法必须招标的暂估价项目，由承包人招标，对该暂估价项目的确认和批准按照以下约定执行：</w:t>
      </w:r>
    </w:p>
    <w:p w14:paraId="25494FA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688BBC1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color w:val="auto"/>
          <w:szCs w:val="24"/>
          <w:highlight w:val="none"/>
        </w:rPr>
        <w:t>并按照法律规定参加评标</w:t>
      </w:r>
      <w:r>
        <w:rPr>
          <w:rFonts w:ascii="Times New Roman" w:hAnsi="Times New Roman"/>
          <w:color w:val="auto"/>
          <w:szCs w:val="24"/>
          <w:highlight w:val="none"/>
        </w:rPr>
        <w:t>；</w:t>
      </w:r>
    </w:p>
    <w:p w14:paraId="71919FA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D45BD8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62AE493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10.7.2不属于依法必须招标的暂估价项目</w:t>
      </w:r>
    </w:p>
    <w:p w14:paraId="6A8957B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除专用合同条款另有约定外，对于不属于依法必须招标的暂估价项目，采取以下第1种方式确定：</w:t>
      </w:r>
      <w:r>
        <w:rPr>
          <w:rFonts w:hint="eastAsia" w:ascii="Times New Roman" w:hAnsi="Times New Roman"/>
          <w:color w:val="auto"/>
          <w:szCs w:val="24"/>
          <w:highlight w:val="none"/>
        </w:rPr>
        <w:t xml:space="preserve"> </w:t>
      </w:r>
    </w:p>
    <w:p w14:paraId="0F3F625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第1种方式：对于不属于依法必须招标的暂估价项目，按本项约定确认和批准：</w:t>
      </w:r>
    </w:p>
    <w:p w14:paraId="28A1A87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3F63E2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（2）发包人认为承包人确定的供应商、分包人无法满足工程质量或合同要求的，发包人可以要求承包人重新确定暂估价项目的供应商、分包人;</w:t>
      </w:r>
    </w:p>
    <w:p w14:paraId="7B80C15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（3）承包人应当在签订暂估价合同后7天内，将暂估价合同副本报送发包人留存。</w:t>
      </w:r>
    </w:p>
    <w:p w14:paraId="45B1FD8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第2种方式：承包人按照第10.7.1项</w:t>
      </w:r>
      <w:r>
        <w:rPr>
          <w:rFonts w:hint="eastAsia" w:ascii="Times New Roman" w:hAnsi="Times New Roman"/>
          <w:color w:val="auto"/>
          <w:szCs w:val="24"/>
          <w:highlight w:val="none"/>
        </w:rPr>
        <w:t>〔</w:t>
      </w:r>
      <w:r>
        <w:rPr>
          <w:rFonts w:ascii="Times New Roman" w:hAnsi="Times New Roman"/>
          <w:color w:val="auto"/>
          <w:szCs w:val="24"/>
          <w:highlight w:val="none"/>
        </w:rPr>
        <w:t>依法必须招标的暂估价项目</w:t>
      </w:r>
      <w:r>
        <w:rPr>
          <w:rFonts w:hint="eastAsia" w:ascii="Times New Roman" w:hAnsi="Times New Roman"/>
          <w:color w:val="auto"/>
          <w:szCs w:val="24"/>
          <w:highlight w:val="none"/>
        </w:rPr>
        <w:t>〕</w:t>
      </w:r>
      <w:r>
        <w:rPr>
          <w:rFonts w:ascii="Times New Roman" w:hAnsi="Times New Roman"/>
          <w:color w:val="auto"/>
          <w:szCs w:val="24"/>
          <w:highlight w:val="none"/>
        </w:rPr>
        <w:t>约定的第1种方式确定暂估价项目。</w:t>
      </w:r>
    </w:p>
    <w:p w14:paraId="75AD97E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第3种方式：承包人直接实施的暂估价项目</w:t>
      </w:r>
    </w:p>
    <w:p w14:paraId="6B71B5A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承包人具备实施暂估价项目的资格和条件的，经发包人和承包人协商一致后，可由承包人自行实施暂估价项目，合同当事人可以在专用合同条款约定具体事项。</w:t>
      </w:r>
    </w:p>
    <w:p w14:paraId="345A945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11E775D">
      <w:pPr>
        <w:keepNext/>
        <w:keepLines/>
        <w:spacing w:line="400" w:lineRule="exact"/>
        <w:outlineLvl w:val="2"/>
        <w:rPr>
          <w:rFonts w:ascii="Times New Roman" w:hAnsi="Times New Roman" w:eastAsia="黑体" w:cs="宋体"/>
          <w:b/>
          <w:color w:val="auto"/>
          <w:sz w:val="24"/>
          <w:szCs w:val="20"/>
          <w:highlight w:val="none"/>
        </w:rPr>
      </w:pPr>
      <w:bookmarkStart w:id="1233" w:name="_Toc28532204"/>
      <w:bookmarkStart w:id="1234" w:name="_Toc3294"/>
      <w:bookmarkStart w:id="1235" w:name="_Toc351203575"/>
      <w:r>
        <w:rPr>
          <w:rFonts w:ascii="Times New Roman" w:hAnsi="Times New Roman" w:eastAsia="黑体" w:cs="宋体"/>
          <w:b/>
          <w:color w:val="auto"/>
          <w:sz w:val="24"/>
          <w:szCs w:val="20"/>
          <w:highlight w:val="none"/>
        </w:rPr>
        <w:t>1</w:t>
      </w:r>
      <w:bookmarkStart w:id="1236" w:name="_Toc337558794"/>
      <w:bookmarkStart w:id="1237" w:name="_Toc296503090"/>
      <w:bookmarkStart w:id="1238" w:name="_Toc296346591"/>
      <w:bookmarkStart w:id="1239" w:name="_Toc322522561"/>
      <w:r>
        <w:rPr>
          <w:rFonts w:ascii="Times New Roman" w:hAnsi="Times New Roman" w:eastAsia="黑体" w:cs="宋体"/>
          <w:b/>
          <w:color w:val="auto"/>
          <w:sz w:val="24"/>
          <w:szCs w:val="20"/>
          <w:highlight w:val="none"/>
        </w:rPr>
        <w:t>0.8暂列金额</w:t>
      </w:r>
      <w:bookmarkEnd w:id="1233"/>
      <w:bookmarkEnd w:id="1234"/>
      <w:bookmarkEnd w:id="1235"/>
    </w:p>
    <w:bookmarkEnd w:id="1236"/>
    <w:p w14:paraId="6111A8B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暂列金额应按照发包人的要求使用，发包人的要求应通过监理人发出。</w:t>
      </w:r>
      <w:r>
        <w:rPr>
          <w:rFonts w:hint="eastAsia" w:ascii="Times New Roman" w:hAnsi="Times New Roman"/>
          <w:color w:val="auto"/>
          <w:szCs w:val="24"/>
          <w:highlight w:val="none"/>
        </w:rPr>
        <w:t>合同当事人可以在专用合同条款中协商确定有关事项。</w:t>
      </w:r>
    </w:p>
    <w:bookmarkEnd w:id="1237"/>
    <w:bookmarkEnd w:id="1238"/>
    <w:bookmarkEnd w:id="1239"/>
    <w:p w14:paraId="6E05ED20">
      <w:pPr>
        <w:keepNext/>
        <w:keepLines/>
        <w:spacing w:line="400" w:lineRule="exact"/>
        <w:outlineLvl w:val="2"/>
        <w:rPr>
          <w:rFonts w:ascii="Times New Roman" w:hAnsi="Times New Roman" w:eastAsia="黑体" w:cs="宋体"/>
          <w:b/>
          <w:color w:val="auto"/>
          <w:sz w:val="24"/>
          <w:szCs w:val="20"/>
          <w:highlight w:val="none"/>
        </w:rPr>
      </w:pPr>
      <w:bookmarkStart w:id="1240" w:name="_Toc16949"/>
      <w:bookmarkStart w:id="1241" w:name="_Toc351203576"/>
      <w:bookmarkStart w:id="1242" w:name="_Toc28532205"/>
      <w:r>
        <w:rPr>
          <w:rFonts w:ascii="Times New Roman" w:hAnsi="Times New Roman" w:eastAsia="黑体" w:cs="宋体"/>
          <w:b/>
          <w:color w:val="auto"/>
          <w:sz w:val="24"/>
          <w:szCs w:val="20"/>
          <w:highlight w:val="none"/>
        </w:rPr>
        <w:t>1</w:t>
      </w:r>
      <w:bookmarkStart w:id="1243" w:name="_Toc337558796"/>
      <w:bookmarkStart w:id="1244" w:name="_Toc296346592"/>
      <w:bookmarkStart w:id="1245" w:name="_Toc296503091"/>
      <w:r>
        <w:rPr>
          <w:rFonts w:ascii="Times New Roman" w:hAnsi="Times New Roman" w:eastAsia="黑体" w:cs="宋体"/>
          <w:b/>
          <w:color w:val="auto"/>
          <w:sz w:val="24"/>
          <w:szCs w:val="20"/>
          <w:highlight w:val="none"/>
        </w:rPr>
        <w:t>0.9计日工</w:t>
      </w:r>
      <w:bookmarkEnd w:id="1240"/>
      <w:bookmarkEnd w:id="1241"/>
      <w:bookmarkEnd w:id="1242"/>
      <w:r>
        <w:rPr>
          <w:rFonts w:ascii="Times New Roman" w:hAnsi="Times New Roman" w:eastAsia="黑体" w:cs="宋体"/>
          <w:b/>
          <w:color w:val="auto"/>
          <w:sz w:val="24"/>
          <w:szCs w:val="20"/>
          <w:highlight w:val="none"/>
        </w:rPr>
        <w:t xml:space="preserve"> </w:t>
      </w:r>
      <w:bookmarkEnd w:id="1243"/>
      <w:bookmarkEnd w:id="1244"/>
      <w:bookmarkEnd w:id="1245"/>
    </w:p>
    <w:p w14:paraId="1331F50D">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需要采用计日工方式的，经发包人同意后</w:t>
      </w:r>
      <w:r>
        <w:rPr>
          <w:rFonts w:ascii="Times New Roman" w:hAnsi="Times New Roman"/>
          <w:color w:val="auto"/>
          <w:szCs w:val="24"/>
          <w:highlight w:val="none"/>
        </w:rPr>
        <w:t>，由监理人通知承包人以计日工计价方式实施</w:t>
      </w:r>
      <w:r>
        <w:rPr>
          <w:rFonts w:hint="eastAsia" w:ascii="Times New Roman" w:hAnsi="Times New Roman"/>
          <w:color w:val="auto"/>
          <w:szCs w:val="24"/>
          <w:highlight w:val="none"/>
        </w:rPr>
        <w:t>相应</w:t>
      </w:r>
      <w:r>
        <w:rPr>
          <w:rFonts w:ascii="Times New Roman" w:hAnsi="Times New Roman"/>
          <w:color w:val="auto"/>
          <w:szCs w:val="24"/>
          <w:highlight w:val="none"/>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确定</w:t>
      </w:r>
      <w:r>
        <w:rPr>
          <w:rFonts w:hint="eastAsia" w:ascii="Times New Roman" w:hAnsi="Times New Roman"/>
          <w:color w:val="auto"/>
          <w:szCs w:val="24"/>
          <w:highlight w:val="none"/>
        </w:rPr>
        <w:t>计日工</w:t>
      </w:r>
      <w:r>
        <w:rPr>
          <w:rFonts w:ascii="Times New Roman" w:hAnsi="Times New Roman"/>
          <w:color w:val="auto"/>
          <w:szCs w:val="24"/>
          <w:highlight w:val="none"/>
        </w:rPr>
        <w:t>的单价。</w:t>
      </w:r>
    </w:p>
    <w:p w14:paraId="12093D0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采用计日工计价的任何一项工作，承包人应在该项工作实施过程中，每天提交以下报表和有关凭证报送监理人审查：</w:t>
      </w:r>
    </w:p>
    <w:p w14:paraId="0D6874B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（1）工作名称、内容和数量；</w:t>
      </w:r>
    </w:p>
    <w:p w14:paraId="5EF6DB8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（2）投入该工作的所有人员的姓名、专业、工种、级别和耗用工时；</w:t>
      </w:r>
    </w:p>
    <w:p w14:paraId="77B8ABE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（3）投入该工作的材料类别和数量；</w:t>
      </w:r>
    </w:p>
    <w:p w14:paraId="3701A4B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（4）投入该工作的施工设备型号、台数和耗用台时；</w:t>
      </w:r>
    </w:p>
    <w:p w14:paraId="36F3EEA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（5）其他有关资料和凭证。</w:t>
      </w:r>
    </w:p>
    <w:p w14:paraId="66C7674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 计日工由承包人汇总后，列入最近一期进度付款申请单，由监理人审查并经发包人批准后列入进度付款。</w:t>
      </w:r>
    </w:p>
    <w:p w14:paraId="7A3520EC">
      <w:pPr>
        <w:keepNext/>
        <w:keepLines/>
        <w:spacing w:before="100" w:line="400" w:lineRule="exact"/>
        <w:outlineLvl w:val="1"/>
        <w:rPr>
          <w:rFonts w:ascii="Times New Roman" w:hAnsi="Times New Roman" w:eastAsia="黑体" w:cs="宋体"/>
          <w:b/>
          <w:color w:val="auto"/>
          <w:sz w:val="28"/>
          <w:szCs w:val="20"/>
          <w:highlight w:val="none"/>
        </w:rPr>
      </w:pPr>
      <w:bookmarkStart w:id="1246" w:name="_Toc25960"/>
      <w:bookmarkStart w:id="1247" w:name="_Toc28532206"/>
      <w:bookmarkStart w:id="1248" w:name="_Toc351203577"/>
      <w:r>
        <w:rPr>
          <w:rFonts w:ascii="Times New Roman" w:hAnsi="Times New Roman" w:eastAsia="黑体" w:cs="宋体"/>
          <w:b/>
          <w:color w:val="auto"/>
          <w:sz w:val="28"/>
          <w:szCs w:val="20"/>
          <w:highlight w:val="none"/>
        </w:rPr>
        <w:t>11. 价格调整</w:t>
      </w:r>
      <w:bookmarkEnd w:id="1246"/>
      <w:bookmarkEnd w:id="1247"/>
      <w:bookmarkEnd w:id="1248"/>
    </w:p>
    <w:p w14:paraId="374C429A">
      <w:pPr>
        <w:keepNext/>
        <w:keepLines/>
        <w:spacing w:line="400" w:lineRule="exact"/>
        <w:outlineLvl w:val="2"/>
        <w:rPr>
          <w:rFonts w:ascii="Times New Roman" w:hAnsi="Times New Roman" w:eastAsia="黑体" w:cs="宋体"/>
          <w:b/>
          <w:color w:val="auto"/>
          <w:sz w:val="24"/>
          <w:szCs w:val="20"/>
          <w:highlight w:val="none"/>
        </w:rPr>
      </w:pPr>
      <w:bookmarkStart w:id="1249" w:name="_Toc16024"/>
      <w:bookmarkStart w:id="1250" w:name="_Toc351203578"/>
      <w:bookmarkStart w:id="1251" w:name="_Toc28532207"/>
      <w:bookmarkStart w:id="1252" w:name="_Toc296346593"/>
      <w:bookmarkStart w:id="1253" w:name="_Toc337558797"/>
      <w:bookmarkStart w:id="1254" w:name="_Toc296503092"/>
      <w:r>
        <w:rPr>
          <w:rFonts w:ascii="Times New Roman" w:hAnsi="Times New Roman" w:eastAsia="黑体" w:cs="宋体"/>
          <w:b/>
          <w:color w:val="auto"/>
          <w:sz w:val="24"/>
          <w:szCs w:val="20"/>
          <w:highlight w:val="none"/>
        </w:rPr>
        <w:t>11.1市场价格波动引起的调整</w:t>
      </w:r>
      <w:bookmarkEnd w:id="1249"/>
      <w:bookmarkEnd w:id="1250"/>
      <w:bookmarkEnd w:id="1251"/>
    </w:p>
    <w:bookmarkEnd w:id="1252"/>
    <w:bookmarkEnd w:id="1253"/>
    <w:bookmarkEnd w:id="1254"/>
    <w:p w14:paraId="3CD85E2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除专用合同条款另有约定外，市场价格波动超过合同当事人约定的范围，合同价格应当调整。合同当事人可以在专用合同条款中约定选择以下一种方式对合同价格进行调整：</w:t>
      </w:r>
    </w:p>
    <w:p w14:paraId="10D0E6C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第1种方式：采用价格指数</w:t>
      </w:r>
      <w:r>
        <w:rPr>
          <w:rFonts w:hint="eastAsia" w:ascii="Times New Roman" w:hAnsi="Times New Roman"/>
          <w:color w:val="auto"/>
          <w:szCs w:val="24"/>
          <w:highlight w:val="none"/>
        </w:rPr>
        <w:t>进行价格</w:t>
      </w:r>
      <w:r>
        <w:rPr>
          <w:rFonts w:ascii="Times New Roman" w:hAnsi="Times New Roman"/>
          <w:color w:val="auto"/>
          <w:szCs w:val="24"/>
          <w:highlight w:val="none"/>
        </w:rPr>
        <w:t>调整。</w:t>
      </w:r>
    </w:p>
    <w:p w14:paraId="20E374B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（1）价格调整公式</w:t>
      </w:r>
    </w:p>
    <w:p w14:paraId="51C6E8E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因人工、材料和设备等价格波动影响合同价格时，根据专用合同条款中约定的数据，按以下公式计算差额并调整合同价格：</w:t>
      </w:r>
    </w:p>
    <w:p w14:paraId="31E8E545">
      <w:pPr>
        <w:spacing w:line="720" w:lineRule="auto"/>
        <w:ind w:firstLine="1050" w:firstLineChars="500"/>
        <w:rPr>
          <w:rFonts w:hint="eastAsia" w:ascii="Times New Roman" w:hAnsi="Times New Roman"/>
          <w:color w:val="auto"/>
          <w:sz w:val="52"/>
          <w:szCs w:val="52"/>
          <w:highlight w:val="none"/>
        </w:rPr>
      </w:pPr>
      <w:r>
        <w:rPr>
          <w:color w:val="auto"/>
          <w:position w:val="-34"/>
          <w:highlight w:val="none"/>
        </w:rPr>
        <w:drawing>
          <wp:inline distT="0" distB="0" distL="114300" distR="114300">
            <wp:extent cx="3937000" cy="508000"/>
            <wp:effectExtent l="0" t="0" r="6350" b="571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9"/>
                    <a:stretch>
                      <a:fillRect/>
                    </a:stretch>
                  </pic:blipFill>
                  <pic:spPr>
                    <a:xfrm>
                      <a:off x="0" y="0"/>
                      <a:ext cx="3937000" cy="508000"/>
                    </a:xfrm>
                    <a:prstGeom prst="rect">
                      <a:avLst/>
                    </a:prstGeom>
                    <a:noFill/>
                    <a:ln>
                      <a:noFill/>
                    </a:ln>
                  </pic:spPr>
                </pic:pic>
              </a:graphicData>
            </a:graphic>
          </wp:inline>
        </w:drawing>
      </w:r>
    </w:p>
    <w:p w14:paraId="0F6362B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公式中：</w:t>
      </w:r>
      <w:r>
        <w:rPr>
          <w:rFonts w:hint="eastAsia" w:ascii="Times New Roman" w:hAnsi="Times New Roman"/>
          <w:color w:val="auto"/>
          <w:szCs w:val="24"/>
          <w:highlight w:val="none"/>
        </w:rPr>
        <w:t xml:space="preserve">    </w:t>
      </w:r>
      <w:r>
        <w:rPr>
          <w:rFonts w:ascii="Times New Roman" w:hAnsi="Times New Roman"/>
          <w:color w:val="auto"/>
          <w:szCs w:val="24"/>
          <w:highlight w:val="none"/>
        </w:rPr>
        <w:t>ΔP——需调整的价格差额；</w:t>
      </w:r>
    </w:p>
    <w:p w14:paraId="328FB454">
      <w:pPr>
        <w:spacing w:line="400" w:lineRule="exact"/>
        <w:ind w:firstLine="1785" w:firstLineChars="850"/>
        <w:rPr>
          <w:rFonts w:ascii="Times New Roman" w:hAnsi="Times New Roman"/>
          <w:color w:val="auto"/>
          <w:szCs w:val="24"/>
          <w:highlight w:val="none"/>
        </w:rPr>
      </w:pPr>
      <w:r>
        <w:rPr>
          <w:rFonts w:hint="eastAsia" w:ascii="Times New Roman" w:hAnsi="Times New Roman"/>
          <w:color w:val="auto"/>
          <w:szCs w:val="24"/>
          <w:highlight w:val="none"/>
        </w:rPr>
        <w:t>P</w:t>
      </w:r>
      <w:r>
        <w:rPr>
          <w:rFonts w:hint="eastAsia" w:ascii="Times New Roman" w:hAnsi="Times New Roman"/>
          <w:color w:val="auto"/>
          <w:szCs w:val="21"/>
          <w:highlight w:val="none"/>
          <w:vertAlign w:val="subscript"/>
        </w:rPr>
        <w:t>0</w:t>
      </w:r>
      <w:r>
        <w:rPr>
          <w:rFonts w:ascii="Times New Roman" w:hAnsi="Times New Roman"/>
          <w:color w:val="auto"/>
          <w:szCs w:val="24"/>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1F0928F6">
      <w:pPr>
        <w:spacing w:line="400" w:lineRule="exact"/>
        <w:ind w:firstLine="1785" w:firstLineChars="850"/>
        <w:rPr>
          <w:rFonts w:ascii="Times New Roman" w:hAnsi="Times New Roman"/>
          <w:color w:val="auto"/>
          <w:szCs w:val="24"/>
          <w:highlight w:val="none"/>
        </w:rPr>
      </w:pPr>
      <w:r>
        <w:rPr>
          <w:rFonts w:ascii="Times New Roman" w:hAnsi="Times New Roman"/>
          <w:color w:val="auto"/>
          <w:szCs w:val="24"/>
          <w:highlight w:val="none"/>
        </w:rPr>
        <w:t>A——定值权重（即不调部分的权重）；</w:t>
      </w:r>
    </w:p>
    <w:p w14:paraId="4F8076C0">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B</w:t>
      </w:r>
      <w:r>
        <w:rPr>
          <w:rFonts w:hint="eastAsia" w:ascii="Times New Roman" w:hAnsi="Times New Roman"/>
          <w:color w:val="auto"/>
          <w:szCs w:val="21"/>
          <w:highlight w:val="none"/>
          <w:vertAlign w:val="subscript"/>
        </w:rPr>
        <w:t>1</w:t>
      </w:r>
      <w:r>
        <w:rPr>
          <w:rFonts w:hint="eastAsia" w:ascii="Times New Roman" w:hAnsi="Times New Roman"/>
          <w:color w:val="auto"/>
          <w:sz w:val="15"/>
          <w:szCs w:val="15"/>
          <w:highlight w:val="none"/>
        </w:rPr>
        <w:t>;</w:t>
      </w:r>
      <w:r>
        <w:rPr>
          <w:rFonts w:hint="eastAsia" w:ascii="Times New Roman" w:hAnsi="Times New Roman"/>
          <w:color w:val="auto"/>
          <w:szCs w:val="24"/>
          <w:highlight w:val="none"/>
        </w:rPr>
        <w:t xml:space="preserve"> B</w:t>
      </w:r>
      <w:r>
        <w:rPr>
          <w:rFonts w:hint="eastAsia" w:ascii="Times New Roman" w:hAnsi="Times New Roman"/>
          <w:color w:val="auto"/>
          <w:szCs w:val="21"/>
          <w:highlight w:val="none"/>
          <w:vertAlign w:val="subscript"/>
        </w:rPr>
        <w:t>2</w:t>
      </w:r>
      <w:r>
        <w:rPr>
          <w:rFonts w:hint="eastAsia" w:ascii="Times New Roman" w:hAnsi="Times New Roman"/>
          <w:color w:val="auto"/>
          <w:szCs w:val="24"/>
          <w:highlight w:val="none"/>
        </w:rPr>
        <w:t xml:space="preserve"> ;B</w:t>
      </w:r>
      <w:r>
        <w:rPr>
          <w:rFonts w:hint="eastAsia" w:ascii="Times New Roman" w:hAnsi="Times New Roman"/>
          <w:color w:val="auto"/>
          <w:szCs w:val="21"/>
          <w:highlight w:val="none"/>
          <w:vertAlign w:val="subscript"/>
        </w:rPr>
        <w:t>3</w:t>
      </w:r>
      <w:r>
        <w:rPr>
          <w:rFonts w:hint="eastAsia" w:ascii="宋体" w:hAnsi="宋体"/>
          <w:color w:val="auto"/>
          <w:sz w:val="15"/>
          <w:szCs w:val="15"/>
          <w:highlight w:val="none"/>
        </w:rPr>
        <w:t>·····</w:t>
      </w:r>
      <w:r>
        <w:rPr>
          <w:rFonts w:hint="eastAsia" w:ascii="Times New Roman" w:hAnsi="Times New Roman"/>
          <w:color w:val="auto"/>
          <w:szCs w:val="24"/>
          <w:highlight w:val="none"/>
        </w:rPr>
        <w:t>B</w:t>
      </w:r>
      <w:r>
        <w:rPr>
          <w:rFonts w:hint="eastAsia" w:ascii="Times New Roman" w:hAnsi="Times New Roman"/>
          <w:color w:val="auto"/>
          <w:szCs w:val="21"/>
          <w:highlight w:val="none"/>
          <w:vertAlign w:val="subscript"/>
        </w:rPr>
        <w:t>n</w:t>
      </w:r>
      <w:r>
        <w:rPr>
          <w:rFonts w:ascii="Times New Roman" w:hAnsi="Times New Roman"/>
          <w:color w:val="auto"/>
          <w:szCs w:val="24"/>
          <w:highlight w:val="none"/>
        </w:rPr>
        <w:t>——各可调因子的变值权重（即可调部分的权重），为各可调因子在签约合同价中所占的比例；</w:t>
      </w:r>
    </w:p>
    <w:p w14:paraId="1168BC78">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F</w:t>
      </w:r>
      <w:r>
        <w:rPr>
          <w:rFonts w:hint="eastAsia" w:ascii="Times New Roman" w:hAnsi="Times New Roman"/>
          <w:color w:val="auto"/>
          <w:szCs w:val="21"/>
          <w:highlight w:val="none"/>
          <w:vertAlign w:val="subscript"/>
        </w:rPr>
        <w:t>t1</w:t>
      </w:r>
      <w:r>
        <w:rPr>
          <w:rFonts w:hint="eastAsia" w:ascii="Times New Roman" w:hAnsi="Times New Roman"/>
          <w:color w:val="auto"/>
          <w:szCs w:val="24"/>
          <w:highlight w:val="none"/>
        </w:rPr>
        <w:t xml:space="preserve"> ;F</w:t>
      </w:r>
      <w:r>
        <w:rPr>
          <w:rFonts w:hint="eastAsia" w:ascii="Times New Roman" w:hAnsi="Times New Roman"/>
          <w:color w:val="auto"/>
          <w:szCs w:val="21"/>
          <w:highlight w:val="none"/>
          <w:vertAlign w:val="subscript"/>
        </w:rPr>
        <w:t>t2</w:t>
      </w:r>
      <w:r>
        <w:rPr>
          <w:rFonts w:hint="eastAsia" w:ascii="Times New Roman" w:hAnsi="Times New Roman"/>
          <w:color w:val="auto"/>
          <w:szCs w:val="24"/>
          <w:highlight w:val="none"/>
        </w:rPr>
        <w:t xml:space="preserve"> ;F</w:t>
      </w:r>
      <w:r>
        <w:rPr>
          <w:rFonts w:hint="eastAsia" w:ascii="Times New Roman" w:hAnsi="Times New Roman"/>
          <w:color w:val="auto"/>
          <w:szCs w:val="21"/>
          <w:highlight w:val="none"/>
          <w:vertAlign w:val="subscript"/>
        </w:rPr>
        <w:t>t3</w:t>
      </w:r>
      <w:r>
        <w:rPr>
          <w:rFonts w:hint="eastAsia" w:ascii="宋体" w:hAnsi="宋体"/>
          <w:color w:val="auto"/>
          <w:sz w:val="15"/>
          <w:szCs w:val="15"/>
          <w:highlight w:val="none"/>
        </w:rPr>
        <w:t>·····</w:t>
      </w:r>
      <w:r>
        <w:rPr>
          <w:rFonts w:hint="eastAsia" w:ascii="Times New Roman" w:hAnsi="Times New Roman"/>
          <w:color w:val="auto"/>
          <w:szCs w:val="24"/>
          <w:highlight w:val="none"/>
        </w:rPr>
        <w:t>F</w:t>
      </w:r>
      <w:r>
        <w:rPr>
          <w:rFonts w:hint="eastAsia" w:ascii="Times New Roman" w:hAnsi="Times New Roman"/>
          <w:color w:val="auto"/>
          <w:szCs w:val="21"/>
          <w:highlight w:val="none"/>
          <w:vertAlign w:val="subscript"/>
        </w:rPr>
        <w:t>tn</w:t>
      </w:r>
      <w:r>
        <w:rPr>
          <w:rFonts w:ascii="Times New Roman" w:hAnsi="Times New Roman"/>
          <w:color w:val="auto"/>
          <w:szCs w:val="24"/>
          <w:highlight w:val="none"/>
        </w:rPr>
        <w:t>——各可调因子的现行价格指数，指约定的付款证书相关周期最后一天的前42天的各可调因子的价格指数；</w:t>
      </w:r>
    </w:p>
    <w:p w14:paraId="5FCF342B">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F</w:t>
      </w:r>
      <w:r>
        <w:rPr>
          <w:rFonts w:hint="eastAsia" w:ascii="Times New Roman" w:hAnsi="Times New Roman"/>
          <w:color w:val="auto"/>
          <w:szCs w:val="21"/>
          <w:highlight w:val="none"/>
          <w:vertAlign w:val="subscript"/>
        </w:rPr>
        <w:t>o1</w:t>
      </w:r>
      <w:r>
        <w:rPr>
          <w:rFonts w:hint="eastAsia" w:ascii="Times New Roman" w:hAnsi="Times New Roman"/>
          <w:color w:val="auto"/>
          <w:szCs w:val="24"/>
          <w:highlight w:val="none"/>
        </w:rPr>
        <w:t>; F</w:t>
      </w:r>
      <w:r>
        <w:rPr>
          <w:rFonts w:hint="eastAsia" w:ascii="Times New Roman" w:hAnsi="Times New Roman"/>
          <w:color w:val="auto"/>
          <w:szCs w:val="21"/>
          <w:highlight w:val="none"/>
          <w:vertAlign w:val="subscript"/>
        </w:rPr>
        <w:t>o2</w:t>
      </w:r>
      <w:r>
        <w:rPr>
          <w:rFonts w:hint="eastAsia" w:ascii="Times New Roman" w:hAnsi="Times New Roman"/>
          <w:color w:val="auto"/>
          <w:sz w:val="15"/>
          <w:szCs w:val="15"/>
          <w:highlight w:val="none"/>
        </w:rPr>
        <w:t>;</w:t>
      </w:r>
      <w:r>
        <w:rPr>
          <w:rFonts w:hint="eastAsia" w:ascii="Times New Roman" w:hAnsi="Times New Roman"/>
          <w:color w:val="auto"/>
          <w:szCs w:val="24"/>
          <w:highlight w:val="none"/>
        </w:rPr>
        <w:t xml:space="preserve"> F</w:t>
      </w:r>
      <w:r>
        <w:rPr>
          <w:rFonts w:hint="eastAsia" w:ascii="Times New Roman" w:hAnsi="Times New Roman"/>
          <w:color w:val="auto"/>
          <w:szCs w:val="21"/>
          <w:highlight w:val="none"/>
          <w:vertAlign w:val="subscript"/>
        </w:rPr>
        <w:t>o3</w:t>
      </w:r>
      <w:r>
        <w:rPr>
          <w:rFonts w:hint="eastAsia" w:ascii="宋体" w:hAnsi="宋体"/>
          <w:color w:val="auto"/>
          <w:sz w:val="15"/>
          <w:szCs w:val="15"/>
          <w:highlight w:val="none"/>
        </w:rPr>
        <w:t>····</w:t>
      </w:r>
      <w:r>
        <w:rPr>
          <w:rFonts w:hint="eastAsia" w:ascii="Times New Roman" w:hAnsi="Times New Roman"/>
          <w:color w:val="auto"/>
          <w:szCs w:val="24"/>
          <w:highlight w:val="none"/>
        </w:rPr>
        <w:t>F</w:t>
      </w:r>
      <w:r>
        <w:rPr>
          <w:rFonts w:hint="eastAsia" w:ascii="Times New Roman" w:hAnsi="Times New Roman"/>
          <w:color w:val="auto"/>
          <w:szCs w:val="21"/>
          <w:highlight w:val="none"/>
          <w:vertAlign w:val="subscript"/>
        </w:rPr>
        <w:t>on</w:t>
      </w:r>
      <w:r>
        <w:rPr>
          <w:rFonts w:ascii="Times New Roman" w:hAnsi="Times New Roman"/>
          <w:color w:val="auto"/>
          <w:szCs w:val="24"/>
          <w:highlight w:val="none"/>
        </w:rPr>
        <w:t>——各可调因子的基本价格指数，指基准日期的各可调因子的价格指数。</w:t>
      </w:r>
    </w:p>
    <w:p w14:paraId="13B0458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34430D0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（2）暂时确定调整差额</w:t>
      </w:r>
    </w:p>
    <w:p w14:paraId="1A48D4B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在计算调整差额时无现行价格指数的，合同当事人同意暂用前次价格指数计算。实际价格指数有调整的，合同当事人进行相应调整。</w:t>
      </w:r>
    </w:p>
    <w:p w14:paraId="5A61E92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（3）权重的调整</w:t>
      </w:r>
    </w:p>
    <w:p w14:paraId="06F24BD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因变更导致合同约定的权重不合理时，按照第4.4款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7FF8C92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（4）因承包人原因工期延误后的价格调整</w:t>
      </w:r>
    </w:p>
    <w:p w14:paraId="6AFC2D9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0AE4696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第2种方式：采用造价信息</w:t>
      </w:r>
      <w:r>
        <w:rPr>
          <w:rFonts w:hint="eastAsia" w:ascii="Times New Roman" w:hAnsi="Times New Roman"/>
          <w:color w:val="auto"/>
          <w:szCs w:val="24"/>
          <w:highlight w:val="none"/>
        </w:rPr>
        <w:t>进行价格</w:t>
      </w:r>
      <w:r>
        <w:rPr>
          <w:rFonts w:ascii="Times New Roman" w:hAnsi="Times New Roman"/>
          <w:color w:val="auto"/>
          <w:szCs w:val="24"/>
          <w:highlight w:val="none"/>
        </w:rPr>
        <w:t>调整。</w:t>
      </w:r>
    </w:p>
    <w:p w14:paraId="280185C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color w:val="auto"/>
          <w:szCs w:val="24"/>
          <w:highlight w:val="none"/>
        </w:rPr>
        <w:t>量</w:t>
      </w:r>
      <w:r>
        <w:rPr>
          <w:rFonts w:ascii="Times New Roman" w:hAnsi="Times New Roman"/>
          <w:color w:val="auto"/>
          <w:szCs w:val="24"/>
          <w:highlight w:val="none"/>
        </w:rPr>
        <w:t>应由发包人审批，发包人确认需调整的材料单价及数量，作为调整合同价格的依据。</w:t>
      </w:r>
    </w:p>
    <w:p w14:paraId="14DD426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36C5E65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（2）材料、工程设备价格变化的价款调整按照发包人提供的基准价格，按以下风险范围规定执行:</w:t>
      </w:r>
    </w:p>
    <w:p w14:paraId="5BBCD4AA">
      <w:pPr>
        <w:spacing w:line="400" w:lineRule="exact"/>
        <w:ind w:firstLine="630" w:firstLineChars="300"/>
        <w:rPr>
          <w:rFonts w:ascii="Times New Roman" w:hAnsi="Times New Roman"/>
          <w:color w:val="auto"/>
          <w:szCs w:val="24"/>
          <w:highlight w:val="none"/>
        </w:rPr>
      </w:pPr>
      <w:r>
        <w:rPr>
          <w:rFonts w:hint="eastAsia" w:ascii="Times New Roman" w:hAnsi="Times New Roman"/>
          <w:color w:val="auto"/>
          <w:szCs w:val="24"/>
          <w:highlight w:val="none"/>
        </w:rPr>
        <w:t>①</w:t>
      </w:r>
      <w:r>
        <w:rPr>
          <w:rFonts w:ascii="Times New Roman" w:hAnsi="Times New Roman"/>
          <w:color w:val="auto"/>
          <w:szCs w:val="24"/>
          <w:highlight w:val="none"/>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0FB42E2D">
      <w:pPr>
        <w:spacing w:line="400" w:lineRule="exact"/>
        <w:ind w:firstLine="630" w:firstLineChars="300"/>
        <w:rPr>
          <w:rFonts w:ascii="Times New Roman" w:hAnsi="Times New Roman"/>
          <w:color w:val="auto"/>
          <w:szCs w:val="24"/>
          <w:highlight w:val="none"/>
        </w:rPr>
      </w:pPr>
      <w:r>
        <w:rPr>
          <w:rFonts w:hint="eastAsia" w:ascii="Times New Roman" w:hAnsi="Times New Roman"/>
          <w:color w:val="auto"/>
          <w:szCs w:val="24"/>
          <w:highlight w:val="none"/>
        </w:rPr>
        <w:t>②</w:t>
      </w:r>
      <w:r>
        <w:rPr>
          <w:rFonts w:ascii="Times New Roman" w:hAnsi="Times New Roman"/>
          <w:color w:val="auto"/>
          <w:szCs w:val="24"/>
          <w:highlight w:val="none"/>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5916E7A6">
      <w:pPr>
        <w:spacing w:line="400" w:lineRule="exact"/>
        <w:ind w:firstLine="630" w:firstLineChars="300"/>
        <w:rPr>
          <w:rFonts w:ascii="Times New Roman" w:hAnsi="Times New Roman"/>
          <w:color w:val="auto"/>
          <w:szCs w:val="24"/>
          <w:highlight w:val="none"/>
        </w:rPr>
      </w:pPr>
      <w:r>
        <w:rPr>
          <w:rFonts w:hint="eastAsia" w:ascii="Times New Roman" w:hAnsi="Times New Roman"/>
          <w:color w:val="auto"/>
          <w:szCs w:val="24"/>
          <w:highlight w:val="none"/>
        </w:rPr>
        <w:t>③</w:t>
      </w:r>
      <w:r>
        <w:rPr>
          <w:rFonts w:ascii="Times New Roman" w:hAnsi="Times New Roman"/>
          <w:color w:val="auto"/>
          <w:szCs w:val="24"/>
          <w:highlight w:val="none"/>
        </w:rPr>
        <w:t>承包人在已标价工程量清单或预算书中载明材料单价等于基准价格的：除专用合同条款另有约定外，合同履行期间材料单价涨跌幅以基准价格为基础超过±5%时，其超过部分据实调整。</w:t>
      </w:r>
    </w:p>
    <w:p w14:paraId="009D8280">
      <w:pPr>
        <w:spacing w:line="400" w:lineRule="exact"/>
        <w:ind w:firstLine="630" w:firstLineChars="300"/>
        <w:rPr>
          <w:rFonts w:ascii="Times New Roman" w:hAnsi="Times New Roman"/>
          <w:color w:val="auto"/>
          <w:szCs w:val="24"/>
          <w:highlight w:val="none"/>
        </w:rPr>
      </w:pPr>
      <w:r>
        <w:rPr>
          <w:rFonts w:hint="eastAsia" w:ascii="Times New Roman" w:hAnsi="Times New Roman"/>
          <w:color w:val="auto"/>
          <w:szCs w:val="24"/>
          <w:highlight w:val="none"/>
        </w:rPr>
        <w:t>④</w:t>
      </w:r>
      <w:r>
        <w:rPr>
          <w:rFonts w:ascii="Times New Roman" w:hAnsi="Times New Roman"/>
          <w:color w:val="auto"/>
          <w:szCs w:val="24"/>
          <w:highlight w:val="none"/>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A0DAD4B">
      <w:pPr>
        <w:spacing w:line="400" w:lineRule="exact"/>
        <w:ind w:firstLine="420" w:firstLineChars="200"/>
        <w:rPr>
          <w:rFonts w:ascii="Times New Roman" w:hAnsi="Times New Roman"/>
          <w:color w:val="auto"/>
          <w:szCs w:val="24"/>
          <w:highlight w:val="none"/>
        </w:rPr>
      </w:pPr>
      <w:bookmarkStart w:id="1255" w:name="OLE_LINK3"/>
      <w:r>
        <w:rPr>
          <w:rFonts w:ascii="Times New Roman" w:hAnsi="Times New Roman"/>
          <w:color w:val="auto"/>
          <w:szCs w:val="24"/>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5161252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（3）施工机械台班单价或施工机械使用费发生变化超过省级或行业建设主管部门或其授权的工程造价管理机构规定的范围时，按规定调整合同价格。</w:t>
      </w:r>
    </w:p>
    <w:p w14:paraId="5667706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第3种方式：专用合同条款约定的其他方式。</w:t>
      </w:r>
    </w:p>
    <w:p w14:paraId="62C76D43">
      <w:pPr>
        <w:keepNext/>
        <w:keepLines/>
        <w:spacing w:line="400" w:lineRule="exact"/>
        <w:outlineLvl w:val="2"/>
        <w:rPr>
          <w:rFonts w:ascii="Times New Roman" w:hAnsi="Times New Roman" w:eastAsia="黑体" w:cs="宋体"/>
          <w:b/>
          <w:color w:val="auto"/>
          <w:sz w:val="24"/>
          <w:szCs w:val="20"/>
          <w:highlight w:val="none"/>
        </w:rPr>
      </w:pPr>
      <w:bookmarkStart w:id="1256" w:name="_Toc28532208"/>
      <w:bookmarkStart w:id="1257" w:name="_Toc1379"/>
      <w:bookmarkStart w:id="1258" w:name="_Toc351203579"/>
      <w:bookmarkStart w:id="1259" w:name="_Toc337558798"/>
      <w:bookmarkStart w:id="1260" w:name="_Toc296346594"/>
      <w:bookmarkStart w:id="1261" w:name="_Toc296503093"/>
      <w:r>
        <w:rPr>
          <w:rFonts w:ascii="Times New Roman" w:hAnsi="Times New Roman" w:eastAsia="黑体" w:cs="宋体"/>
          <w:b/>
          <w:color w:val="auto"/>
          <w:sz w:val="24"/>
          <w:szCs w:val="20"/>
          <w:highlight w:val="none"/>
        </w:rPr>
        <w:t>11.2法律变化引起的调整</w:t>
      </w:r>
      <w:bookmarkEnd w:id="1256"/>
      <w:bookmarkEnd w:id="1257"/>
      <w:bookmarkEnd w:id="1258"/>
    </w:p>
    <w:bookmarkEnd w:id="1259"/>
    <w:bookmarkEnd w:id="1260"/>
    <w:bookmarkEnd w:id="1261"/>
    <w:p w14:paraId="4DAE6FC3">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基准日</w:t>
      </w:r>
      <w:r>
        <w:rPr>
          <w:rFonts w:hint="eastAsia" w:ascii="Times New Roman" w:hAnsi="Times New Roman"/>
          <w:color w:val="auto"/>
          <w:szCs w:val="24"/>
          <w:highlight w:val="none"/>
        </w:rPr>
        <w:t>期</w:t>
      </w:r>
      <w:r>
        <w:rPr>
          <w:rFonts w:ascii="Times New Roman" w:hAnsi="Times New Roman"/>
          <w:color w:val="auto"/>
          <w:szCs w:val="24"/>
          <w:highlight w:val="none"/>
        </w:rPr>
        <w:t>后，法律变化</w:t>
      </w:r>
      <w:r>
        <w:rPr>
          <w:rFonts w:hint="eastAsia" w:ascii="Times New Roman" w:hAnsi="Times New Roman"/>
          <w:color w:val="auto"/>
          <w:szCs w:val="24"/>
          <w:highlight w:val="none"/>
        </w:rPr>
        <w:t>导致承包人在合同履行过程中所需要的费用发生除第11.1款〔市场价格波动引起的调整〕约定以外的增加时，由发包人承担由此增加的费用；减少时，应从合同价格中予以扣减。</w:t>
      </w:r>
      <w:r>
        <w:rPr>
          <w:rFonts w:ascii="Times New Roman" w:hAnsi="Times New Roman"/>
          <w:color w:val="auto"/>
          <w:szCs w:val="24"/>
          <w:highlight w:val="none"/>
        </w:rPr>
        <w:t>基准日</w:t>
      </w:r>
      <w:r>
        <w:rPr>
          <w:rFonts w:hint="eastAsia" w:ascii="Times New Roman" w:hAnsi="Times New Roman"/>
          <w:color w:val="auto"/>
          <w:szCs w:val="24"/>
          <w:highlight w:val="none"/>
        </w:rPr>
        <w:t>期</w:t>
      </w:r>
      <w:r>
        <w:rPr>
          <w:rFonts w:ascii="Times New Roman" w:hAnsi="Times New Roman"/>
          <w:color w:val="auto"/>
          <w:szCs w:val="24"/>
          <w:highlight w:val="none"/>
        </w:rPr>
        <w:t>后，</w:t>
      </w:r>
      <w:r>
        <w:rPr>
          <w:rFonts w:hint="eastAsia" w:ascii="Times New Roman" w:hAnsi="Times New Roman"/>
          <w:color w:val="auto"/>
          <w:szCs w:val="24"/>
          <w:highlight w:val="none"/>
        </w:rPr>
        <w:t>因</w:t>
      </w:r>
      <w:r>
        <w:rPr>
          <w:rFonts w:ascii="Times New Roman" w:hAnsi="Times New Roman"/>
          <w:color w:val="auto"/>
          <w:szCs w:val="24"/>
          <w:highlight w:val="none"/>
        </w:rPr>
        <w:t>法律变化</w:t>
      </w:r>
      <w:r>
        <w:rPr>
          <w:rFonts w:hint="eastAsia" w:ascii="Times New Roman" w:hAnsi="Times New Roman"/>
          <w:color w:val="auto"/>
          <w:szCs w:val="24"/>
          <w:highlight w:val="none"/>
        </w:rPr>
        <w:t>造成工期延误时，工期应予以顺延。</w:t>
      </w:r>
    </w:p>
    <w:p w14:paraId="552952A8">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因法律变化引起的合同价格和工期调整，合同当事人无法达成一致的，由总监理工程师按第4.4款〔商定或确定〕的约定处理。</w:t>
      </w:r>
    </w:p>
    <w:p w14:paraId="30BD4AA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因承包人原因造成工期延误，在工期延误期间出现法律变化的，由此增加的费用和（或）延误的工期由承包人承担。</w:t>
      </w:r>
    </w:p>
    <w:p w14:paraId="6C30568A">
      <w:pPr>
        <w:keepNext/>
        <w:keepLines/>
        <w:spacing w:before="100" w:line="400" w:lineRule="exact"/>
        <w:outlineLvl w:val="1"/>
        <w:rPr>
          <w:rFonts w:ascii="Times New Roman" w:hAnsi="Times New Roman" w:eastAsia="黑体" w:cs="宋体"/>
          <w:b/>
          <w:color w:val="auto"/>
          <w:sz w:val="28"/>
          <w:szCs w:val="20"/>
          <w:highlight w:val="none"/>
        </w:rPr>
      </w:pPr>
      <w:bookmarkStart w:id="1262" w:name="_Toc10720"/>
      <w:bookmarkStart w:id="1263" w:name="_Toc28532209"/>
      <w:bookmarkStart w:id="1264" w:name="_Toc351203580"/>
      <w:bookmarkStart w:id="1265" w:name="_Toc337558799"/>
      <w:bookmarkStart w:id="1266" w:name="_Toc296503096"/>
      <w:bookmarkStart w:id="1267" w:name="_Toc296346597"/>
      <w:r>
        <w:rPr>
          <w:rFonts w:ascii="Times New Roman" w:hAnsi="Times New Roman" w:eastAsia="黑体" w:cs="宋体"/>
          <w:b/>
          <w:color w:val="auto"/>
          <w:sz w:val="28"/>
          <w:szCs w:val="20"/>
          <w:highlight w:val="none"/>
        </w:rPr>
        <w:t>12. 合同价格、计量与支付</w:t>
      </w:r>
      <w:bookmarkEnd w:id="1262"/>
      <w:bookmarkEnd w:id="1263"/>
      <w:bookmarkEnd w:id="1264"/>
    </w:p>
    <w:bookmarkEnd w:id="1265"/>
    <w:p w14:paraId="2EFEAE91">
      <w:pPr>
        <w:keepNext/>
        <w:keepLines/>
        <w:spacing w:line="400" w:lineRule="exact"/>
        <w:outlineLvl w:val="2"/>
        <w:rPr>
          <w:rFonts w:ascii="Times New Roman" w:hAnsi="Times New Roman" w:eastAsia="黑体" w:cs="宋体"/>
          <w:b/>
          <w:color w:val="auto"/>
          <w:sz w:val="24"/>
          <w:szCs w:val="20"/>
          <w:highlight w:val="none"/>
        </w:rPr>
      </w:pPr>
      <w:bookmarkStart w:id="1268" w:name="_Toc16894"/>
      <w:bookmarkStart w:id="1269" w:name="_Toc351203581"/>
      <w:bookmarkStart w:id="1270" w:name="_Toc28532210"/>
      <w:bookmarkStart w:id="1271" w:name="_Toc337558800"/>
      <w:r>
        <w:rPr>
          <w:rFonts w:ascii="Times New Roman" w:hAnsi="Times New Roman" w:eastAsia="黑体" w:cs="宋体"/>
          <w:b/>
          <w:color w:val="auto"/>
          <w:sz w:val="24"/>
          <w:szCs w:val="20"/>
          <w:highlight w:val="none"/>
        </w:rPr>
        <w:t>12.1 合同价</w:t>
      </w:r>
      <w:bookmarkEnd w:id="1266"/>
      <w:bookmarkEnd w:id="1267"/>
      <w:r>
        <w:rPr>
          <w:rFonts w:ascii="Times New Roman" w:hAnsi="Times New Roman" w:eastAsia="黑体" w:cs="宋体"/>
          <w:b/>
          <w:color w:val="auto"/>
          <w:sz w:val="24"/>
          <w:szCs w:val="20"/>
          <w:highlight w:val="none"/>
        </w:rPr>
        <w:t>格形式</w:t>
      </w:r>
      <w:bookmarkEnd w:id="1268"/>
      <w:bookmarkEnd w:id="1269"/>
      <w:bookmarkEnd w:id="1270"/>
    </w:p>
    <w:bookmarkEnd w:id="1271"/>
    <w:p w14:paraId="29C12FA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发包人和承包人应在合同协议书中</w:t>
      </w:r>
      <w:r>
        <w:rPr>
          <w:rFonts w:hint="eastAsia" w:ascii="Times New Roman" w:hAnsi="Times New Roman"/>
          <w:color w:val="auto"/>
          <w:szCs w:val="24"/>
          <w:highlight w:val="none"/>
        </w:rPr>
        <w:t>选择</w:t>
      </w:r>
      <w:r>
        <w:rPr>
          <w:rFonts w:ascii="Times New Roman" w:hAnsi="Times New Roman"/>
          <w:color w:val="auto"/>
          <w:szCs w:val="24"/>
          <w:highlight w:val="none"/>
        </w:rPr>
        <w:t xml:space="preserve">下列一种合同价格形式： </w:t>
      </w:r>
    </w:p>
    <w:p w14:paraId="6BAB83D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r>
        <w:rPr>
          <w:rFonts w:hint="eastAsia" w:ascii="Times New Roman" w:hAnsi="Times New Roman"/>
          <w:color w:val="auto"/>
          <w:szCs w:val="24"/>
          <w:highlight w:val="none"/>
        </w:rPr>
        <w:t>.</w:t>
      </w:r>
      <w:r>
        <w:rPr>
          <w:rFonts w:ascii="Times New Roman" w:hAnsi="Times New Roman"/>
          <w:color w:val="auto"/>
          <w:szCs w:val="24"/>
          <w:highlight w:val="none"/>
        </w:rPr>
        <w:t>单价合同</w:t>
      </w:r>
    </w:p>
    <w:p w14:paraId="2B5B244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ascii="Times New Roman" w:hAnsi="Times New Roman"/>
          <w:color w:val="auto"/>
          <w:szCs w:val="24"/>
          <w:highlight w:val="none"/>
        </w:rPr>
        <w:t>〔</w:t>
      </w:r>
      <w:r>
        <w:rPr>
          <w:rFonts w:ascii="Times New Roman" w:hAnsi="Times New Roman"/>
          <w:color w:val="auto"/>
          <w:szCs w:val="24"/>
          <w:highlight w:val="none"/>
        </w:rPr>
        <w:t>市场价格波动引起的调整</w:t>
      </w:r>
      <w:r>
        <w:rPr>
          <w:rFonts w:hint="eastAsia" w:ascii="Times New Roman" w:hAnsi="Times New Roman"/>
          <w:color w:val="auto"/>
          <w:szCs w:val="24"/>
          <w:highlight w:val="none"/>
        </w:rPr>
        <w:t>〕</w:t>
      </w:r>
      <w:r>
        <w:rPr>
          <w:rFonts w:ascii="Times New Roman" w:hAnsi="Times New Roman"/>
          <w:color w:val="auto"/>
          <w:szCs w:val="24"/>
          <w:highlight w:val="none"/>
        </w:rPr>
        <w:t>约定执行。</w:t>
      </w:r>
    </w:p>
    <w:p w14:paraId="617BD86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w:t>
      </w:r>
      <w:r>
        <w:rPr>
          <w:rFonts w:hint="eastAsia" w:ascii="Times New Roman" w:hAnsi="Times New Roman"/>
          <w:color w:val="auto"/>
          <w:szCs w:val="24"/>
          <w:highlight w:val="none"/>
        </w:rPr>
        <w:t>.</w:t>
      </w:r>
      <w:r>
        <w:rPr>
          <w:rFonts w:ascii="Times New Roman" w:hAnsi="Times New Roman"/>
          <w:color w:val="auto"/>
          <w:szCs w:val="24"/>
          <w:highlight w:val="none"/>
        </w:rPr>
        <w:t>总价合同</w:t>
      </w:r>
    </w:p>
    <w:p w14:paraId="647FC4A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color w:val="auto"/>
          <w:szCs w:val="24"/>
          <w:highlight w:val="none"/>
        </w:rPr>
        <w:t>〔</w:t>
      </w:r>
      <w:r>
        <w:rPr>
          <w:rFonts w:ascii="Times New Roman" w:hAnsi="Times New Roman"/>
          <w:color w:val="auto"/>
          <w:szCs w:val="24"/>
          <w:highlight w:val="none"/>
        </w:rPr>
        <w:t>市场价格波动引起的调整</w:t>
      </w:r>
      <w:r>
        <w:rPr>
          <w:rFonts w:hint="eastAsia" w:ascii="Times New Roman" w:hAnsi="Times New Roman"/>
          <w:color w:val="auto"/>
          <w:szCs w:val="24"/>
          <w:highlight w:val="none"/>
        </w:rPr>
        <w:t>〕</w:t>
      </w:r>
      <w:r>
        <w:rPr>
          <w:rFonts w:ascii="Times New Roman" w:hAnsi="Times New Roman"/>
          <w:color w:val="auto"/>
          <w:szCs w:val="24"/>
          <w:highlight w:val="none"/>
        </w:rPr>
        <w:t>、因法律变化引起的调整按第11.2款</w:t>
      </w:r>
      <w:r>
        <w:rPr>
          <w:rFonts w:hint="eastAsia" w:ascii="Times New Roman" w:hAnsi="Times New Roman"/>
          <w:color w:val="auto"/>
          <w:szCs w:val="24"/>
          <w:highlight w:val="none"/>
        </w:rPr>
        <w:t>〔</w:t>
      </w:r>
      <w:r>
        <w:rPr>
          <w:rFonts w:ascii="Times New Roman" w:hAnsi="Times New Roman"/>
          <w:color w:val="auto"/>
          <w:szCs w:val="24"/>
          <w:highlight w:val="none"/>
        </w:rPr>
        <w:t>法律变化引起的调整</w:t>
      </w:r>
      <w:r>
        <w:rPr>
          <w:rFonts w:hint="eastAsia" w:ascii="Times New Roman" w:hAnsi="Times New Roman"/>
          <w:color w:val="auto"/>
          <w:szCs w:val="24"/>
          <w:highlight w:val="none"/>
        </w:rPr>
        <w:t>〕</w:t>
      </w:r>
      <w:r>
        <w:rPr>
          <w:rFonts w:ascii="Times New Roman" w:hAnsi="Times New Roman"/>
          <w:color w:val="auto"/>
          <w:szCs w:val="24"/>
          <w:highlight w:val="none"/>
        </w:rPr>
        <w:t>约定执行。</w:t>
      </w:r>
    </w:p>
    <w:p w14:paraId="29F03A3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w:t>
      </w:r>
      <w:r>
        <w:rPr>
          <w:rFonts w:hint="eastAsia" w:ascii="Times New Roman" w:hAnsi="Times New Roman"/>
          <w:color w:val="auto"/>
          <w:szCs w:val="24"/>
          <w:highlight w:val="none"/>
        </w:rPr>
        <w:t>.</w:t>
      </w:r>
      <w:r>
        <w:rPr>
          <w:rFonts w:ascii="Times New Roman" w:hAnsi="Times New Roman"/>
          <w:color w:val="auto"/>
          <w:szCs w:val="24"/>
          <w:highlight w:val="none"/>
        </w:rPr>
        <w:t>其它价格形式</w:t>
      </w:r>
    </w:p>
    <w:p w14:paraId="593B8B0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合同当事人可在专用合同条款中约定其他合同价格形式。</w:t>
      </w:r>
    </w:p>
    <w:p w14:paraId="07220B52">
      <w:pPr>
        <w:keepNext/>
        <w:keepLines/>
        <w:spacing w:line="400" w:lineRule="exact"/>
        <w:outlineLvl w:val="2"/>
        <w:rPr>
          <w:rFonts w:ascii="Times New Roman" w:hAnsi="Times New Roman" w:eastAsia="黑体" w:cs="宋体"/>
          <w:b/>
          <w:color w:val="auto"/>
          <w:sz w:val="24"/>
          <w:szCs w:val="20"/>
          <w:highlight w:val="none"/>
        </w:rPr>
      </w:pPr>
      <w:bookmarkStart w:id="1272" w:name="_Toc296503097"/>
      <w:bookmarkStart w:id="1273" w:name="_Toc296346598"/>
      <w:bookmarkStart w:id="1274" w:name="_Toc28532211"/>
      <w:bookmarkStart w:id="1275" w:name="_Toc22611"/>
      <w:bookmarkStart w:id="1276" w:name="_Toc351203582"/>
      <w:bookmarkStart w:id="1277" w:name="_Toc337558801"/>
      <w:r>
        <w:rPr>
          <w:rFonts w:ascii="Times New Roman" w:hAnsi="Times New Roman" w:eastAsia="黑体" w:cs="宋体"/>
          <w:b/>
          <w:color w:val="auto"/>
          <w:sz w:val="24"/>
          <w:szCs w:val="20"/>
          <w:highlight w:val="none"/>
        </w:rPr>
        <w:t>12.2预</w:t>
      </w:r>
      <w:bookmarkEnd w:id="1272"/>
      <w:bookmarkEnd w:id="1273"/>
      <w:bookmarkStart w:id="1278" w:name="_Toc296503100"/>
      <w:bookmarkStart w:id="1279" w:name="_Toc296346601"/>
      <w:r>
        <w:rPr>
          <w:rFonts w:ascii="Times New Roman" w:hAnsi="Times New Roman" w:eastAsia="黑体" w:cs="宋体"/>
          <w:b/>
          <w:color w:val="auto"/>
          <w:sz w:val="24"/>
          <w:szCs w:val="20"/>
          <w:highlight w:val="none"/>
        </w:rPr>
        <w:t>付款</w:t>
      </w:r>
      <w:bookmarkEnd w:id="1274"/>
      <w:bookmarkEnd w:id="1275"/>
      <w:bookmarkEnd w:id="1276"/>
    </w:p>
    <w:bookmarkEnd w:id="1277"/>
    <w:bookmarkEnd w:id="1278"/>
    <w:bookmarkEnd w:id="1279"/>
    <w:p w14:paraId="1D7BD6F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12.2.1预付款的支付</w:t>
      </w:r>
    </w:p>
    <w:p w14:paraId="245894B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预付款的支付按照专用合同条款约定执行，但至迟应在开工通知载明的开工日期7天前支付。预付款应当用于材料、工程设备、施工设备的采购及修建临时工程、组织施工队伍进场等。</w:t>
      </w:r>
    </w:p>
    <w:p w14:paraId="2DE047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除专用合同条款另有约定外，预付款在进度付款中同比例扣回。</w:t>
      </w:r>
      <w:bookmarkEnd w:id="1255"/>
      <w:r>
        <w:rPr>
          <w:rFonts w:ascii="Times New Roman" w:hAnsi="Times New Roman"/>
          <w:color w:val="auto"/>
          <w:szCs w:val="24"/>
          <w:highlight w:val="none"/>
        </w:rPr>
        <w:t>在颁发工程接收证书前，提前解除合同的，尚未扣完的预付款应与合同价款一并结算。</w:t>
      </w:r>
    </w:p>
    <w:p w14:paraId="0C1A2D5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发包人逾期支付预付款超过7天的，承包人有权向发包人发出要求预付的催告通知，发包人收到通知后7天内仍未支付的，承包人有权暂停施工，并按第16.1.1项</w:t>
      </w:r>
      <w:r>
        <w:rPr>
          <w:rFonts w:hint="eastAsia" w:ascii="Times New Roman" w:hAnsi="Times New Roman"/>
          <w:color w:val="auto"/>
          <w:szCs w:val="24"/>
          <w:highlight w:val="none"/>
        </w:rPr>
        <w:t>〔</w:t>
      </w:r>
      <w:r>
        <w:rPr>
          <w:rFonts w:ascii="Times New Roman" w:hAnsi="Times New Roman"/>
          <w:color w:val="auto"/>
          <w:szCs w:val="24"/>
          <w:highlight w:val="none"/>
        </w:rPr>
        <w:t>发包人违约的情形</w:t>
      </w:r>
      <w:r>
        <w:rPr>
          <w:rFonts w:hint="eastAsia" w:ascii="Times New Roman" w:hAnsi="Times New Roman"/>
          <w:color w:val="auto"/>
          <w:szCs w:val="24"/>
          <w:highlight w:val="none"/>
        </w:rPr>
        <w:t>〕</w:t>
      </w:r>
      <w:r>
        <w:rPr>
          <w:rFonts w:ascii="Times New Roman" w:hAnsi="Times New Roman"/>
          <w:color w:val="auto"/>
          <w:szCs w:val="24"/>
          <w:highlight w:val="none"/>
        </w:rPr>
        <w:t>执行。</w:t>
      </w:r>
    </w:p>
    <w:p w14:paraId="6400D5C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12.2.2 预付款担保</w:t>
      </w:r>
    </w:p>
    <w:p w14:paraId="3346D1AD">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发包人要求承包人提供预付款担保的</w:t>
      </w:r>
      <w:r>
        <w:rPr>
          <w:rFonts w:ascii="Times New Roman" w:hAnsi="Times New Roman"/>
          <w:color w:val="auto"/>
          <w:szCs w:val="24"/>
          <w:highlight w:val="none"/>
        </w:rPr>
        <w:t>，承包人应在发包人支付预付款7天前提供预付款担保</w:t>
      </w:r>
      <w:r>
        <w:rPr>
          <w:rFonts w:hint="eastAsia" w:ascii="Times New Roman" w:hAnsi="Times New Roman"/>
          <w:color w:val="auto"/>
          <w:szCs w:val="24"/>
          <w:highlight w:val="none"/>
        </w:rPr>
        <w:t>，</w:t>
      </w:r>
      <w:r>
        <w:rPr>
          <w:rFonts w:ascii="Times New Roman" w:hAnsi="Times New Roman"/>
          <w:color w:val="auto"/>
          <w:szCs w:val="24"/>
          <w:highlight w:val="none"/>
        </w:rPr>
        <w:t>专用合同条款另有约定</w:t>
      </w:r>
      <w:r>
        <w:rPr>
          <w:rFonts w:hint="eastAsia" w:ascii="Times New Roman" w:hAnsi="Times New Roman"/>
          <w:color w:val="auto"/>
          <w:szCs w:val="24"/>
          <w:highlight w:val="none"/>
        </w:rPr>
        <w:t>除</w:t>
      </w:r>
      <w:r>
        <w:rPr>
          <w:rFonts w:ascii="Times New Roman" w:hAnsi="Times New Roman"/>
          <w:color w:val="auto"/>
          <w:szCs w:val="24"/>
          <w:highlight w:val="none"/>
        </w:rPr>
        <w:t>外。预付款担保可采用银行保函、担保公司担保等形式，具体由合同当事人在专用合同条款中约定。在预付款完全扣回之前，承包人应保证预付款担保持续有效。</w:t>
      </w:r>
    </w:p>
    <w:p w14:paraId="4D9F9DE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发包人在工程款中逐期扣回预付款后，预付款担保额度应相应减少，但剩余的预付款担保金额不得低于未被扣回的预付款金额。</w:t>
      </w:r>
    </w:p>
    <w:p w14:paraId="54FA7980">
      <w:pPr>
        <w:keepNext/>
        <w:keepLines/>
        <w:spacing w:line="400" w:lineRule="exact"/>
        <w:outlineLvl w:val="2"/>
        <w:rPr>
          <w:rFonts w:ascii="Times New Roman" w:hAnsi="Times New Roman" w:eastAsia="黑体" w:cs="宋体"/>
          <w:b/>
          <w:color w:val="auto"/>
          <w:sz w:val="24"/>
          <w:szCs w:val="20"/>
          <w:highlight w:val="none"/>
        </w:rPr>
      </w:pPr>
      <w:bookmarkStart w:id="1280" w:name="_Toc28532212"/>
      <w:bookmarkStart w:id="1281" w:name="_Toc27380"/>
      <w:bookmarkStart w:id="1282" w:name="_Toc351203583"/>
      <w:bookmarkStart w:id="1283" w:name="_Toc337558802"/>
      <w:r>
        <w:rPr>
          <w:rFonts w:ascii="Times New Roman" w:hAnsi="Times New Roman" w:eastAsia="黑体" w:cs="宋体"/>
          <w:b/>
          <w:color w:val="auto"/>
          <w:sz w:val="24"/>
          <w:szCs w:val="20"/>
          <w:highlight w:val="none"/>
        </w:rPr>
        <w:t>12.3计量</w:t>
      </w:r>
      <w:bookmarkEnd w:id="1280"/>
      <w:bookmarkEnd w:id="1281"/>
      <w:bookmarkEnd w:id="1282"/>
    </w:p>
    <w:bookmarkEnd w:id="1283"/>
    <w:p w14:paraId="377EDFC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12.3.1 计量原则</w:t>
      </w:r>
    </w:p>
    <w:p w14:paraId="2B0E195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工程量计量按照合同约定的工程量计算规则、图纸及变更指示</w:t>
      </w:r>
      <w:r>
        <w:rPr>
          <w:rFonts w:hint="eastAsia" w:ascii="Times New Roman" w:hAnsi="Times New Roman"/>
          <w:color w:val="auto"/>
          <w:szCs w:val="24"/>
          <w:highlight w:val="none"/>
        </w:rPr>
        <w:t>等</w:t>
      </w:r>
      <w:r>
        <w:rPr>
          <w:rFonts w:ascii="Times New Roman" w:hAnsi="Times New Roman"/>
          <w:color w:val="auto"/>
          <w:szCs w:val="24"/>
          <w:highlight w:val="none"/>
        </w:rPr>
        <w:t>进行计量。工程量计算规则应以相关的国家标准、行业标准</w:t>
      </w:r>
      <w:r>
        <w:rPr>
          <w:rFonts w:hint="eastAsia" w:ascii="Times New Roman" w:hAnsi="Times New Roman"/>
          <w:color w:val="auto"/>
          <w:szCs w:val="24"/>
          <w:highlight w:val="none"/>
        </w:rPr>
        <w:t>等</w:t>
      </w:r>
      <w:r>
        <w:rPr>
          <w:rFonts w:ascii="Times New Roman" w:hAnsi="Times New Roman"/>
          <w:color w:val="auto"/>
          <w:szCs w:val="24"/>
          <w:highlight w:val="none"/>
        </w:rPr>
        <w:t>为依据，由合同当事人在专用合同条款中约定。</w:t>
      </w:r>
    </w:p>
    <w:p w14:paraId="46BDBDE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12.3.2 计量周期</w:t>
      </w:r>
    </w:p>
    <w:p w14:paraId="24D79D0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除专用合同条款另有约定外，工程量的计量按月进行。</w:t>
      </w:r>
    </w:p>
    <w:p w14:paraId="5182099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12.3.3 单价合同的计量</w:t>
      </w:r>
    </w:p>
    <w:p w14:paraId="387CB56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除专用合同条款另有约定外，单价合同的计量按照本项约定执行：</w:t>
      </w:r>
    </w:p>
    <w:p w14:paraId="47DE1C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（1）承包人应于每月25日向监理人报送上月20日至当月19日已完成的工程量报告，并附具进度付款申请单、已完成工程量报表和有关资料。</w:t>
      </w:r>
    </w:p>
    <w:p w14:paraId="423483A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62B226F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（3）监理人未在收到承包人提交的工程量报表后的7天内完成审核的，承包人报送的工程量报告中的工程量视为承包人实际完成的工程量，据此计算工程价款。</w:t>
      </w:r>
    </w:p>
    <w:p w14:paraId="4F6727D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12.3.4 总价合同的计量</w:t>
      </w:r>
    </w:p>
    <w:p w14:paraId="4563B0C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除专用合同条款另有约定外，按</w:t>
      </w:r>
      <w:r>
        <w:rPr>
          <w:rFonts w:hint="eastAsia" w:ascii="Times New Roman" w:hAnsi="Times New Roman"/>
          <w:color w:val="auto"/>
          <w:szCs w:val="24"/>
          <w:highlight w:val="none"/>
        </w:rPr>
        <w:t>月计量支付</w:t>
      </w:r>
      <w:r>
        <w:rPr>
          <w:rFonts w:ascii="Times New Roman" w:hAnsi="Times New Roman"/>
          <w:color w:val="auto"/>
          <w:szCs w:val="24"/>
          <w:highlight w:val="none"/>
        </w:rPr>
        <w:t>的总价合同，按照本项约定执行：</w:t>
      </w:r>
    </w:p>
    <w:p w14:paraId="22EA7F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（1）承包人应于每月25日向监理人报送上月20日至当月19日已完成的工程量报告，并附具进度付款申请单、已完成工程量报表和有关资料。</w:t>
      </w:r>
    </w:p>
    <w:p w14:paraId="2436D0E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305B32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（3）监理人未在收到承包人提交的工程量报表后的7天内完成复核的，承包人提交的工程量报告中的工程量视为承包人实际完成的工程量。</w:t>
      </w:r>
    </w:p>
    <w:p w14:paraId="4911A26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12.3.5 总价合同采用支付分解表计量支付的，可以按照第12.3.4项</w:t>
      </w:r>
      <w:r>
        <w:rPr>
          <w:rFonts w:hint="eastAsia" w:ascii="Times New Roman" w:hAnsi="Times New Roman"/>
          <w:color w:val="auto"/>
          <w:szCs w:val="24"/>
          <w:highlight w:val="none"/>
        </w:rPr>
        <w:t>〔</w:t>
      </w:r>
      <w:r>
        <w:rPr>
          <w:rFonts w:ascii="Times New Roman" w:hAnsi="Times New Roman"/>
          <w:color w:val="auto"/>
          <w:szCs w:val="24"/>
          <w:highlight w:val="none"/>
        </w:rPr>
        <w:t>总价合同的计量</w:t>
      </w:r>
      <w:r>
        <w:rPr>
          <w:rFonts w:hint="eastAsia" w:ascii="Times New Roman" w:hAnsi="Times New Roman"/>
          <w:color w:val="auto"/>
          <w:szCs w:val="24"/>
          <w:highlight w:val="none"/>
        </w:rPr>
        <w:t>〕</w:t>
      </w:r>
      <w:r>
        <w:rPr>
          <w:rFonts w:ascii="Times New Roman" w:hAnsi="Times New Roman"/>
          <w:color w:val="auto"/>
          <w:szCs w:val="24"/>
          <w:highlight w:val="none"/>
        </w:rPr>
        <w:t>约定进行计量，但合同价款按照支付分解表进行支付。</w:t>
      </w:r>
    </w:p>
    <w:p w14:paraId="437412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12.3.6 其他价格形式合同的计量</w:t>
      </w:r>
    </w:p>
    <w:p w14:paraId="5904E21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合同当事人可在专用合同条款中约定其他价格形式合同的计量方式和程序。</w:t>
      </w:r>
    </w:p>
    <w:p w14:paraId="4B6384B5">
      <w:pPr>
        <w:keepNext/>
        <w:keepLines/>
        <w:spacing w:line="400" w:lineRule="exact"/>
        <w:outlineLvl w:val="2"/>
        <w:rPr>
          <w:rFonts w:ascii="Times New Roman" w:hAnsi="Times New Roman" w:eastAsia="黑体" w:cs="宋体"/>
          <w:b/>
          <w:color w:val="auto"/>
          <w:sz w:val="24"/>
          <w:szCs w:val="20"/>
          <w:highlight w:val="none"/>
        </w:rPr>
      </w:pPr>
      <w:bookmarkStart w:id="1284" w:name="_Toc296503101"/>
      <w:bookmarkStart w:id="1285" w:name="_Toc296346602"/>
      <w:bookmarkStart w:id="1286" w:name="_Toc28532213"/>
      <w:bookmarkStart w:id="1287" w:name="_Toc351203584"/>
      <w:bookmarkStart w:id="1288" w:name="_Toc7464"/>
      <w:bookmarkStart w:id="1289" w:name="_Toc337558803"/>
      <w:r>
        <w:rPr>
          <w:rFonts w:ascii="Times New Roman" w:hAnsi="Times New Roman" w:eastAsia="黑体" w:cs="宋体"/>
          <w:b/>
          <w:color w:val="auto"/>
          <w:sz w:val="24"/>
          <w:szCs w:val="20"/>
          <w:highlight w:val="none"/>
        </w:rPr>
        <w:t>12.4工程进度款支</w:t>
      </w:r>
      <w:bookmarkEnd w:id="1284"/>
      <w:bookmarkEnd w:id="1285"/>
      <w:r>
        <w:rPr>
          <w:rFonts w:ascii="Times New Roman" w:hAnsi="Times New Roman" w:eastAsia="黑体" w:cs="宋体"/>
          <w:b/>
          <w:color w:val="auto"/>
          <w:sz w:val="24"/>
          <w:szCs w:val="20"/>
          <w:highlight w:val="none"/>
        </w:rPr>
        <w:t>付</w:t>
      </w:r>
      <w:bookmarkEnd w:id="1286"/>
      <w:bookmarkEnd w:id="1287"/>
      <w:bookmarkEnd w:id="1288"/>
    </w:p>
    <w:bookmarkEnd w:id="1289"/>
    <w:p w14:paraId="0EF0398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12.4.1 付款周期</w:t>
      </w:r>
    </w:p>
    <w:p w14:paraId="2BEEAA9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除专用合同条款另有约定外，付款周期应按照第12.3.2</w:t>
      </w:r>
      <w:r>
        <w:rPr>
          <w:rFonts w:hint="eastAsia" w:ascii="Times New Roman" w:hAnsi="Times New Roman"/>
          <w:color w:val="auto"/>
          <w:szCs w:val="24"/>
          <w:highlight w:val="none"/>
        </w:rPr>
        <w:t>项〔</w:t>
      </w:r>
      <w:r>
        <w:rPr>
          <w:rFonts w:ascii="Times New Roman" w:hAnsi="Times New Roman"/>
          <w:color w:val="auto"/>
          <w:szCs w:val="24"/>
          <w:highlight w:val="none"/>
        </w:rPr>
        <w:t>计量周期</w:t>
      </w:r>
      <w:r>
        <w:rPr>
          <w:rFonts w:hint="eastAsia" w:ascii="Times New Roman" w:hAnsi="Times New Roman"/>
          <w:color w:val="auto"/>
          <w:szCs w:val="24"/>
          <w:highlight w:val="none"/>
        </w:rPr>
        <w:t>〕</w:t>
      </w:r>
      <w:r>
        <w:rPr>
          <w:rFonts w:ascii="Times New Roman" w:hAnsi="Times New Roman"/>
          <w:color w:val="auto"/>
          <w:szCs w:val="24"/>
          <w:highlight w:val="none"/>
        </w:rPr>
        <w:t>的约定与计量周期保持一致。</w:t>
      </w:r>
    </w:p>
    <w:p w14:paraId="2CDACE9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12.4.2 进度付款申请单的编制</w:t>
      </w:r>
    </w:p>
    <w:p w14:paraId="6071428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除专用合同条款另有约定外，进度付款申请单应包括下列内容：</w:t>
      </w:r>
    </w:p>
    <w:p w14:paraId="230671A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（1）截至本次付款周期已完成工作对应的金额；</w:t>
      </w:r>
    </w:p>
    <w:p w14:paraId="7046294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（2）根据第10条</w:t>
      </w:r>
      <w:r>
        <w:rPr>
          <w:rFonts w:hint="eastAsia" w:ascii="Times New Roman" w:hAnsi="Times New Roman"/>
          <w:color w:val="auto"/>
          <w:szCs w:val="24"/>
          <w:highlight w:val="none"/>
        </w:rPr>
        <w:t>〔</w:t>
      </w:r>
      <w:r>
        <w:rPr>
          <w:rFonts w:ascii="Times New Roman" w:hAnsi="Times New Roman"/>
          <w:color w:val="auto"/>
          <w:szCs w:val="24"/>
          <w:highlight w:val="none"/>
        </w:rPr>
        <w:t>变更</w:t>
      </w:r>
      <w:r>
        <w:rPr>
          <w:rFonts w:hint="eastAsia" w:ascii="Times New Roman" w:hAnsi="Times New Roman"/>
          <w:color w:val="auto"/>
          <w:szCs w:val="24"/>
          <w:highlight w:val="none"/>
        </w:rPr>
        <w:t>〕</w:t>
      </w:r>
      <w:r>
        <w:rPr>
          <w:rFonts w:ascii="Times New Roman" w:hAnsi="Times New Roman"/>
          <w:color w:val="auto"/>
          <w:szCs w:val="24"/>
          <w:highlight w:val="none"/>
        </w:rPr>
        <w:t>应增加和扣减的变更金额；</w:t>
      </w:r>
    </w:p>
    <w:p w14:paraId="6A5246B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（3）根据第12.2款</w:t>
      </w:r>
      <w:r>
        <w:rPr>
          <w:rFonts w:hint="eastAsia" w:ascii="Times New Roman" w:hAnsi="Times New Roman"/>
          <w:color w:val="auto"/>
          <w:szCs w:val="24"/>
          <w:highlight w:val="none"/>
        </w:rPr>
        <w:t>〔</w:t>
      </w:r>
      <w:r>
        <w:rPr>
          <w:rFonts w:ascii="Times New Roman" w:hAnsi="Times New Roman"/>
          <w:color w:val="auto"/>
          <w:szCs w:val="24"/>
          <w:highlight w:val="none"/>
        </w:rPr>
        <w:t>预付款</w:t>
      </w:r>
      <w:r>
        <w:rPr>
          <w:rFonts w:hint="eastAsia" w:ascii="Times New Roman" w:hAnsi="Times New Roman"/>
          <w:color w:val="auto"/>
          <w:szCs w:val="24"/>
          <w:highlight w:val="none"/>
        </w:rPr>
        <w:t>〕</w:t>
      </w:r>
      <w:r>
        <w:rPr>
          <w:rFonts w:ascii="Times New Roman" w:hAnsi="Times New Roman"/>
          <w:color w:val="auto"/>
          <w:szCs w:val="24"/>
          <w:highlight w:val="none"/>
        </w:rPr>
        <w:t>约定应支付的预付款和扣减的返还预付款；</w:t>
      </w:r>
    </w:p>
    <w:p w14:paraId="44702C2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（4）根据第15.3款</w:t>
      </w:r>
      <w:r>
        <w:rPr>
          <w:rFonts w:hint="eastAsia" w:ascii="Times New Roman" w:hAnsi="Times New Roman"/>
          <w:color w:val="auto"/>
          <w:szCs w:val="24"/>
          <w:highlight w:val="none"/>
        </w:rPr>
        <w:t>〔</w:t>
      </w:r>
      <w:r>
        <w:rPr>
          <w:rFonts w:ascii="Times New Roman" w:hAnsi="Times New Roman"/>
          <w:color w:val="auto"/>
          <w:szCs w:val="24"/>
          <w:highlight w:val="none"/>
        </w:rPr>
        <w:t>质量保证金</w:t>
      </w:r>
      <w:r>
        <w:rPr>
          <w:rFonts w:hint="eastAsia" w:ascii="Times New Roman" w:hAnsi="Times New Roman"/>
          <w:color w:val="auto"/>
          <w:szCs w:val="24"/>
          <w:highlight w:val="none"/>
        </w:rPr>
        <w:t>〕</w:t>
      </w:r>
      <w:r>
        <w:rPr>
          <w:rFonts w:ascii="Times New Roman" w:hAnsi="Times New Roman"/>
          <w:color w:val="auto"/>
          <w:szCs w:val="24"/>
          <w:highlight w:val="none"/>
        </w:rPr>
        <w:t>约定应扣减的质量保证金；</w:t>
      </w:r>
    </w:p>
    <w:p w14:paraId="7801C63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（5）根据第19条</w:t>
      </w:r>
      <w:r>
        <w:rPr>
          <w:rFonts w:hint="eastAsia" w:ascii="Times New Roman" w:hAnsi="Times New Roman"/>
          <w:color w:val="auto"/>
          <w:szCs w:val="24"/>
          <w:highlight w:val="none"/>
        </w:rPr>
        <w:t>〔</w:t>
      </w:r>
      <w:r>
        <w:rPr>
          <w:rFonts w:ascii="Times New Roman" w:hAnsi="Times New Roman"/>
          <w:color w:val="auto"/>
          <w:szCs w:val="24"/>
          <w:highlight w:val="none"/>
        </w:rPr>
        <w:t>索赔</w:t>
      </w:r>
      <w:r>
        <w:rPr>
          <w:rFonts w:hint="eastAsia" w:ascii="Times New Roman" w:hAnsi="Times New Roman"/>
          <w:color w:val="auto"/>
          <w:szCs w:val="24"/>
          <w:highlight w:val="none"/>
        </w:rPr>
        <w:t>〕</w:t>
      </w:r>
      <w:r>
        <w:rPr>
          <w:rFonts w:ascii="Times New Roman" w:hAnsi="Times New Roman"/>
          <w:color w:val="auto"/>
          <w:szCs w:val="24"/>
          <w:highlight w:val="none"/>
        </w:rPr>
        <w:t>应增加和扣减的索赔金额；</w:t>
      </w:r>
    </w:p>
    <w:p w14:paraId="11C9554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（6）对已签发的进度款支付证书中出现错误的修正，应在本次进度付款中支付或扣除的金额；</w:t>
      </w:r>
    </w:p>
    <w:p w14:paraId="336BFC4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（7）根据合同约定应增加和扣减的其他金额。</w:t>
      </w:r>
    </w:p>
    <w:p w14:paraId="210051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12.4.3 进度付款申请单的提交</w:t>
      </w:r>
    </w:p>
    <w:p w14:paraId="7C570F0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（1）单价合同进度付款申请单的提交</w:t>
      </w:r>
    </w:p>
    <w:p w14:paraId="2856B9F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单价合同的进度付款申请单，按照第12.3.3项</w:t>
      </w:r>
      <w:r>
        <w:rPr>
          <w:rFonts w:hint="eastAsia" w:ascii="Times New Roman" w:hAnsi="Times New Roman"/>
          <w:color w:val="auto"/>
          <w:szCs w:val="24"/>
          <w:highlight w:val="none"/>
        </w:rPr>
        <w:t>〔</w:t>
      </w:r>
      <w:r>
        <w:rPr>
          <w:rFonts w:ascii="Times New Roman" w:hAnsi="Times New Roman"/>
          <w:color w:val="auto"/>
          <w:szCs w:val="24"/>
          <w:highlight w:val="none"/>
        </w:rPr>
        <w:t>单价合同的计量</w:t>
      </w:r>
      <w:r>
        <w:rPr>
          <w:rFonts w:hint="eastAsia" w:ascii="Times New Roman" w:hAnsi="Times New Roman"/>
          <w:color w:val="auto"/>
          <w:szCs w:val="24"/>
          <w:highlight w:val="none"/>
        </w:rPr>
        <w:t>〕</w:t>
      </w:r>
      <w:r>
        <w:rPr>
          <w:rFonts w:ascii="Times New Roman" w:hAnsi="Times New Roman"/>
          <w:color w:val="auto"/>
          <w:szCs w:val="24"/>
          <w:highlight w:val="none"/>
        </w:rPr>
        <w:t>约定的时间按月向监理人提交，并附上已完成工程量报表和有关资料。单价合同中的总价项目按月进行支付分解，并汇总列入当期进度付款申请单。</w:t>
      </w:r>
    </w:p>
    <w:p w14:paraId="11EFC57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（2）总价合同进度付款申请单的提交</w:t>
      </w:r>
    </w:p>
    <w:p w14:paraId="492E0E4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总价合同按</w:t>
      </w:r>
      <w:r>
        <w:rPr>
          <w:rFonts w:hint="eastAsia" w:ascii="Times New Roman" w:hAnsi="Times New Roman"/>
          <w:color w:val="auto"/>
          <w:szCs w:val="24"/>
          <w:highlight w:val="none"/>
        </w:rPr>
        <w:t>月计量支付的</w:t>
      </w:r>
      <w:r>
        <w:rPr>
          <w:rFonts w:ascii="Times New Roman" w:hAnsi="Times New Roman"/>
          <w:color w:val="auto"/>
          <w:szCs w:val="24"/>
          <w:highlight w:val="none"/>
        </w:rPr>
        <w:t>，承包人按照第12.3.4项</w:t>
      </w:r>
      <w:r>
        <w:rPr>
          <w:rFonts w:hint="eastAsia" w:ascii="Times New Roman" w:hAnsi="Times New Roman"/>
          <w:color w:val="auto"/>
          <w:szCs w:val="24"/>
          <w:highlight w:val="none"/>
        </w:rPr>
        <w:t>〔</w:t>
      </w:r>
      <w:r>
        <w:rPr>
          <w:rFonts w:ascii="Times New Roman" w:hAnsi="Times New Roman"/>
          <w:color w:val="auto"/>
          <w:szCs w:val="24"/>
          <w:highlight w:val="none"/>
        </w:rPr>
        <w:t>总价合同的计量</w:t>
      </w:r>
      <w:r>
        <w:rPr>
          <w:rFonts w:hint="eastAsia" w:ascii="Times New Roman" w:hAnsi="Times New Roman"/>
          <w:color w:val="auto"/>
          <w:szCs w:val="24"/>
          <w:highlight w:val="none"/>
        </w:rPr>
        <w:t>〕</w:t>
      </w:r>
      <w:r>
        <w:rPr>
          <w:rFonts w:ascii="Times New Roman" w:hAnsi="Times New Roman"/>
          <w:color w:val="auto"/>
          <w:szCs w:val="24"/>
          <w:highlight w:val="none"/>
        </w:rPr>
        <w:t>约定的时间按月向监理人提交进度付款申请单，并附上已完成工程量报表和有关资料。</w:t>
      </w:r>
    </w:p>
    <w:p w14:paraId="16C7BEE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总价合同按支付分解表支付的，承包人应按照第12.4.6项</w:t>
      </w:r>
      <w:r>
        <w:rPr>
          <w:rFonts w:hint="eastAsia" w:ascii="Times New Roman" w:hAnsi="Times New Roman"/>
          <w:color w:val="auto"/>
          <w:szCs w:val="24"/>
          <w:highlight w:val="none"/>
        </w:rPr>
        <w:t>〔</w:t>
      </w:r>
      <w:r>
        <w:rPr>
          <w:rFonts w:ascii="Times New Roman" w:hAnsi="Times New Roman"/>
          <w:color w:val="auto"/>
          <w:szCs w:val="24"/>
          <w:highlight w:val="none"/>
        </w:rPr>
        <w:t>支付分解表</w:t>
      </w:r>
      <w:r>
        <w:rPr>
          <w:rFonts w:hint="eastAsia" w:ascii="Times New Roman" w:hAnsi="Times New Roman"/>
          <w:color w:val="auto"/>
          <w:szCs w:val="24"/>
          <w:highlight w:val="none"/>
        </w:rPr>
        <w:t>〕</w:t>
      </w:r>
      <w:r>
        <w:rPr>
          <w:rFonts w:ascii="Times New Roman" w:hAnsi="Times New Roman"/>
          <w:color w:val="auto"/>
          <w:szCs w:val="24"/>
          <w:highlight w:val="none"/>
        </w:rPr>
        <w:t>及第12.4.2项</w:t>
      </w:r>
      <w:r>
        <w:rPr>
          <w:rFonts w:hint="eastAsia" w:ascii="Times New Roman" w:hAnsi="Times New Roman"/>
          <w:color w:val="auto"/>
          <w:szCs w:val="24"/>
          <w:highlight w:val="none"/>
        </w:rPr>
        <w:t>〔</w:t>
      </w:r>
      <w:r>
        <w:rPr>
          <w:rFonts w:ascii="Times New Roman" w:hAnsi="Times New Roman"/>
          <w:color w:val="auto"/>
          <w:szCs w:val="24"/>
          <w:highlight w:val="none"/>
        </w:rPr>
        <w:t>进度付款申请单的编制</w:t>
      </w:r>
      <w:r>
        <w:rPr>
          <w:rFonts w:hint="eastAsia" w:ascii="Times New Roman" w:hAnsi="Times New Roman"/>
          <w:color w:val="auto"/>
          <w:szCs w:val="24"/>
          <w:highlight w:val="none"/>
        </w:rPr>
        <w:t>〕</w:t>
      </w:r>
      <w:r>
        <w:rPr>
          <w:rFonts w:ascii="Times New Roman" w:hAnsi="Times New Roman"/>
          <w:color w:val="auto"/>
          <w:szCs w:val="24"/>
          <w:highlight w:val="none"/>
        </w:rPr>
        <w:t>的约定向监理人提交进度付款申请单。</w:t>
      </w:r>
    </w:p>
    <w:p w14:paraId="4B9DE6F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（3）其他价格形式合同的进度付款申请单的提交</w:t>
      </w:r>
    </w:p>
    <w:p w14:paraId="21FB273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合同当事人可在专用合同条款中约定其他价格形式合同的进度付款申请单的编制和提交程序。</w:t>
      </w:r>
    </w:p>
    <w:p w14:paraId="6C2D331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12.4.4 进度款审核和支付</w:t>
      </w:r>
    </w:p>
    <w:p w14:paraId="09B0D17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color w:val="auto"/>
          <w:szCs w:val="24"/>
          <w:highlight w:val="none"/>
        </w:rPr>
        <w:t>审批</w:t>
      </w:r>
      <w:r>
        <w:rPr>
          <w:rFonts w:ascii="Times New Roman" w:hAnsi="Times New Roman"/>
          <w:color w:val="auto"/>
          <w:szCs w:val="24"/>
          <w:highlight w:val="none"/>
        </w:rPr>
        <w:t>且未提出异议的，视为已签发进度款支付证书。</w:t>
      </w:r>
    </w:p>
    <w:p w14:paraId="11B3C99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的约定处理。</w:t>
      </w:r>
    </w:p>
    <w:p w14:paraId="573FFEE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1590C78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（3）发包人签发进度款支付证书或临时进度款支付证书，不表明发包人已同意、批准或接受了承包人完成的相应部分的工作。</w:t>
      </w:r>
    </w:p>
    <w:p w14:paraId="0378899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12.4.5 进度付款的修正</w:t>
      </w:r>
    </w:p>
    <w:p w14:paraId="2C6085D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在对已签发的进度款支付证书进行阶段汇总和复核中发现错误、遗漏或重复的，发包人和承包人均有权提出修正申请。经发包人和承包人同意的修正，应在下期进度付款中支付或扣除。</w:t>
      </w:r>
    </w:p>
    <w:p w14:paraId="0CDD9B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12.4.6 支付分解表</w:t>
      </w:r>
    </w:p>
    <w:p w14:paraId="40B26C5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r>
        <w:rPr>
          <w:rFonts w:hint="eastAsia" w:ascii="Times New Roman" w:hAnsi="Times New Roman"/>
          <w:color w:val="auto"/>
          <w:szCs w:val="24"/>
          <w:highlight w:val="none"/>
        </w:rPr>
        <w:t>.</w:t>
      </w:r>
      <w:r>
        <w:rPr>
          <w:rFonts w:ascii="Times New Roman" w:hAnsi="Times New Roman"/>
          <w:color w:val="auto"/>
          <w:szCs w:val="24"/>
          <w:highlight w:val="none"/>
        </w:rPr>
        <w:t>支付分解表的编制要求</w:t>
      </w:r>
    </w:p>
    <w:p w14:paraId="7172DFE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（1）支付分解表中所列的每期付款金额，应为第12.4.2项</w:t>
      </w:r>
      <w:r>
        <w:rPr>
          <w:rFonts w:hint="eastAsia" w:ascii="Times New Roman" w:hAnsi="Times New Roman"/>
          <w:color w:val="auto"/>
          <w:szCs w:val="24"/>
          <w:highlight w:val="none"/>
        </w:rPr>
        <w:t>〔</w:t>
      </w:r>
      <w:r>
        <w:rPr>
          <w:rFonts w:ascii="Times New Roman" w:hAnsi="Times New Roman"/>
          <w:color w:val="auto"/>
          <w:szCs w:val="24"/>
          <w:highlight w:val="none"/>
        </w:rPr>
        <w:t>进度付款申请单的编制</w:t>
      </w:r>
      <w:r>
        <w:rPr>
          <w:rFonts w:hint="eastAsia" w:ascii="Times New Roman" w:hAnsi="Times New Roman"/>
          <w:color w:val="auto"/>
          <w:szCs w:val="24"/>
          <w:highlight w:val="none"/>
        </w:rPr>
        <w:t>〕</w:t>
      </w:r>
      <w:r>
        <w:rPr>
          <w:rFonts w:ascii="Times New Roman" w:hAnsi="Times New Roman"/>
          <w:color w:val="auto"/>
          <w:szCs w:val="24"/>
          <w:highlight w:val="none"/>
        </w:rPr>
        <w:t>第（1）</w:t>
      </w:r>
      <w:r>
        <w:rPr>
          <w:rFonts w:hint="eastAsia" w:ascii="Times New Roman" w:hAnsi="Times New Roman"/>
          <w:color w:val="auto"/>
          <w:szCs w:val="24"/>
          <w:highlight w:val="none"/>
        </w:rPr>
        <w:t>目</w:t>
      </w:r>
      <w:r>
        <w:rPr>
          <w:rFonts w:ascii="Times New Roman" w:hAnsi="Times New Roman"/>
          <w:color w:val="auto"/>
          <w:szCs w:val="24"/>
          <w:highlight w:val="none"/>
        </w:rPr>
        <w:t>的估算金额；</w:t>
      </w:r>
    </w:p>
    <w:p w14:paraId="342B343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（2）实际进度与施工进度计划不一致的，合同当事人可按照第4.4款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修改支付分解表；</w:t>
      </w:r>
    </w:p>
    <w:p w14:paraId="019AABE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（3）不采用支付分解表的，承包人应向发包人和监理人提交按季度编制的支付估算分解表，用于支付参考。</w:t>
      </w:r>
    </w:p>
    <w:p w14:paraId="7750146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w:t>
      </w:r>
      <w:r>
        <w:rPr>
          <w:rFonts w:hint="eastAsia" w:ascii="Times New Roman" w:hAnsi="Times New Roman"/>
          <w:color w:val="auto"/>
          <w:szCs w:val="24"/>
          <w:highlight w:val="none"/>
        </w:rPr>
        <w:t>.</w:t>
      </w:r>
      <w:r>
        <w:rPr>
          <w:rFonts w:ascii="Times New Roman" w:hAnsi="Times New Roman"/>
          <w:color w:val="auto"/>
          <w:szCs w:val="24"/>
          <w:highlight w:val="none"/>
        </w:rPr>
        <w:t>总价合同支付分解表的编制与审批</w:t>
      </w:r>
    </w:p>
    <w:p w14:paraId="293C6DA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（1）除专用合同条款另有约定外，承包人应根据第7.2款</w:t>
      </w:r>
      <w:r>
        <w:rPr>
          <w:rFonts w:hint="eastAsia" w:ascii="Times New Roman" w:hAnsi="Times New Roman"/>
          <w:color w:val="auto"/>
          <w:szCs w:val="24"/>
          <w:highlight w:val="none"/>
        </w:rPr>
        <w:t>〔</w:t>
      </w:r>
      <w:r>
        <w:rPr>
          <w:rFonts w:ascii="Times New Roman" w:hAnsi="Times New Roman"/>
          <w:color w:val="auto"/>
          <w:szCs w:val="24"/>
          <w:highlight w:val="none"/>
        </w:rPr>
        <w:t>施工进度计划</w:t>
      </w:r>
      <w:r>
        <w:rPr>
          <w:rFonts w:hint="eastAsia" w:ascii="Times New Roman" w:hAnsi="Times New Roman"/>
          <w:color w:val="auto"/>
          <w:szCs w:val="24"/>
          <w:highlight w:val="none"/>
        </w:rPr>
        <w:t>〕</w:t>
      </w:r>
      <w:r>
        <w:rPr>
          <w:rFonts w:ascii="Times New Roman" w:hAnsi="Times New Roman"/>
          <w:color w:val="auto"/>
          <w:szCs w:val="24"/>
          <w:highlight w:val="none"/>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613E4D5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（2）监理人应在收到支付分解表后7天内完成审核并报送发包人。发包人应在收到经监理人审核的支付分解表后7天内完成审批，经发包人批准的支付分解表为有约束力的支付分解表。</w:t>
      </w:r>
    </w:p>
    <w:p w14:paraId="7D8A3C4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（3）发包人逾期未完成支付分解表</w:t>
      </w:r>
      <w:r>
        <w:rPr>
          <w:rFonts w:hint="eastAsia" w:ascii="Times New Roman" w:hAnsi="Times New Roman"/>
          <w:color w:val="auto"/>
          <w:szCs w:val="24"/>
          <w:highlight w:val="none"/>
        </w:rPr>
        <w:t>审批</w:t>
      </w:r>
      <w:r>
        <w:rPr>
          <w:rFonts w:ascii="Times New Roman" w:hAnsi="Times New Roman"/>
          <w:color w:val="auto"/>
          <w:szCs w:val="24"/>
          <w:highlight w:val="none"/>
        </w:rPr>
        <w:t>的，也未及时要求承包人进行修正和提供补充资料的，则承包人提交的支付分解表视为已经获得发包人批准。</w:t>
      </w:r>
    </w:p>
    <w:p w14:paraId="0893C77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w:t>
      </w:r>
      <w:r>
        <w:rPr>
          <w:rFonts w:hint="eastAsia" w:ascii="Times New Roman" w:hAnsi="Times New Roman"/>
          <w:color w:val="auto"/>
          <w:szCs w:val="24"/>
          <w:highlight w:val="none"/>
        </w:rPr>
        <w:t>.</w:t>
      </w:r>
      <w:r>
        <w:rPr>
          <w:rFonts w:ascii="Times New Roman" w:hAnsi="Times New Roman"/>
          <w:color w:val="auto"/>
          <w:szCs w:val="24"/>
          <w:highlight w:val="none"/>
        </w:rPr>
        <w:t>单价合同的总价项目支付分解表的编制与审批</w:t>
      </w:r>
    </w:p>
    <w:p w14:paraId="23DF589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DD1B0D1">
      <w:pPr>
        <w:keepNext/>
        <w:keepLines/>
        <w:spacing w:line="400" w:lineRule="exact"/>
        <w:outlineLvl w:val="2"/>
        <w:rPr>
          <w:rFonts w:ascii="Times New Roman" w:hAnsi="Times New Roman" w:eastAsia="黑体" w:cs="宋体"/>
          <w:b/>
          <w:color w:val="auto"/>
          <w:sz w:val="24"/>
          <w:szCs w:val="20"/>
          <w:highlight w:val="none"/>
        </w:rPr>
      </w:pPr>
      <w:bookmarkStart w:id="1290" w:name="_Toc18297"/>
      <w:bookmarkStart w:id="1291" w:name="_Toc28532214"/>
      <w:bookmarkStart w:id="1292" w:name="_Toc351203585"/>
      <w:r>
        <w:rPr>
          <w:rFonts w:ascii="Times New Roman" w:hAnsi="Times New Roman" w:eastAsia="黑体" w:cs="宋体"/>
          <w:b/>
          <w:color w:val="auto"/>
          <w:sz w:val="24"/>
          <w:szCs w:val="20"/>
          <w:highlight w:val="none"/>
        </w:rPr>
        <w:t>12.5支付账户</w:t>
      </w:r>
      <w:bookmarkEnd w:id="1290"/>
      <w:bookmarkEnd w:id="1291"/>
      <w:bookmarkEnd w:id="1292"/>
    </w:p>
    <w:p w14:paraId="29B5FC3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发包人应将合同价款支付至合同协议书中约定的承包人账户。</w:t>
      </w:r>
    </w:p>
    <w:p w14:paraId="7AC0F5F8">
      <w:pPr>
        <w:keepNext/>
        <w:keepLines/>
        <w:spacing w:before="100" w:line="400" w:lineRule="exact"/>
        <w:outlineLvl w:val="1"/>
        <w:rPr>
          <w:rFonts w:ascii="Times New Roman" w:hAnsi="Times New Roman" w:eastAsia="黑体" w:cs="宋体"/>
          <w:b/>
          <w:color w:val="auto"/>
          <w:sz w:val="28"/>
          <w:szCs w:val="20"/>
          <w:highlight w:val="none"/>
        </w:rPr>
      </w:pPr>
      <w:bookmarkStart w:id="1293" w:name="_Toc351203586"/>
      <w:bookmarkStart w:id="1294" w:name="_Toc18476"/>
      <w:bookmarkStart w:id="1295" w:name="_Toc28532215"/>
      <w:bookmarkStart w:id="1296" w:name="_Toc296503106"/>
      <w:bookmarkStart w:id="1297" w:name="_Toc296346607"/>
      <w:bookmarkStart w:id="1298" w:name="_Toc322522574"/>
      <w:bookmarkStart w:id="1299" w:name="_Toc337558804"/>
      <w:r>
        <w:rPr>
          <w:rFonts w:ascii="Times New Roman" w:hAnsi="Times New Roman" w:eastAsia="黑体" w:cs="宋体"/>
          <w:b/>
          <w:color w:val="auto"/>
          <w:sz w:val="28"/>
          <w:szCs w:val="20"/>
          <w:highlight w:val="none"/>
        </w:rPr>
        <w:t>13. 验收和工程试车</w:t>
      </w:r>
      <w:bookmarkEnd w:id="1293"/>
      <w:bookmarkEnd w:id="1294"/>
      <w:bookmarkEnd w:id="1295"/>
    </w:p>
    <w:bookmarkEnd w:id="1296"/>
    <w:bookmarkEnd w:id="1297"/>
    <w:bookmarkEnd w:id="1298"/>
    <w:bookmarkEnd w:id="1299"/>
    <w:p w14:paraId="69C0D160">
      <w:pPr>
        <w:keepNext/>
        <w:keepLines/>
        <w:spacing w:line="400" w:lineRule="exact"/>
        <w:outlineLvl w:val="2"/>
        <w:rPr>
          <w:rFonts w:ascii="Times New Roman" w:hAnsi="Times New Roman" w:eastAsia="黑体" w:cs="宋体"/>
          <w:b/>
          <w:color w:val="auto"/>
          <w:sz w:val="24"/>
          <w:szCs w:val="20"/>
          <w:highlight w:val="none"/>
        </w:rPr>
      </w:pPr>
      <w:bookmarkStart w:id="1300" w:name="_Toc28532216"/>
      <w:bookmarkStart w:id="1301" w:name="_Toc16335"/>
      <w:bookmarkStart w:id="1302" w:name="_Toc351203587"/>
      <w:bookmarkStart w:id="1303" w:name="_Toc337558805"/>
      <w:bookmarkStart w:id="1304" w:name="_Toc296346611"/>
      <w:bookmarkStart w:id="1305" w:name="_Toc296503110"/>
      <w:r>
        <w:rPr>
          <w:rFonts w:ascii="Times New Roman" w:hAnsi="Times New Roman" w:eastAsia="黑体" w:cs="宋体"/>
          <w:b/>
          <w:color w:val="auto"/>
          <w:sz w:val="24"/>
          <w:szCs w:val="20"/>
          <w:highlight w:val="none"/>
        </w:rPr>
        <w:t>13.1分部分项工程验收</w:t>
      </w:r>
      <w:bookmarkEnd w:id="1300"/>
      <w:bookmarkEnd w:id="1301"/>
      <w:bookmarkEnd w:id="1302"/>
    </w:p>
    <w:bookmarkEnd w:id="1303"/>
    <w:p w14:paraId="1479CE3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13.1.1 分部分项工程质量应符合国家有关工程施工验收规范、标准及合同约定，承包人应按照施工组织设计的要求完成分部分项工程施工。</w:t>
      </w:r>
    </w:p>
    <w:p w14:paraId="1D22F51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16855AC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分部分项工程的验收资料应当作为竣工资料的组成部分。</w:t>
      </w:r>
    </w:p>
    <w:p w14:paraId="347E79C2">
      <w:pPr>
        <w:keepNext/>
        <w:keepLines/>
        <w:spacing w:line="400" w:lineRule="exact"/>
        <w:outlineLvl w:val="2"/>
        <w:rPr>
          <w:rFonts w:ascii="Times New Roman" w:hAnsi="Times New Roman" w:eastAsia="黑体" w:cs="宋体"/>
          <w:b/>
          <w:color w:val="auto"/>
          <w:sz w:val="24"/>
          <w:szCs w:val="20"/>
          <w:highlight w:val="none"/>
        </w:rPr>
      </w:pPr>
      <w:bookmarkStart w:id="1306" w:name="_Toc28532217"/>
      <w:bookmarkStart w:id="1307" w:name="_Toc16801"/>
      <w:bookmarkStart w:id="1308" w:name="_Toc351203588"/>
      <w:bookmarkStart w:id="1309" w:name="_Toc337558806"/>
      <w:r>
        <w:rPr>
          <w:rFonts w:ascii="Times New Roman" w:hAnsi="Times New Roman" w:eastAsia="黑体" w:cs="宋体"/>
          <w:b/>
          <w:color w:val="auto"/>
          <w:sz w:val="24"/>
          <w:szCs w:val="20"/>
          <w:highlight w:val="none"/>
        </w:rPr>
        <w:t>13.2竣工验收</w:t>
      </w:r>
      <w:bookmarkEnd w:id="1306"/>
      <w:bookmarkEnd w:id="1307"/>
      <w:bookmarkEnd w:id="1308"/>
    </w:p>
    <w:bookmarkEnd w:id="1304"/>
    <w:bookmarkEnd w:id="1305"/>
    <w:bookmarkEnd w:id="1309"/>
    <w:p w14:paraId="5E479DA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13.2.1竣工验收条件</w:t>
      </w:r>
    </w:p>
    <w:p w14:paraId="6A9CA84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工程具备以下条件的，承包人可以申请竣工验收：</w:t>
      </w:r>
    </w:p>
    <w:p w14:paraId="4A20BC3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（1）除发包人同意的甩项</w:t>
      </w:r>
      <w:r>
        <w:rPr>
          <w:rFonts w:hint="eastAsia" w:ascii="Times New Roman" w:hAnsi="Times New Roman"/>
          <w:color w:val="auto"/>
          <w:szCs w:val="24"/>
          <w:highlight w:val="none"/>
        </w:rPr>
        <w:t>工作</w:t>
      </w:r>
      <w:r>
        <w:rPr>
          <w:rFonts w:ascii="Times New Roman" w:hAnsi="Times New Roman"/>
          <w:color w:val="auto"/>
          <w:szCs w:val="24"/>
          <w:highlight w:val="none"/>
        </w:rPr>
        <w:t>和缺陷修补工作外，合同范围内的全部工程以及有关工作，包括合同要求的试验、试运行以及检验均已完成，并符合合同要求；</w:t>
      </w:r>
    </w:p>
    <w:p w14:paraId="20CF6CA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（2）已按合同约定编制了甩项</w:t>
      </w:r>
      <w:r>
        <w:rPr>
          <w:rFonts w:hint="eastAsia" w:ascii="Times New Roman" w:hAnsi="Times New Roman"/>
          <w:color w:val="auto"/>
          <w:szCs w:val="24"/>
          <w:highlight w:val="none"/>
        </w:rPr>
        <w:t>工作</w:t>
      </w:r>
      <w:r>
        <w:rPr>
          <w:rFonts w:ascii="Times New Roman" w:hAnsi="Times New Roman"/>
          <w:color w:val="auto"/>
          <w:szCs w:val="24"/>
          <w:highlight w:val="none"/>
        </w:rPr>
        <w:t>和缺陷修补工作清单以及相应的施工计划；</w:t>
      </w:r>
    </w:p>
    <w:p w14:paraId="6108F14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（3）已按合同约定的内容和份数备齐竣工资料。</w:t>
      </w:r>
    </w:p>
    <w:p w14:paraId="63EBF92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13.2.2竣工验收程序</w:t>
      </w:r>
    </w:p>
    <w:p w14:paraId="097712A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除专用合同条款另有约定外，承包人申请竣工验收的，应当按照以下程序进行：</w:t>
      </w:r>
    </w:p>
    <w:p w14:paraId="341D4BE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677C91B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（2）监理人审查后认为已具备竣工验收条件的，应将竣工验收申请报告提交发包人，发包人应在收到</w:t>
      </w:r>
      <w:r>
        <w:rPr>
          <w:rFonts w:hint="eastAsia" w:ascii="Times New Roman" w:hAnsi="Times New Roman"/>
          <w:color w:val="auto"/>
          <w:szCs w:val="24"/>
          <w:highlight w:val="none"/>
        </w:rPr>
        <w:t>经</w:t>
      </w:r>
      <w:r>
        <w:rPr>
          <w:rFonts w:ascii="Times New Roman" w:hAnsi="Times New Roman"/>
          <w:color w:val="auto"/>
          <w:szCs w:val="24"/>
          <w:highlight w:val="none"/>
        </w:rPr>
        <w:t>监理人审核的竣工验收申请报告后28天内</w:t>
      </w:r>
      <w:r>
        <w:rPr>
          <w:rFonts w:hint="eastAsia" w:ascii="Times New Roman" w:hAnsi="Times New Roman"/>
          <w:color w:val="auto"/>
          <w:szCs w:val="24"/>
          <w:highlight w:val="none"/>
        </w:rPr>
        <w:t>审批</w:t>
      </w:r>
      <w:r>
        <w:rPr>
          <w:rFonts w:ascii="Times New Roman" w:hAnsi="Times New Roman"/>
          <w:color w:val="auto"/>
          <w:szCs w:val="24"/>
          <w:highlight w:val="none"/>
        </w:rPr>
        <w:t>完毕并组织监理人、承包人、设计人等相关单位完成竣工验收。</w:t>
      </w:r>
    </w:p>
    <w:p w14:paraId="74F1FEB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（3）竣工验收合格的，发包人应在验收合格后14天内向承包人签发工程接收证书。发包人无正当理由逾期不颁发工程接收证书的，自验收合格后第15天起视为已颁发工程接收证书。</w:t>
      </w:r>
    </w:p>
    <w:p w14:paraId="04ACE6A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59067B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99E928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3B94CFC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13.2.3竣工日期</w:t>
      </w:r>
    </w:p>
    <w:p w14:paraId="54DFA68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color w:val="auto"/>
          <w:szCs w:val="24"/>
          <w:highlight w:val="none"/>
        </w:rPr>
        <w:t>竣工</w:t>
      </w:r>
      <w:r>
        <w:rPr>
          <w:rFonts w:ascii="Times New Roman" w:hAnsi="Times New Roman"/>
          <w:color w:val="auto"/>
          <w:szCs w:val="24"/>
          <w:highlight w:val="none"/>
        </w:rPr>
        <w:t>验收</w:t>
      </w:r>
      <w:r>
        <w:rPr>
          <w:rFonts w:hint="eastAsia" w:ascii="Times New Roman" w:hAnsi="Times New Roman"/>
          <w:color w:val="auto"/>
          <w:szCs w:val="24"/>
          <w:highlight w:val="none"/>
        </w:rPr>
        <w:t>，或完成竣工验收不予签发工程接收证书</w:t>
      </w:r>
      <w:r>
        <w:rPr>
          <w:rFonts w:ascii="Times New Roman" w:hAnsi="Times New Roman"/>
          <w:color w:val="auto"/>
          <w:szCs w:val="24"/>
          <w:highlight w:val="none"/>
        </w:rPr>
        <w:t>的，以提交竣工验</w:t>
      </w:r>
      <w:bookmarkStart w:id="1310" w:name="#go14"/>
      <w:bookmarkEnd w:id="1310"/>
      <w:r>
        <w:rPr>
          <w:rFonts w:ascii="Times New Roman" w:hAnsi="Times New Roman"/>
          <w:color w:val="auto"/>
          <w:szCs w:val="24"/>
          <w:highlight w:val="none"/>
        </w:rPr>
        <w:t>收申请报告的日期为实际竣工日期；工程未经竣工验收，发包人擅自使用的，以转移占有工程之日为实际竣工日期。</w:t>
      </w:r>
    </w:p>
    <w:p w14:paraId="2E67FE6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13.2.4 拒绝接收全部或部分工程</w:t>
      </w:r>
    </w:p>
    <w:p w14:paraId="3010FF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对于竣工验收不合格的工程，承包人完成整改后，</w:t>
      </w:r>
      <w:r>
        <w:rPr>
          <w:rFonts w:hint="eastAsia" w:ascii="Times New Roman" w:hAnsi="Times New Roman"/>
          <w:color w:val="auto"/>
          <w:szCs w:val="24"/>
          <w:highlight w:val="none"/>
        </w:rPr>
        <w:t>应当</w:t>
      </w:r>
      <w:r>
        <w:rPr>
          <w:rFonts w:ascii="Times New Roman" w:hAnsi="Times New Roman"/>
          <w:color w:val="auto"/>
          <w:szCs w:val="24"/>
          <w:highlight w:val="none"/>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190A8DF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13.2.5 移交、接收全部与部分工程</w:t>
      </w:r>
    </w:p>
    <w:p w14:paraId="6FF7AD21">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除专用合同条款另有约定外，</w:t>
      </w:r>
      <w:r>
        <w:rPr>
          <w:rFonts w:ascii="Times New Roman" w:hAnsi="Times New Roman"/>
          <w:color w:val="auto"/>
          <w:szCs w:val="24"/>
          <w:highlight w:val="none"/>
        </w:rPr>
        <w:t>合同当事人应当在颁发工程接收证书</w:t>
      </w:r>
      <w:r>
        <w:rPr>
          <w:rFonts w:hint="eastAsia" w:ascii="Times New Roman" w:hAnsi="Times New Roman"/>
          <w:color w:val="auto"/>
          <w:szCs w:val="24"/>
          <w:highlight w:val="none"/>
        </w:rPr>
        <w:t>后7天内</w:t>
      </w:r>
      <w:r>
        <w:rPr>
          <w:rFonts w:ascii="Times New Roman" w:hAnsi="Times New Roman"/>
          <w:color w:val="auto"/>
          <w:szCs w:val="24"/>
          <w:highlight w:val="none"/>
        </w:rPr>
        <w:t>完成工程的移交。</w:t>
      </w:r>
    </w:p>
    <w:p w14:paraId="43EF29E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发包人无正当理由不接收工程的，发包人自</w:t>
      </w:r>
      <w:r>
        <w:rPr>
          <w:rFonts w:hint="eastAsia" w:ascii="Times New Roman" w:hAnsi="Times New Roman"/>
          <w:color w:val="auto"/>
          <w:szCs w:val="24"/>
          <w:highlight w:val="none"/>
        </w:rPr>
        <w:t>应当接收工程</w:t>
      </w:r>
      <w:r>
        <w:rPr>
          <w:rFonts w:ascii="Times New Roman" w:hAnsi="Times New Roman"/>
          <w:color w:val="auto"/>
          <w:szCs w:val="24"/>
          <w:highlight w:val="none"/>
        </w:rPr>
        <w:t>之日起，承担工程照管、成品保护、保管等与工程有关的各项费用</w:t>
      </w:r>
      <w:r>
        <w:rPr>
          <w:rFonts w:hint="eastAsia" w:ascii="Times New Roman" w:hAnsi="Times New Roman"/>
          <w:color w:val="auto"/>
          <w:szCs w:val="24"/>
          <w:highlight w:val="none"/>
        </w:rPr>
        <w:t>，合同当事人可以在专用合同条款中另行约定发包人逾期接收工程的违约责任</w:t>
      </w:r>
      <w:r>
        <w:rPr>
          <w:rFonts w:ascii="Times New Roman" w:hAnsi="Times New Roman"/>
          <w:color w:val="auto"/>
          <w:szCs w:val="24"/>
          <w:highlight w:val="none"/>
        </w:rPr>
        <w:t>。</w:t>
      </w:r>
    </w:p>
    <w:p w14:paraId="6A5D6A0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承包人无正当理由不移交工程的，</w:t>
      </w:r>
      <w:r>
        <w:rPr>
          <w:rFonts w:hint="eastAsia" w:ascii="Times New Roman" w:hAnsi="Times New Roman"/>
          <w:color w:val="auto"/>
          <w:szCs w:val="24"/>
          <w:highlight w:val="none"/>
        </w:rPr>
        <w:t>承包人应承担</w:t>
      </w:r>
      <w:r>
        <w:rPr>
          <w:rFonts w:ascii="Times New Roman" w:hAnsi="Times New Roman"/>
          <w:color w:val="auto"/>
          <w:szCs w:val="24"/>
          <w:highlight w:val="none"/>
        </w:rPr>
        <w:t>工程照管、成品保护、保管等与工程有关的各项费用</w:t>
      </w:r>
      <w:r>
        <w:rPr>
          <w:rFonts w:hint="eastAsia" w:ascii="Times New Roman" w:hAnsi="Times New Roman"/>
          <w:color w:val="auto"/>
          <w:szCs w:val="24"/>
          <w:highlight w:val="none"/>
        </w:rPr>
        <w:t>，合同当事人可以在专用合同条款中另行约定承包人无正当理由不移交工程的违约责任</w:t>
      </w:r>
      <w:r>
        <w:rPr>
          <w:rFonts w:ascii="Times New Roman" w:hAnsi="Times New Roman"/>
          <w:color w:val="auto"/>
          <w:szCs w:val="24"/>
          <w:highlight w:val="none"/>
        </w:rPr>
        <w:t>。</w:t>
      </w:r>
    </w:p>
    <w:p w14:paraId="4DCEC27F">
      <w:pPr>
        <w:keepNext/>
        <w:keepLines/>
        <w:spacing w:line="400" w:lineRule="exact"/>
        <w:outlineLvl w:val="2"/>
        <w:rPr>
          <w:rFonts w:ascii="Times New Roman" w:hAnsi="Times New Roman" w:eastAsia="黑体" w:cs="宋体"/>
          <w:b/>
          <w:color w:val="auto"/>
          <w:sz w:val="24"/>
          <w:szCs w:val="20"/>
          <w:highlight w:val="none"/>
        </w:rPr>
      </w:pPr>
      <w:bookmarkStart w:id="1311" w:name="_Toc351203589"/>
      <w:bookmarkStart w:id="1312" w:name="_Toc28532218"/>
      <w:bookmarkStart w:id="1313" w:name="_Toc16428"/>
      <w:bookmarkStart w:id="1314" w:name="_Toc337558807"/>
      <w:bookmarkStart w:id="1315" w:name="_Toc296503111"/>
      <w:bookmarkStart w:id="1316" w:name="_Toc296346612"/>
      <w:r>
        <w:rPr>
          <w:rFonts w:ascii="Times New Roman" w:hAnsi="Times New Roman" w:eastAsia="黑体" w:cs="宋体"/>
          <w:b/>
          <w:color w:val="auto"/>
          <w:sz w:val="24"/>
          <w:szCs w:val="20"/>
          <w:highlight w:val="none"/>
        </w:rPr>
        <w:t>13.3工程试车</w:t>
      </w:r>
      <w:bookmarkEnd w:id="1311"/>
      <w:bookmarkEnd w:id="1312"/>
      <w:bookmarkEnd w:id="1313"/>
    </w:p>
    <w:bookmarkEnd w:id="1314"/>
    <w:bookmarkEnd w:id="1315"/>
    <w:bookmarkEnd w:id="1316"/>
    <w:p w14:paraId="13AEC8B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13.3.1试车程序</w:t>
      </w:r>
    </w:p>
    <w:p w14:paraId="708B520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工程需要试车的，除专用合同条款另有约定外，试车内容应与承包人承包范围相一致，试车费用由承包人承担。工程试车应按如下程序进行：</w:t>
      </w:r>
    </w:p>
    <w:p w14:paraId="4B5B4D0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09E649C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90CAA6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DC6412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13.3.2 试车中的责任</w:t>
      </w:r>
    </w:p>
    <w:p w14:paraId="2179FF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1E24492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754338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13.3.3 投料试车</w:t>
      </w:r>
    </w:p>
    <w:p w14:paraId="3DFE7895">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如需进行投料试车的，</w:t>
      </w:r>
      <w:r>
        <w:rPr>
          <w:rFonts w:ascii="Times New Roman" w:hAnsi="Times New Roman"/>
          <w:color w:val="auto"/>
          <w:szCs w:val="24"/>
          <w:highlight w:val="none"/>
        </w:rPr>
        <w:t>发包人</w:t>
      </w:r>
      <w:r>
        <w:rPr>
          <w:rFonts w:hint="eastAsia" w:ascii="Times New Roman" w:hAnsi="Times New Roman"/>
          <w:color w:val="auto"/>
          <w:szCs w:val="24"/>
          <w:highlight w:val="none"/>
        </w:rPr>
        <w:t>应在</w:t>
      </w:r>
      <w:r>
        <w:rPr>
          <w:rFonts w:ascii="Times New Roman" w:hAnsi="Times New Roman"/>
          <w:color w:val="auto"/>
          <w:szCs w:val="24"/>
          <w:highlight w:val="none"/>
        </w:rPr>
        <w:t>工程竣工验收后</w:t>
      </w:r>
      <w:r>
        <w:rPr>
          <w:rFonts w:hint="eastAsia" w:ascii="Times New Roman" w:hAnsi="Times New Roman"/>
          <w:color w:val="auto"/>
          <w:szCs w:val="24"/>
          <w:highlight w:val="none"/>
        </w:rPr>
        <w:t>组织</w:t>
      </w:r>
      <w:r>
        <w:rPr>
          <w:rFonts w:ascii="Times New Roman" w:hAnsi="Times New Roman"/>
          <w:color w:val="auto"/>
          <w:szCs w:val="24"/>
          <w:highlight w:val="none"/>
        </w:rPr>
        <w:t>投料试车</w:t>
      </w:r>
      <w:r>
        <w:rPr>
          <w:rFonts w:hint="eastAsia" w:ascii="Times New Roman" w:hAnsi="Times New Roman"/>
          <w:color w:val="auto"/>
          <w:szCs w:val="24"/>
          <w:highlight w:val="none"/>
        </w:rPr>
        <w:t>。</w:t>
      </w:r>
      <w:r>
        <w:rPr>
          <w:rFonts w:ascii="Times New Roman" w:hAnsi="Times New Roman"/>
          <w:color w:val="auto"/>
          <w:szCs w:val="24"/>
          <w:highlight w:val="none"/>
        </w:rPr>
        <w:t>发包人要求在工程竣工验收前进行或需要承包人配合时，应征得承包人同意</w:t>
      </w:r>
      <w:r>
        <w:rPr>
          <w:rFonts w:hint="eastAsia" w:ascii="Times New Roman" w:hAnsi="Times New Roman"/>
          <w:color w:val="auto"/>
          <w:szCs w:val="24"/>
          <w:highlight w:val="none"/>
        </w:rPr>
        <w:t>，并在专用合同条款中约定有关事项</w:t>
      </w:r>
      <w:r>
        <w:rPr>
          <w:rFonts w:ascii="Times New Roman" w:hAnsi="Times New Roman"/>
          <w:color w:val="auto"/>
          <w:szCs w:val="24"/>
          <w:highlight w:val="none"/>
        </w:rPr>
        <w:t>。</w:t>
      </w:r>
    </w:p>
    <w:p w14:paraId="6F8087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color w:val="auto"/>
          <w:szCs w:val="24"/>
          <w:highlight w:val="none"/>
        </w:rPr>
        <w:t>如</w:t>
      </w:r>
      <w:r>
        <w:rPr>
          <w:rFonts w:ascii="Times New Roman" w:hAnsi="Times New Roman"/>
          <w:color w:val="auto"/>
          <w:szCs w:val="24"/>
          <w:highlight w:val="none"/>
        </w:rPr>
        <w:t>发包人要求承包人进行整改</w:t>
      </w:r>
      <w:r>
        <w:rPr>
          <w:rFonts w:hint="eastAsia" w:ascii="Times New Roman" w:hAnsi="Times New Roman"/>
          <w:color w:val="auto"/>
          <w:szCs w:val="24"/>
          <w:highlight w:val="none"/>
        </w:rPr>
        <w:t>的</w:t>
      </w:r>
      <w:r>
        <w:rPr>
          <w:rFonts w:ascii="Times New Roman" w:hAnsi="Times New Roman"/>
          <w:color w:val="auto"/>
          <w:szCs w:val="24"/>
          <w:highlight w:val="none"/>
        </w:rPr>
        <w:t>，由此产生的费用由发包人承担。</w:t>
      </w:r>
    </w:p>
    <w:p w14:paraId="07367842">
      <w:pPr>
        <w:keepNext/>
        <w:keepLines/>
        <w:spacing w:line="400" w:lineRule="exact"/>
        <w:outlineLvl w:val="2"/>
        <w:rPr>
          <w:rFonts w:ascii="Times New Roman" w:hAnsi="Times New Roman" w:eastAsia="黑体" w:cs="宋体"/>
          <w:b/>
          <w:color w:val="auto"/>
          <w:sz w:val="24"/>
          <w:szCs w:val="20"/>
          <w:highlight w:val="none"/>
        </w:rPr>
      </w:pPr>
      <w:bookmarkStart w:id="1317" w:name="_Toc28532219"/>
      <w:bookmarkStart w:id="1318" w:name="_Toc15859"/>
      <w:bookmarkStart w:id="1319" w:name="_Toc351203590"/>
      <w:bookmarkStart w:id="1320" w:name="_Toc337558808"/>
      <w:r>
        <w:rPr>
          <w:rFonts w:ascii="Times New Roman" w:hAnsi="Times New Roman" w:eastAsia="黑体" w:cs="宋体"/>
          <w:b/>
          <w:color w:val="auto"/>
          <w:sz w:val="24"/>
          <w:szCs w:val="20"/>
          <w:highlight w:val="none"/>
        </w:rPr>
        <w:t>13.4提前交付单位工程的验收</w:t>
      </w:r>
      <w:bookmarkEnd w:id="1317"/>
      <w:bookmarkEnd w:id="1318"/>
      <w:bookmarkEnd w:id="1319"/>
    </w:p>
    <w:bookmarkEnd w:id="1320"/>
    <w:p w14:paraId="7453EF8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13.4.1 发包人需要在工程竣工前使用单位工程的，或承包人提出提前交付已经竣工的单位工程且经发包人同意的，可进行单位工程验收，验收的程序按照第13.2款</w:t>
      </w:r>
      <w:r>
        <w:rPr>
          <w:rFonts w:hint="eastAsia" w:ascii="Times New Roman" w:hAnsi="Times New Roman"/>
          <w:color w:val="auto"/>
          <w:szCs w:val="24"/>
          <w:highlight w:val="none"/>
        </w:rPr>
        <w:t>〔</w:t>
      </w:r>
      <w:r>
        <w:rPr>
          <w:rFonts w:ascii="Times New Roman" w:hAnsi="Times New Roman"/>
          <w:color w:val="auto"/>
          <w:szCs w:val="24"/>
          <w:highlight w:val="none"/>
        </w:rPr>
        <w:t>竣工验收</w:t>
      </w:r>
      <w:r>
        <w:rPr>
          <w:rFonts w:hint="eastAsia" w:ascii="Times New Roman" w:hAnsi="Times New Roman"/>
          <w:color w:val="auto"/>
          <w:szCs w:val="24"/>
          <w:highlight w:val="none"/>
        </w:rPr>
        <w:t>〕</w:t>
      </w:r>
      <w:r>
        <w:rPr>
          <w:rFonts w:ascii="Times New Roman" w:hAnsi="Times New Roman"/>
          <w:color w:val="auto"/>
          <w:szCs w:val="24"/>
          <w:highlight w:val="none"/>
        </w:rPr>
        <w:t>的约定进行。</w:t>
      </w:r>
    </w:p>
    <w:p w14:paraId="23AFA3E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5DB6EEC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13.4.2 发包人要求在工程竣工前交付单位工程，由此导致承包人费用增加和（或）工期延误的，由发包人承担由此增加的费用和（或）延误的工期，并支付承包人合理的利润。</w:t>
      </w:r>
    </w:p>
    <w:p w14:paraId="48E480EF">
      <w:pPr>
        <w:keepNext/>
        <w:keepLines/>
        <w:spacing w:line="400" w:lineRule="exact"/>
        <w:outlineLvl w:val="2"/>
        <w:rPr>
          <w:rFonts w:ascii="Times New Roman" w:hAnsi="Times New Roman" w:eastAsia="黑体" w:cs="宋体"/>
          <w:b/>
          <w:color w:val="auto"/>
          <w:sz w:val="24"/>
          <w:szCs w:val="20"/>
          <w:highlight w:val="none"/>
        </w:rPr>
      </w:pPr>
      <w:bookmarkStart w:id="1321" w:name="_Toc2069"/>
      <w:bookmarkStart w:id="1322" w:name="_Toc351203591"/>
      <w:bookmarkStart w:id="1323" w:name="_Toc28532220"/>
      <w:r>
        <w:rPr>
          <w:rFonts w:ascii="Times New Roman" w:hAnsi="Times New Roman" w:eastAsia="黑体" w:cs="宋体"/>
          <w:b/>
          <w:color w:val="auto"/>
          <w:sz w:val="24"/>
          <w:szCs w:val="20"/>
          <w:highlight w:val="none"/>
        </w:rPr>
        <w:t>13.5 施工期运行</w:t>
      </w:r>
      <w:bookmarkEnd w:id="1321"/>
      <w:bookmarkEnd w:id="1322"/>
      <w:bookmarkEnd w:id="1323"/>
    </w:p>
    <w:p w14:paraId="65FB5EC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color w:val="auto"/>
          <w:szCs w:val="24"/>
          <w:highlight w:val="none"/>
        </w:rPr>
        <w:t>〔</w:t>
      </w:r>
      <w:r>
        <w:rPr>
          <w:rFonts w:ascii="Times New Roman" w:hAnsi="Times New Roman"/>
          <w:color w:val="auto"/>
          <w:szCs w:val="24"/>
          <w:highlight w:val="none"/>
        </w:rPr>
        <w:t>提前交付单位工程的验收</w:t>
      </w:r>
      <w:r>
        <w:rPr>
          <w:rFonts w:hint="eastAsia" w:ascii="Times New Roman" w:hAnsi="Times New Roman"/>
          <w:color w:val="auto"/>
          <w:szCs w:val="24"/>
          <w:highlight w:val="none"/>
        </w:rPr>
        <w:t>〕</w:t>
      </w:r>
      <w:r>
        <w:rPr>
          <w:rFonts w:ascii="Times New Roman" w:hAnsi="Times New Roman"/>
          <w:color w:val="auto"/>
          <w:szCs w:val="24"/>
          <w:highlight w:val="none"/>
        </w:rPr>
        <w:t>的约定验收合格，证明能确保安全后，才能在施工期投入运行。</w:t>
      </w:r>
    </w:p>
    <w:p w14:paraId="6CBF796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13.5.2 在施工期运行中发现工程或工程设备损坏或存在缺陷的，由承包人按第15.2款</w:t>
      </w:r>
      <w:r>
        <w:rPr>
          <w:rFonts w:hint="eastAsia" w:ascii="Times New Roman" w:hAnsi="Times New Roman"/>
          <w:color w:val="auto"/>
          <w:szCs w:val="24"/>
          <w:highlight w:val="none"/>
        </w:rPr>
        <w:t>〔</w:t>
      </w:r>
      <w:r>
        <w:rPr>
          <w:rFonts w:ascii="Times New Roman" w:hAnsi="Times New Roman"/>
          <w:color w:val="auto"/>
          <w:szCs w:val="24"/>
          <w:highlight w:val="none"/>
        </w:rPr>
        <w:t>缺陷责任期</w:t>
      </w:r>
      <w:r>
        <w:rPr>
          <w:rFonts w:hint="eastAsia" w:ascii="Times New Roman" w:hAnsi="Times New Roman"/>
          <w:color w:val="auto"/>
          <w:szCs w:val="24"/>
          <w:highlight w:val="none"/>
        </w:rPr>
        <w:t>〕</w:t>
      </w:r>
      <w:r>
        <w:rPr>
          <w:rFonts w:ascii="Times New Roman" w:hAnsi="Times New Roman"/>
          <w:color w:val="auto"/>
          <w:szCs w:val="24"/>
          <w:highlight w:val="none"/>
        </w:rPr>
        <w:t>约定进行修复。</w:t>
      </w:r>
    </w:p>
    <w:p w14:paraId="08E64900">
      <w:pPr>
        <w:keepNext/>
        <w:keepLines/>
        <w:spacing w:line="400" w:lineRule="exact"/>
        <w:outlineLvl w:val="2"/>
        <w:rPr>
          <w:rFonts w:ascii="Times New Roman" w:hAnsi="Times New Roman" w:eastAsia="黑体" w:cs="宋体"/>
          <w:b/>
          <w:color w:val="auto"/>
          <w:sz w:val="24"/>
          <w:szCs w:val="20"/>
          <w:highlight w:val="none"/>
        </w:rPr>
      </w:pPr>
      <w:bookmarkStart w:id="1324" w:name="_Toc296346613"/>
      <w:bookmarkStart w:id="1325" w:name="_Toc296503112"/>
      <w:bookmarkStart w:id="1326" w:name="_Toc351203592"/>
      <w:bookmarkStart w:id="1327" w:name="_Toc28532221"/>
      <w:bookmarkStart w:id="1328" w:name="_Toc4153"/>
      <w:bookmarkStart w:id="1329" w:name="_Toc337558809"/>
      <w:r>
        <w:rPr>
          <w:rFonts w:ascii="Times New Roman" w:hAnsi="Times New Roman" w:eastAsia="黑体" w:cs="宋体"/>
          <w:b/>
          <w:color w:val="auto"/>
          <w:sz w:val="24"/>
          <w:szCs w:val="20"/>
          <w:highlight w:val="none"/>
        </w:rPr>
        <w:t>13.6 竣工退</w:t>
      </w:r>
      <w:bookmarkEnd w:id="1324"/>
      <w:bookmarkEnd w:id="1325"/>
      <w:r>
        <w:rPr>
          <w:rFonts w:ascii="Times New Roman" w:hAnsi="Times New Roman" w:eastAsia="黑体" w:cs="宋体"/>
          <w:b/>
          <w:color w:val="auto"/>
          <w:sz w:val="24"/>
          <w:szCs w:val="20"/>
          <w:highlight w:val="none"/>
        </w:rPr>
        <w:t>场</w:t>
      </w:r>
      <w:bookmarkEnd w:id="1326"/>
      <w:bookmarkEnd w:id="1327"/>
      <w:bookmarkEnd w:id="1328"/>
    </w:p>
    <w:bookmarkEnd w:id="1329"/>
    <w:p w14:paraId="790A27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13.6.1 竣工退场</w:t>
      </w:r>
    </w:p>
    <w:p w14:paraId="2BB3581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颁发工程接收证书后，承包人应按以下要求对施工现场进行清理：</w:t>
      </w:r>
    </w:p>
    <w:p w14:paraId="5CC2998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（1）施工现场内残留的垃圾已全部清除出场；</w:t>
      </w:r>
    </w:p>
    <w:p w14:paraId="560C338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（2）临时工程已拆除，场地已进行清理、平整或复原；</w:t>
      </w:r>
    </w:p>
    <w:p w14:paraId="559F365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（3）按合同约定应撤离的人员、承包人施工设备和剩余的材料，包括废弃的施工设备和材料，已按计划撤离施工现场；</w:t>
      </w:r>
    </w:p>
    <w:p w14:paraId="59614E1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（4）施工现场周边及其附近道路、河道的施工堆积物，已全部清理；</w:t>
      </w:r>
    </w:p>
    <w:p w14:paraId="57AFF63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（5）施工现场其他场地清理工作已全部完成。</w:t>
      </w:r>
    </w:p>
    <w:p w14:paraId="1E146B7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44E51D5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13.6.2 地表还原</w:t>
      </w:r>
    </w:p>
    <w:p w14:paraId="452CB23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043B726C">
      <w:pPr>
        <w:keepNext/>
        <w:keepLines/>
        <w:spacing w:before="100" w:line="400" w:lineRule="exact"/>
        <w:outlineLvl w:val="1"/>
        <w:rPr>
          <w:rFonts w:ascii="Times New Roman" w:hAnsi="Times New Roman" w:eastAsia="黑体" w:cs="宋体"/>
          <w:b/>
          <w:color w:val="auto"/>
          <w:sz w:val="28"/>
          <w:szCs w:val="20"/>
          <w:highlight w:val="none"/>
        </w:rPr>
      </w:pPr>
      <w:bookmarkStart w:id="1330" w:name="_Toc29026"/>
      <w:bookmarkStart w:id="1331" w:name="_Toc28532222"/>
      <w:bookmarkStart w:id="1332" w:name="_Toc351203593"/>
      <w:bookmarkStart w:id="1333" w:name="_Toc337558810"/>
      <w:bookmarkStart w:id="1334" w:name="_Toc296346614"/>
      <w:bookmarkStart w:id="1335" w:name="_Toc296503113"/>
      <w:r>
        <w:rPr>
          <w:rFonts w:ascii="Times New Roman" w:hAnsi="Times New Roman" w:eastAsia="黑体" w:cs="宋体"/>
          <w:b/>
          <w:color w:val="auto"/>
          <w:sz w:val="28"/>
          <w:szCs w:val="20"/>
          <w:highlight w:val="none"/>
        </w:rPr>
        <w:t>14. 竣工结算</w:t>
      </w:r>
      <w:bookmarkEnd w:id="1330"/>
      <w:bookmarkEnd w:id="1331"/>
      <w:bookmarkEnd w:id="1332"/>
    </w:p>
    <w:bookmarkEnd w:id="1333"/>
    <w:p w14:paraId="1677F7CB">
      <w:pPr>
        <w:keepNext/>
        <w:keepLines/>
        <w:spacing w:line="400" w:lineRule="exact"/>
        <w:outlineLvl w:val="2"/>
        <w:rPr>
          <w:rFonts w:ascii="Times New Roman" w:hAnsi="Times New Roman" w:eastAsia="黑体" w:cs="宋体"/>
          <w:b/>
          <w:color w:val="auto"/>
          <w:sz w:val="24"/>
          <w:szCs w:val="20"/>
          <w:highlight w:val="none"/>
        </w:rPr>
      </w:pPr>
      <w:bookmarkStart w:id="1336" w:name="_Toc28532223"/>
      <w:bookmarkStart w:id="1337" w:name="_Toc6555"/>
      <w:bookmarkStart w:id="1338" w:name="_Toc351203594"/>
      <w:bookmarkStart w:id="1339" w:name="_Toc337558811"/>
      <w:r>
        <w:rPr>
          <w:rFonts w:ascii="Times New Roman" w:hAnsi="Times New Roman" w:eastAsia="黑体" w:cs="宋体"/>
          <w:b/>
          <w:color w:val="auto"/>
          <w:sz w:val="24"/>
          <w:szCs w:val="20"/>
          <w:highlight w:val="none"/>
        </w:rPr>
        <w:t>14.1 竣工结算申请</w:t>
      </w:r>
      <w:bookmarkEnd w:id="1336"/>
      <w:bookmarkEnd w:id="1337"/>
      <w:bookmarkEnd w:id="1338"/>
    </w:p>
    <w:bookmarkEnd w:id="1339"/>
    <w:p w14:paraId="7D0FCA7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除专用合同条款另有约定外，承包人应在工程竣工验收合格后28天内向发包人和监理人提交竣工结算申请单，并提交完整的结算资料，</w:t>
      </w:r>
      <w:r>
        <w:rPr>
          <w:rFonts w:hint="eastAsia" w:ascii="Times New Roman" w:hAnsi="Times New Roman"/>
          <w:color w:val="auto"/>
          <w:szCs w:val="24"/>
          <w:highlight w:val="none"/>
        </w:rPr>
        <w:t>有关</w:t>
      </w:r>
      <w:r>
        <w:rPr>
          <w:rFonts w:ascii="Times New Roman" w:hAnsi="Times New Roman"/>
          <w:color w:val="auto"/>
          <w:szCs w:val="24"/>
          <w:highlight w:val="none"/>
        </w:rPr>
        <w:t>竣工结算申请单</w:t>
      </w:r>
      <w:r>
        <w:rPr>
          <w:rFonts w:hint="eastAsia" w:ascii="Times New Roman" w:hAnsi="Times New Roman"/>
          <w:color w:val="auto"/>
          <w:szCs w:val="24"/>
          <w:highlight w:val="none"/>
        </w:rPr>
        <w:t>的资料清单和</w:t>
      </w:r>
      <w:r>
        <w:rPr>
          <w:rFonts w:ascii="Times New Roman" w:hAnsi="Times New Roman"/>
          <w:color w:val="auto"/>
          <w:szCs w:val="24"/>
          <w:highlight w:val="none"/>
        </w:rPr>
        <w:t>份数</w:t>
      </w:r>
      <w:r>
        <w:rPr>
          <w:rFonts w:hint="eastAsia" w:ascii="Times New Roman" w:hAnsi="Times New Roman"/>
          <w:color w:val="auto"/>
          <w:szCs w:val="24"/>
          <w:highlight w:val="none"/>
        </w:rPr>
        <w:t>等要求</w:t>
      </w:r>
      <w:r>
        <w:rPr>
          <w:rFonts w:ascii="Times New Roman" w:hAnsi="Times New Roman"/>
          <w:color w:val="auto"/>
          <w:szCs w:val="24"/>
          <w:highlight w:val="none"/>
        </w:rPr>
        <w:t>由合同当事人在专用合同条款中约定。</w:t>
      </w:r>
    </w:p>
    <w:p w14:paraId="33B2D16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除专用合同条款另有约定外，竣工结算申请单应包括以下内容：</w:t>
      </w:r>
    </w:p>
    <w:p w14:paraId="52F8006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（1）竣工结算合同价格；</w:t>
      </w:r>
    </w:p>
    <w:p w14:paraId="45004F3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（2）发包人已支付承包人的款项；</w:t>
      </w:r>
    </w:p>
    <w:p w14:paraId="3455CF1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（3）应扣留的质量保证金</w:t>
      </w:r>
      <w:r>
        <w:rPr>
          <w:rFonts w:hint="eastAsia" w:ascii="Times New Roman" w:hAnsi="Times New Roman"/>
          <w:color w:val="auto"/>
          <w:szCs w:val="24"/>
          <w:highlight w:val="none"/>
        </w:rPr>
        <w:t>。已缴纳履约保证金的或提供其他工程质量担保方式的除外</w:t>
      </w:r>
      <w:r>
        <w:rPr>
          <w:rFonts w:ascii="Times New Roman" w:hAnsi="Times New Roman"/>
          <w:color w:val="auto"/>
          <w:szCs w:val="24"/>
          <w:highlight w:val="none"/>
        </w:rPr>
        <w:t xml:space="preserve">； </w:t>
      </w:r>
    </w:p>
    <w:p w14:paraId="56F8802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（4）发包人应支付承包人的合同价款。</w:t>
      </w:r>
    </w:p>
    <w:p w14:paraId="55FD720C">
      <w:pPr>
        <w:keepNext/>
        <w:keepLines/>
        <w:spacing w:line="400" w:lineRule="exact"/>
        <w:outlineLvl w:val="2"/>
        <w:rPr>
          <w:rFonts w:ascii="Times New Roman" w:hAnsi="Times New Roman" w:eastAsia="黑体" w:cs="宋体"/>
          <w:b/>
          <w:color w:val="auto"/>
          <w:sz w:val="24"/>
          <w:szCs w:val="20"/>
          <w:highlight w:val="none"/>
        </w:rPr>
      </w:pPr>
      <w:bookmarkStart w:id="1340" w:name="_Toc21631"/>
      <w:bookmarkStart w:id="1341" w:name="_Toc28532224"/>
      <w:bookmarkStart w:id="1342" w:name="_Toc351203595"/>
      <w:bookmarkStart w:id="1343" w:name="_Toc337558812"/>
      <w:r>
        <w:rPr>
          <w:rFonts w:ascii="Times New Roman" w:hAnsi="Times New Roman" w:eastAsia="黑体" w:cs="宋体"/>
          <w:b/>
          <w:color w:val="auto"/>
          <w:sz w:val="24"/>
          <w:szCs w:val="20"/>
          <w:highlight w:val="none"/>
        </w:rPr>
        <w:t>14.2 竣工结算审核</w:t>
      </w:r>
      <w:bookmarkEnd w:id="1340"/>
      <w:bookmarkEnd w:id="1341"/>
      <w:bookmarkEnd w:id="1342"/>
    </w:p>
    <w:bookmarkEnd w:id="1343"/>
    <w:p w14:paraId="18190B1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color w:val="auto"/>
          <w:szCs w:val="24"/>
          <w:highlight w:val="none"/>
        </w:rPr>
        <w:t>审批</w:t>
      </w:r>
      <w:r>
        <w:rPr>
          <w:rFonts w:ascii="Times New Roman" w:hAnsi="Times New Roman"/>
          <w:color w:val="auto"/>
          <w:szCs w:val="24"/>
          <w:highlight w:val="none"/>
        </w:rPr>
        <w:t>，并由监理人向承包人签发经发包人签认的竣工付款证书。监理人或发包人对竣工结算申请单有异议的，有权要求承包人进行修正和提供补充资料，承包人应提交修正后的竣工结算申请单。</w:t>
      </w:r>
    </w:p>
    <w:p w14:paraId="19B942E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发包人在收到承包人提交竣工结算申请书后28天</w:t>
      </w:r>
      <w:r>
        <w:rPr>
          <w:rFonts w:hint="eastAsia" w:ascii="Times New Roman" w:hAnsi="Times New Roman"/>
          <w:color w:val="auto"/>
          <w:szCs w:val="24"/>
          <w:highlight w:val="none"/>
        </w:rPr>
        <w:t>内</w:t>
      </w:r>
      <w:r>
        <w:rPr>
          <w:rFonts w:ascii="Times New Roman" w:hAnsi="Times New Roman"/>
          <w:color w:val="auto"/>
          <w:szCs w:val="24"/>
          <w:highlight w:val="none"/>
        </w:rPr>
        <w:t>未完成</w:t>
      </w:r>
      <w:r>
        <w:rPr>
          <w:rFonts w:hint="eastAsia" w:ascii="Times New Roman" w:hAnsi="Times New Roman"/>
          <w:color w:val="auto"/>
          <w:szCs w:val="24"/>
          <w:highlight w:val="none"/>
        </w:rPr>
        <w:t>审批</w:t>
      </w:r>
      <w:r>
        <w:rPr>
          <w:rFonts w:ascii="Times New Roman" w:hAnsi="Times New Roman"/>
          <w:color w:val="auto"/>
          <w:szCs w:val="24"/>
          <w:highlight w:val="none"/>
        </w:rPr>
        <w:t>且未提出异议的，视为发包人认可承包人提交的竣工结算申请单，并自发包人收到承包人提交的竣工结算申请单后第29天起视为已签发竣工付款证书。</w:t>
      </w:r>
    </w:p>
    <w:p w14:paraId="1141568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49AAD4C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color w:val="auto"/>
          <w:szCs w:val="24"/>
          <w:highlight w:val="none"/>
        </w:rPr>
        <w:t>的方式和程序</w:t>
      </w:r>
      <w:r>
        <w:rPr>
          <w:rFonts w:ascii="Times New Roman" w:hAnsi="Times New Roman"/>
          <w:color w:val="auto"/>
          <w:szCs w:val="24"/>
          <w:highlight w:val="none"/>
        </w:rPr>
        <w:t>进行复核，或按照第20条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约定处理。对于无异议部分，发包人应签发临时竣工付款证书，并按本款第（2）项完成付款</w:t>
      </w:r>
      <w:r>
        <w:rPr>
          <w:rFonts w:hint="eastAsia" w:ascii="Times New Roman" w:hAnsi="Times New Roman"/>
          <w:color w:val="auto"/>
          <w:szCs w:val="24"/>
          <w:highlight w:val="none"/>
        </w:rPr>
        <w:t>。</w:t>
      </w:r>
      <w:r>
        <w:rPr>
          <w:rFonts w:ascii="Times New Roman" w:hAnsi="Times New Roman"/>
          <w:color w:val="auto"/>
          <w:szCs w:val="24"/>
          <w:highlight w:val="none"/>
        </w:rPr>
        <w:t>承包人逾期未提出异议的，视为认可发包人的</w:t>
      </w:r>
      <w:r>
        <w:rPr>
          <w:rFonts w:hint="eastAsia" w:ascii="Times New Roman" w:hAnsi="Times New Roman"/>
          <w:color w:val="auto"/>
          <w:szCs w:val="24"/>
          <w:highlight w:val="none"/>
        </w:rPr>
        <w:t>审批</w:t>
      </w:r>
      <w:r>
        <w:rPr>
          <w:rFonts w:ascii="Times New Roman" w:hAnsi="Times New Roman"/>
          <w:color w:val="auto"/>
          <w:szCs w:val="24"/>
          <w:highlight w:val="none"/>
        </w:rPr>
        <w:t>结果。</w:t>
      </w:r>
    </w:p>
    <w:p w14:paraId="3F314CAA">
      <w:pPr>
        <w:keepNext/>
        <w:keepLines/>
        <w:spacing w:line="400" w:lineRule="exact"/>
        <w:outlineLvl w:val="2"/>
        <w:rPr>
          <w:rFonts w:ascii="Times New Roman" w:hAnsi="Times New Roman" w:eastAsia="黑体" w:cs="宋体"/>
          <w:b/>
          <w:color w:val="auto"/>
          <w:sz w:val="24"/>
          <w:szCs w:val="20"/>
          <w:highlight w:val="none"/>
        </w:rPr>
      </w:pPr>
      <w:bookmarkStart w:id="1344" w:name="_Toc28532225"/>
      <w:bookmarkStart w:id="1345" w:name="_Toc351203596"/>
      <w:bookmarkStart w:id="1346" w:name="_Toc1304"/>
      <w:bookmarkStart w:id="1347" w:name="_Toc337558813"/>
      <w:r>
        <w:rPr>
          <w:rFonts w:ascii="Times New Roman" w:hAnsi="Times New Roman" w:eastAsia="黑体" w:cs="宋体"/>
          <w:b/>
          <w:color w:val="auto"/>
          <w:sz w:val="24"/>
          <w:szCs w:val="20"/>
          <w:highlight w:val="none"/>
        </w:rPr>
        <w:t>14.3 甩项竣工协议</w:t>
      </w:r>
      <w:bookmarkEnd w:id="1344"/>
      <w:bookmarkEnd w:id="1345"/>
      <w:bookmarkEnd w:id="1346"/>
    </w:p>
    <w:bookmarkEnd w:id="1347"/>
    <w:p w14:paraId="499207E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发包人要求甩项竣工的，合同当事人应签订甩项竣工协议。在甩项竣工协议中应明确，合同当事人按照第14.1款</w:t>
      </w:r>
      <w:r>
        <w:rPr>
          <w:rFonts w:hint="eastAsia" w:ascii="Times New Roman" w:hAnsi="Times New Roman"/>
          <w:color w:val="auto"/>
          <w:szCs w:val="24"/>
          <w:highlight w:val="none"/>
        </w:rPr>
        <w:t>〔</w:t>
      </w:r>
      <w:r>
        <w:rPr>
          <w:rFonts w:ascii="Times New Roman" w:hAnsi="Times New Roman"/>
          <w:color w:val="auto"/>
          <w:szCs w:val="24"/>
          <w:highlight w:val="none"/>
        </w:rPr>
        <w:t>竣工</w:t>
      </w:r>
      <w:r>
        <w:rPr>
          <w:rFonts w:hint="eastAsia" w:ascii="Times New Roman" w:hAnsi="Times New Roman"/>
          <w:color w:val="auto"/>
          <w:szCs w:val="24"/>
          <w:highlight w:val="none"/>
        </w:rPr>
        <w:t>结算</w:t>
      </w:r>
      <w:r>
        <w:rPr>
          <w:rFonts w:ascii="Times New Roman" w:hAnsi="Times New Roman"/>
          <w:color w:val="auto"/>
          <w:szCs w:val="24"/>
          <w:highlight w:val="none"/>
        </w:rPr>
        <w:t>申请</w:t>
      </w:r>
      <w:r>
        <w:rPr>
          <w:rFonts w:hint="eastAsia" w:ascii="Times New Roman" w:hAnsi="Times New Roman"/>
          <w:color w:val="auto"/>
          <w:szCs w:val="24"/>
          <w:highlight w:val="none"/>
        </w:rPr>
        <w:t>〕</w:t>
      </w:r>
      <w:r>
        <w:rPr>
          <w:rFonts w:ascii="Times New Roman" w:hAnsi="Times New Roman"/>
          <w:color w:val="auto"/>
          <w:szCs w:val="24"/>
          <w:highlight w:val="none"/>
        </w:rPr>
        <w:t>及14.2款</w:t>
      </w:r>
      <w:r>
        <w:rPr>
          <w:rFonts w:hint="eastAsia" w:ascii="Times New Roman" w:hAnsi="Times New Roman"/>
          <w:color w:val="auto"/>
          <w:szCs w:val="24"/>
          <w:highlight w:val="none"/>
        </w:rPr>
        <w:t>〔</w:t>
      </w:r>
      <w:r>
        <w:rPr>
          <w:rFonts w:ascii="Times New Roman" w:hAnsi="Times New Roman"/>
          <w:color w:val="auto"/>
          <w:szCs w:val="24"/>
          <w:highlight w:val="none"/>
        </w:rPr>
        <w:t>竣工结算审核</w:t>
      </w:r>
      <w:r>
        <w:rPr>
          <w:rFonts w:hint="eastAsia" w:ascii="Times New Roman" w:hAnsi="Times New Roman"/>
          <w:color w:val="auto"/>
          <w:szCs w:val="24"/>
          <w:highlight w:val="none"/>
        </w:rPr>
        <w:t>〕</w:t>
      </w:r>
      <w:r>
        <w:rPr>
          <w:rFonts w:ascii="Times New Roman" w:hAnsi="Times New Roman"/>
          <w:color w:val="auto"/>
          <w:szCs w:val="24"/>
          <w:highlight w:val="none"/>
        </w:rPr>
        <w:t>的约定，</w:t>
      </w:r>
      <w:r>
        <w:rPr>
          <w:rFonts w:hint="eastAsia" w:ascii="Times New Roman" w:hAnsi="Times New Roman"/>
          <w:color w:val="auto"/>
          <w:szCs w:val="24"/>
          <w:highlight w:val="none"/>
        </w:rPr>
        <w:t>对已</w:t>
      </w:r>
      <w:r>
        <w:rPr>
          <w:rFonts w:ascii="Times New Roman" w:hAnsi="Times New Roman"/>
          <w:color w:val="auto"/>
          <w:szCs w:val="24"/>
          <w:highlight w:val="none"/>
        </w:rPr>
        <w:t>完合格工程</w:t>
      </w:r>
      <w:r>
        <w:rPr>
          <w:rFonts w:hint="eastAsia" w:ascii="Times New Roman" w:hAnsi="Times New Roman"/>
          <w:color w:val="auto"/>
          <w:szCs w:val="24"/>
          <w:highlight w:val="none"/>
        </w:rPr>
        <w:t>进行</w:t>
      </w:r>
      <w:r>
        <w:rPr>
          <w:rFonts w:ascii="Times New Roman" w:hAnsi="Times New Roman"/>
          <w:color w:val="auto"/>
          <w:szCs w:val="24"/>
          <w:highlight w:val="none"/>
        </w:rPr>
        <w:t>结算，并支付相应</w:t>
      </w:r>
      <w:r>
        <w:rPr>
          <w:rFonts w:hint="eastAsia" w:ascii="Times New Roman" w:hAnsi="Times New Roman"/>
          <w:color w:val="auto"/>
          <w:szCs w:val="24"/>
          <w:highlight w:val="none"/>
        </w:rPr>
        <w:t>合同</w:t>
      </w:r>
      <w:r>
        <w:rPr>
          <w:rFonts w:ascii="Times New Roman" w:hAnsi="Times New Roman"/>
          <w:color w:val="auto"/>
          <w:szCs w:val="24"/>
          <w:highlight w:val="none"/>
        </w:rPr>
        <w:t>价款。</w:t>
      </w:r>
    </w:p>
    <w:p w14:paraId="57D7B28C">
      <w:pPr>
        <w:keepNext/>
        <w:keepLines/>
        <w:spacing w:line="400" w:lineRule="exact"/>
        <w:outlineLvl w:val="2"/>
        <w:rPr>
          <w:rFonts w:ascii="Times New Roman" w:hAnsi="Times New Roman" w:eastAsia="黑体" w:cs="宋体"/>
          <w:b/>
          <w:color w:val="auto"/>
          <w:sz w:val="24"/>
          <w:szCs w:val="20"/>
          <w:highlight w:val="none"/>
        </w:rPr>
      </w:pPr>
      <w:bookmarkStart w:id="1348" w:name="_Toc351203597"/>
      <w:bookmarkStart w:id="1349" w:name="_Toc28532226"/>
      <w:bookmarkStart w:id="1350" w:name="_Toc7085"/>
      <w:bookmarkStart w:id="1351" w:name="_Toc337558814"/>
      <w:r>
        <w:rPr>
          <w:rFonts w:ascii="Times New Roman" w:hAnsi="Times New Roman" w:eastAsia="黑体" w:cs="宋体"/>
          <w:b/>
          <w:color w:val="auto"/>
          <w:sz w:val="24"/>
          <w:szCs w:val="20"/>
          <w:highlight w:val="none"/>
        </w:rPr>
        <w:t>14.4 最终结清</w:t>
      </w:r>
      <w:bookmarkEnd w:id="1348"/>
      <w:bookmarkEnd w:id="1349"/>
      <w:bookmarkEnd w:id="1350"/>
    </w:p>
    <w:bookmarkEnd w:id="1351"/>
    <w:p w14:paraId="2F9DC69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14.4.1 最终结清申请单</w:t>
      </w:r>
    </w:p>
    <w:p w14:paraId="34415A4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（1）除专用合同条款另有约定外，承包人应在缺陷责任期终止证书颁发后7天内，按专用合同条款约定的份数向发包人提交最终结清申请单，并提供相关证明材料。</w:t>
      </w:r>
    </w:p>
    <w:p w14:paraId="65996AB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除专用合同条款另有约定外，最终结清申请单应列明质量保证金、应扣除的质量保证金、缺陷责任期内发生的增减费用。</w:t>
      </w:r>
    </w:p>
    <w:p w14:paraId="1BAAFE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（2）发包人对最终结清申请单内容有异议的，有权要求承包人进行修正和提供补充资料，承包人应向发包人提交修正后的最终结清申请单。</w:t>
      </w:r>
    </w:p>
    <w:p w14:paraId="32DBB6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14.4.2 最终结清证书和支付</w:t>
      </w:r>
    </w:p>
    <w:p w14:paraId="14A50C9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（1）除专用合同条款另有约定外，发包人应在收到承包人提交的最终结清申请单后14天内完成审批并向承包人颁发最终结清证书。发包人逾期未完成</w:t>
      </w:r>
      <w:r>
        <w:rPr>
          <w:rFonts w:hint="eastAsia" w:ascii="Times New Roman" w:hAnsi="Times New Roman"/>
          <w:color w:val="auto"/>
          <w:szCs w:val="24"/>
          <w:highlight w:val="none"/>
        </w:rPr>
        <w:t>审批</w:t>
      </w:r>
      <w:r>
        <w:rPr>
          <w:rFonts w:ascii="Times New Roman" w:hAnsi="Times New Roman"/>
          <w:color w:val="auto"/>
          <w:szCs w:val="24"/>
          <w:highlight w:val="none"/>
        </w:rPr>
        <w:t>，又未提出修改意见的，视为发包人同意承包人提交的最终结清申请单，且自发包人收到承包人提交的最终结清申请单后15天起视为已颁发最终结清证书。</w:t>
      </w:r>
    </w:p>
    <w:p w14:paraId="1F05A95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A486B8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（3）承包人对发包人颁发的最终结清证书有异议的，按第20条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的约定办理。</w:t>
      </w:r>
    </w:p>
    <w:p w14:paraId="0F0A5921">
      <w:pPr>
        <w:keepNext/>
        <w:keepLines/>
        <w:spacing w:before="100" w:line="400" w:lineRule="exact"/>
        <w:outlineLvl w:val="1"/>
        <w:rPr>
          <w:rFonts w:ascii="Times New Roman" w:hAnsi="Times New Roman" w:eastAsia="黑体" w:cs="宋体"/>
          <w:b/>
          <w:color w:val="auto"/>
          <w:sz w:val="28"/>
          <w:szCs w:val="20"/>
          <w:highlight w:val="none"/>
        </w:rPr>
      </w:pPr>
      <w:bookmarkStart w:id="1352" w:name="_Toc14910"/>
      <w:bookmarkStart w:id="1353" w:name="_Toc28532227"/>
      <w:bookmarkStart w:id="1354" w:name="_Toc351203598"/>
      <w:bookmarkStart w:id="1355" w:name="_Toc337558815"/>
      <w:r>
        <w:rPr>
          <w:rFonts w:ascii="Times New Roman" w:hAnsi="Times New Roman" w:eastAsia="黑体" w:cs="宋体"/>
          <w:b/>
          <w:color w:val="auto"/>
          <w:sz w:val="28"/>
          <w:szCs w:val="20"/>
          <w:highlight w:val="none"/>
        </w:rPr>
        <w:t>15. 缺陷责任与保修</w:t>
      </w:r>
      <w:bookmarkEnd w:id="1352"/>
      <w:bookmarkEnd w:id="1353"/>
      <w:bookmarkEnd w:id="1354"/>
    </w:p>
    <w:bookmarkEnd w:id="1334"/>
    <w:bookmarkEnd w:id="1335"/>
    <w:bookmarkEnd w:id="1355"/>
    <w:p w14:paraId="67F10384">
      <w:pPr>
        <w:keepNext/>
        <w:keepLines/>
        <w:spacing w:line="400" w:lineRule="exact"/>
        <w:outlineLvl w:val="2"/>
        <w:rPr>
          <w:rFonts w:ascii="Times New Roman" w:hAnsi="Times New Roman" w:eastAsia="黑体" w:cs="宋体"/>
          <w:b/>
          <w:color w:val="auto"/>
          <w:sz w:val="24"/>
          <w:szCs w:val="20"/>
          <w:highlight w:val="none"/>
        </w:rPr>
      </w:pPr>
      <w:bookmarkStart w:id="1356" w:name="_Toc351203599"/>
      <w:bookmarkStart w:id="1357" w:name="_Toc25933"/>
      <w:bookmarkStart w:id="1358" w:name="_Toc28532228"/>
      <w:bookmarkStart w:id="1359" w:name="_Toc337558816"/>
      <w:bookmarkStart w:id="1360" w:name="_Toc296503114"/>
      <w:bookmarkStart w:id="1361" w:name="_Toc296346615"/>
      <w:r>
        <w:rPr>
          <w:rFonts w:ascii="Times New Roman" w:hAnsi="Times New Roman" w:eastAsia="黑体" w:cs="宋体"/>
          <w:b/>
          <w:color w:val="auto"/>
          <w:sz w:val="24"/>
          <w:szCs w:val="20"/>
          <w:highlight w:val="none"/>
        </w:rPr>
        <w:t>15.1 工程保修的原则</w:t>
      </w:r>
      <w:bookmarkEnd w:id="1356"/>
      <w:bookmarkEnd w:id="1357"/>
      <w:bookmarkEnd w:id="1358"/>
    </w:p>
    <w:bookmarkEnd w:id="1359"/>
    <w:p w14:paraId="36F7827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在工程移交发包人后，因承包人原因产生的质量缺陷，承包人应承担质量缺陷责任和保修义务。缺陷责任期届满，承包人仍应按合同约定的工程各部位保修年限承担保修义务。</w:t>
      </w:r>
    </w:p>
    <w:p w14:paraId="3ADAB3C7">
      <w:pPr>
        <w:keepNext/>
        <w:keepLines/>
        <w:spacing w:line="400" w:lineRule="exact"/>
        <w:outlineLvl w:val="2"/>
        <w:rPr>
          <w:rFonts w:ascii="Times New Roman" w:hAnsi="Times New Roman" w:eastAsia="黑体" w:cs="宋体"/>
          <w:b/>
          <w:color w:val="auto"/>
          <w:sz w:val="24"/>
          <w:szCs w:val="20"/>
          <w:highlight w:val="none"/>
        </w:rPr>
      </w:pPr>
      <w:bookmarkStart w:id="1362" w:name="_Toc28532229"/>
      <w:bookmarkStart w:id="1363" w:name="_Toc1739"/>
      <w:bookmarkStart w:id="1364" w:name="_Toc351203600"/>
      <w:bookmarkStart w:id="1365" w:name="_Toc337558817"/>
      <w:r>
        <w:rPr>
          <w:rFonts w:ascii="Times New Roman" w:hAnsi="Times New Roman" w:eastAsia="黑体" w:cs="宋体"/>
          <w:b/>
          <w:color w:val="auto"/>
          <w:sz w:val="24"/>
          <w:szCs w:val="20"/>
          <w:highlight w:val="none"/>
        </w:rPr>
        <w:t>15.2 缺陷责任期</w:t>
      </w:r>
      <w:bookmarkEnd w:id="1360"/>
      <w:bookmarkEnd w:id="1361"/>
      <w:bookmarkEnd w:id="1362"/>
      <w:bookmarkEnd w:id="1363"/>
      <w:bookmarkEnd w:id="1364"/>
    </w:p>
    <w:bookmarkEnd w:id="1365"/>
    <w:p w14:paraId="4D306AB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15.2.1 缺陷责任期</w:t>
      </w:r>
      <w:r>
        <w:rPr>
          <w:rFonts w:hint="eastAsia" w:ascii="Times New Roman" w:hAnsi="Times New Roman"/>
          <w:color w:val="auto"/>
          <w:szCs w:val="24"/>
          <w:highlight w:val="none"/>
        </w:rPr>
        <w:t>从工程通过竣工验收之日</w:t>
      </w:r>
      <w:r>
        <w:rPr>
          <w:rFonts w:ascii="Times New Roman" w:hAnsi="Times New Roman"/>
          <w:color w:val="auto"/>
          <w:szCs w:val="24"/>
          <w:highlight w:val="none"/>
        </w:rPr>
        <w:t>起计算，合同当事人应在专用合同条款约定缺陷责任期的具体期限，但该期限最长不超过24个月。</w:t>
      </w:r>
    </w:p>
    <w:p w14:paraId="1D725C3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单位工程先于全部工程进行验收，经验收合格并交付使用的，该单位工程缺陷责任期自单位工程验收合格之日起算。</w:t>
      </w:r>
      <w:r>
        <w:rPr>
          <w:rFonts w:hint="eastAsia" w:ascii="Times New Roman" w:hAnsi="Times New Roman"/>
          <w:color w:val="auto"/>
          <w:szCs w:val="24"/>
          <w:highlight w:val="none"/>
        </w:rPr>
        <w:t>因承包人原因导致工程无法按合同约定期限进行竣工验收的，缺陷责任期从实际通过竣工验收之日起计算。</w:t>
      </w:r>
      <w:r>
        <w:rPr>
          <w:rFonts w:ascii="Times New Roman" w:hAnsi="Times New Roman"/>
          <w:color w:val="auto"/>
          <w:szCs w:val="24"/>
          <w:highlight w:val="none"/>
        </w:rPr>
        <w:t>因发包人原因导致工程无法按合同约定期限进行竣工验收的，</w:t>
      </w:r>
      <w:r>
        <w:rPr>
          <w:rFonts w:hint="eastAsia" w:ascii="Times New Roman" w:hAnsi="Times New Roman"/>
          <w:color w:val="auto"/>
          <w:szCs w:val="24"/>
          <w:highlight w:val="none"/>
        </w:rPr>
        <w:t>在承包人提交竣工验收报告90天后，工程自动进入缺陷责任期</w:t>
      </w:r>
      <w:r>
        <w:rPr>
          <w:rFonts w:ascii="Times New Roman" w:hAnsi="Times New Roman"/>
          <w:color w:val="auto"/>
          <w:szCs w:val="24"/>
          <w:highlight w:val="none"/>
        </w:rPr>
        <w:t>；发包人未经竣工验收擅自使用工程的，缺陷责任期自工程转移占有之日起开始计算。</w:t>
      </w:r>
    </w:p>
    <w:p w14:paraId="5F82FD11">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15.2.2</w:t>
      </w:r>
      <w:r>
        <w:rPr>
          <w:rFonts w:hint="eastAsia" w:ascii="Times New Roman" w:hAnsi="Times New Roman"/>
          <w:color w:val="auto"/>
          <w:szCs w:val="24"/>
          <w:highlight w:val="none"/>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Times New Roman" w:hAnsi="Times New Roman"/>
          <w:color w:val="auto"/>
          <w:szCs w:val="24"/>
          <w:highlight w:val="none"/>
        </w:rPr>
        <w:t>发包人有权要求承包人延长缺陷责任期，并应在原缺陷责任期届满前发出延长通知</w:t>
      </w:r>
      <w:r>
        <w:rPr>
          <w:rFonts w:hint="eastAsia" w:ascii="Times New Roman" w:hAnsi="Times New Roman"/>
          <w:color w:val="auto"/>
          <w:szCs w:val="24"/>
          <w:highlight w:val="none"/>
        </w:rPr>
        <w:t>。</w:t>
      </w:r>
      <w:r>
        <w:rPr>
          <w:rFonts w:ascii="Times New Roman" w:hAnsi="Times New Roman"/>
          <w:color w:val="auto"/>
          <w:szCs w:val="24"/>
          <w:highlight w:val="none"/>
        </w:rPr>
        <w:t>但缺陷责任期</w:t>
      </w:r>
      <w:r>
        <w:rPr>
          <w:rFonts w:hint="eastAsia" w:ascii="Times New Roman" w:hAnsi="Times New Roman"/>
          <w:color w:val="auto"/>
          <w:szCs w:val="24"/>
          <w:highlight w:val="none"/>
        </w:rPr>
        <w:t>（含延长部分）</w:t>
      </w:r>
      <w:r>
        <w:rPr>
          <w:rFonts w:ascii="Times New Roman" w:hAnsi="Times New Roman"/>
          <w:color w:val="auto"/>
          <w:szCs w:val="24"/>
          <w:highlight w:val="none"/>
        </w:rPr>
        <w:t>最长不能超过24个月。</w:t>
      </w:r>
    </w:p>
    <w:p w14:paraId="086D085F">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由他人原因造成的缺陷，发包人负责组织维修，承包人不承担费用，且发包人不得从保证金中扣除费用。</w:t>
      </w:r>
    </w:p>
    <w:p w14:paraId="6CC17DE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15.2.3 任何一项缺陷或损坏修复后，经检查证明其影响了工程或工程设备的使用性能，承包人应重新进行合同约定的试验和试运行，试验和试运行的全部费用应由责任方承担。</w:t>
      </w:r>
    </w:p>
    <w:p w14:paraId="3F58629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15.2.4</w:t>
      </w:r>
      <w:r>
        <w:rPr>
          <w:rFonts w:hint="eastAsia" w:ascii="Times New Roman" w:hAnsi="Times New Roman"/>
          <w:color w:val="auto"/>
          <w:szCs w:val="24"/>
          <w:highlight w:val="none"/>
        </w:rPr>
        <w:t xml:space="preserve"> </w:t>
      </w:r>
      <w:r>
        <w:rPr>
          <w:rFonts w:ascii="Times New Roman" w:hAnsi="Times New Roman"/>
          <w:color w:val="auto"/>
          <w:szCs w:val="24"/>
          <w:highlight w:val="none"/>
        </w:rPr>
        <w:t>除专用合同条款另有约定外，承包人应于缺陷责任期届满后7天内向发包人发出缺陷责任期</w:t>
      </w:r>
      <w:r>
        <w:rPr>
          <w:rFonts w:hint="eastAsia" w:ascii="Times New Roman" w:hAnsi="Times New Roman"/>
          <w:color w:val="auto"/>
          <w:szCs w:val="24"/>
          <w:highlight w:val="none"/>
        </w:rPr>
        <w:t>届</w:t>
      </w:r>
      <w:r>
        <w:rPr>
          <w:rFonts w:ascii="Times New Roman" w:hAnsi="Times New Roman"/>
          <w:color w:val="auto"/>
          <w:szCs w:val="24"/>
          <w:highlight w:val="none"/>
        </w:rPr>
        <w:t>满通知，发包人应在</w:t>
      </w:r>
      <w:r>
        <w:rPr>
          <w:rFonts w:hint="eastAsia" w:ascii="Times New Roman" w:hAnsi="Times New Roman"/>
          <w:color w:val="auto"/>
          <w:szCs w:val="24"/>
          <w:highlight w:val="none"/>
        </w:rPr>
        <w:t>收</w:t>
      </w:r>
      <w:r>
        <w:rPr>
          <w:rFonts w:ascii="Times New Roman" w:hAnsi="Times New Roman"/>
          <w:color w:val="auto"/>
          <w:szCs w:val="24"/>
          <w:highlight w:val="none"/>
        </w:rPr>
        <w:t>到缺陷责任期满通知后14天内核实承包人是否履行缺陷</w:t>
      </w:r>
      <w:r>
        <w:rPr>
          <w:rFonts w:hint="eastAsia" w:ascii="Times New Roman" w:hAnsi="Times New Roman"/>
          <w:color w:val="auto"/>
          <w:szCs w:val="24"/>
          <w:highlight w:val="none"/>
        </w:rPr>
        <w:t>修复</w:t>
      </w:r>
      <w:r>
        <w:rPr>
          <w:rFonts w:ascii="Times New Roman" w:hAnsi="Times New Roman"/>
          <w:color w:val="auto"/>
          <w:szCs w:val="24"/>
          <w:highlight w:val="none"/>
        </w:rPr>
        <w:t>义务，承包人未能履行缺陷</w:t>
      </w:r>
      <w:r>
        <w:rPr>
          <w:rFonts w:hint="eastAsia" w:ascii="Times New Roman" w:hAnsi="Times New Roman"/>
          <w:color w:val="auto"/>
          <w:szCs w:val="24"/>
          <w:highlight w:val="none"/>
        </w:rPr>
        <w:t>修复</w:t>
      </w:r>
      <w:r>
        <w:rPr>
          <w:rFonts w:ascii="Times New Roman" w:hAnsi="Times New Roman"/>
          <w:color w:val="auto"/>
          <w:szCs w:val="24"/>
          <w:highlight w:val="none"/>
        </w:rPr>
        <w:t>义务的，发包人有权扣除相应金额的维修费用。发包人应在</w:t>
      </w:r>
      <w:r>
        <w:rPr>
          <w:rFonts w:hint="eastAsia" w:ascii="Times New Roman" w:hAnsi="Times New Roman"/>
          <w:color w:val="auto"/>
          <w:szCs w:val="24"/>
          <w:highlight w:val="none"/>
        </w:rPr>
        <w:t>收到</w:t>
      </w:r>
      <w:r>
        <w:rPr>
          <w:rFonts w:ascii="Times New Roman" w:hAnsi="Times New Roman"/>
          <w:color w:val="auto"/>
          <w:szCs w:val="24"/>
          <w:highlight w:val="none"/>
        </w:rPr>
        <w:t>缺陷责任期</w:t>
      </w:r>
      <w:r>
        <w:rPr>
          <w:rFonts w:hint="eastAsia" w:ascii="Times New Roman" w:hAnsi="Times New Roman"/>
          <w:color w:val="auto"/>
          <w:szCs w:val="24"/>
          <w:highlight w:val="none"/>
        </w:rPr>
        <w:t>届</w:t>
      </w:r>
      <w:r>
        <w:rPr>
          <w:rFonts w:ascii="Times New Roman" w:hAnsi="Times New Roman"/>
          <w:color w:val="auto"/>
          <w:szCs w:val="24"/>
          <w:highlight w:val="none"/>
        </w:rPr>
        <w:t>满</w:t>
      </w:r>
      <w:r>
        <w:rPr>
          <w:rFonts w:hint="eastAsia" w:ascii="Times New Roman" w:hAnsi="Times New Roman"/>
          <w:color w:val="auto"/>
          <w:szCs w:val="24"/>
          <w:highlight w:val="none"/>
        </w:rPr>
        <w:t>通知后</w:t>
      </w:r>
      <w:r>
        <w:rPr>
          <w:rFonts w:ascii="Times New Roman" w:hAnsi="Times New Roman"/>
          <w:color w:val="auto"/>
          <w:szCs w:val="24"/>
          <w:highlight w:val="none"/>
        </w:rPr>
        <w:t>14天内，向承包人颁发缺陷责任期终止证</w:t>
      </w:r>
      <w:r>
        <w:rPr>
          <w:rFonts w:hint="eastAsia" w:ascii="Times New Roman" w:hAnsi="Times New Roman"/>
          <w:color w:val="auto"/>
          <w:szCs w:val="24"/>
          <w:highlight w:val="none"/>
        </w:rPr>
        <w:t>书</w:t>
      </w:r>
      <w:r>
        <w:rPr>
          <w:rFonts w:ascii="Times New Roman" w:hAnsi="Times New Roman"/>
          <w:color w:val="auto"/>
          <w:szCs w:val="24"/>
          <w:highlight w:val="none"/>
        </w:rPr>
        <w:t>。</w:t>
      </w:r>
    </w:p>
    <w:p w14:paraId="68FA98FA">
      <w:pPr>
        <w:keepNext/>
        <w:keepLines/>
        <w:spacing w:line="400" w:lineRule="exact"/>
        <w:outlineLvl w:val="2"/>
        <w:rPr>
          <w:rFonts w:ascii="Times New Roman" w:hAnsi="Times New Roman" w:eastAsia="黑体" w:cs="宋体"/>
          <w:b/>
          <w:color w:val="auto"/>
          <w:sz w:val="24"/>
          <w:szCs w:val="20"/>
          <w:highlight w:val="none"/>
        </w:rPr>
      </w:pPr>
      <w:bookmarkStart w:id="1366" w:name="_Toc351203601"/>
      <w:bookmarkStart w:id="1367" w:name="_Toc28532230"/>
      <w:bookmarkStart w:id="1368" w:name="_Toc21883"/>
      <w:bookmarkStart w:id="1369" w:name="_Toc337558818"/>
      <w:bookmarkStart w:id="1370" w:name="_Toc296346616"/>
      <w:bookmarkStart w:id="1371" w:name="_Toc296503115"/>
      <w:r>
        <w:rPr>
          <w:rFonts w:ascii="Times New Roman" w:hAnsi="Times New Roman" w:eastAsia="黑体" w:cs="宋体"/>
          <w:b/>
          <w:color w:val="auto"/>
          <w:sz w:val="24"/>
          <w:szCs w:val="20"/>
          <w:highlight w:val="none"/>
        </w:rPr>
        <w:t>15.3 质量保证金</w:t>
      </w:r>
      <w:bookmarkEnd w:id="1366"/>
      <w:bookmarkEnd w:id="1367"/>
      <w:bookmarkEnd w:id="1368"/>
    </w:p>
    <w:bookmarkEnd w:id="1369"/>
    <w:p w14:paraId="73B737E7">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经合同当事人协商一致扣留质量保证金的，应在专用合同条款中予以明确。</w:t>
      </w:r>
    </w:p>
    <w:p w14:paraId="283E1AD3">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在工程项目竣工前，承包人已经提供履约担保的，发包人不得同时预留工程质量保证金。</w:t>
      </w:r>
    </w:p>
    <w:p w14:paraId="5740AAD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15.3.1 </w:t>
      </w:r>
      <w:r>
        <w:rPr>
          <w:rFonts w:hint="eastAsia" w:ascii="Times New Roman" w:hAnsi="Times New Roman"/>
          <w:color w:val="auto"/>
          <w:szCs w:val="24"/>
          <w:highlight w:val="none"/>
        </w:rPr>
        <w:t>承包人提供</w:t>
      </w:r>
      <w:r>
        <w:rPr>
          <w:rFonts w:ascii="Times New Roman" w:hAnsi="Times New Roman"/>
          <w:color w:val="auto"/>
          <w:szCs w:val="24"/>
          <w:highlight w:val="none"/>
        </w:rPr>
        <w:t>质量保证金的</w:t>
      </w:r>
      <w:r>
        <w:rPr>
          <w:rFonts w:hint="eastAsia" w:ascii="Times New Roman" w:hAnsi="Times New Roman"/>
          <w:color w:val="auto"/>
          <w:szCs w:val="24"/>
          <w:highlight w:val="none"/>
        </w:rPr>
        <w:t>方</w:t>
      </w:r>
      <w:r>
        <w:rPr>
          <w:rFonts w:ascii="Times New Roman" w:hAnsi="Times New Roman"/>
          <w:color w:val="auto"/>
          <w:szCs w:val="24"/>
          <w:highlight w:val="none"/>
        </w:rPr>
        <w:t>式</w:t>
      </w:r>
    </w:p>
    <w:p w14:paraId="3B641306">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承包人提供</w:t>
      </w:r>
      <w:r>
        <w:rPr>
          <w:rFonts w:ascii="Times New Roman" w:hAnsi="Times New Roman"/>
          <w:color w:val="auto"/>
          <w:szCs w:val="24"/>
          <w:highlight w:val="none"/>
        </w:rPr>
        <w:t>质量保证金</w:t>
      </w:r>
      <w:r>
        <w:rPr>
          <w:rFonts w:hint="eastAsia" w:ascii="Times New Roman" w:hAnsi="Times New Roman"/>
          <w:color w:val="auto"/>
          <w:szCs w:val="24"/>
          <w:highlight w:val="none"/>
        </w:rPr>
        <w:t>有</w:t>
      </w:r>
      <w:r>
        <w:rPr>
          <w:rFonts w:ascii="Times New Roman" w:hAnsi="Times New Roman"/>
          <w:color w:val="auto"/>
          <w:szCs w:val="24"/>
          <w:highlight w:val="none"/>
        </w:rPr>
        <w:t>以下</w:t>
      </w:r>
      <w:r>
        <w:rPr>
          <w:rFonts w:hint="eastAsia" w:ascii="Times New Roman" w:hAnsi="Times New Roman"/>
          <w:color w:val="auto"/>
          <w:szCs w:val="24"/>
          <w:highlight w:val="none"/>
        </w:rPr>
        <w:t>三种方</w:t>
      </w:r>
      <w:r>
        <w:rPr>
          <w:rFonts w:ascii="Times New Roman" w:hAnsi="Times New Roman"/>
          <w:color w:val="auto"/>
          <w:szCs w:val="24"/>
          <w:highlight w:val="none"/>
        </w:rPr>
        <w:t>式：</w:t>
      </w:r>
    </w:p>
    <w:p w14:paraId="19F92C4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（1）质量保证金保函； </w:t>
      </w:r>
    </w:p>
    <w:p w14:paraId="3996B027">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w:t>
      </w:r>
      <w:r>
        <w:rPr>
          <w:rFonts w:ascii="Times New Roman" w:hAnsi="Times New Roman"/>
          <w:color w:val="auto"/>
          <w:szCs w:val="24"/>
          <w:highlight w:val="none"/>
        </w:rPr>
        <w:t>2）相应比例的工程款；</w:t>
      </w:r>
    </w:p>
    <w:p w14:paraId="613893D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（3）双方约定的其他</w:t>
      </w:r>
      <w:r>
        <w:rPr>
          <w:rFonts w:hint="eastAsia" w:ascii="Times New Roman" w:hAnsi="Times New Roman"/>
          <w:color w:val="auto"/>
          <w:szCs w:val="24"/>
          <w:highlight w:val="none"/>
        </w:rPr>
        <w:t>方</w:t>
      </w:r>
      <w:r>
        <w:rPr>
          <w:rFonts w:ascii="Times New Roman" w:hAnsi="Times New Roman"/>
          <w:color w:val="auto"/>
          <w:szCs w:val="24"/>
          <w:highlight w:val="none"/>
        </w:rPr>
        <w:t>式。</w:t>
      </w:r>
    </w:p>
    <w:p w14:paraId="21264AD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除专用合同条款另有约定外，质量保证金</w:t>
      </w:r>
      <w:r>
        <w:rPr>
          <w:rFonts w:hint="eastAsia" w:ascii="Times New Roman" w:hAnsi="Times New Roman"/>
          <w:color w:val="auto"/>
          <w:szCs w:val="24"/>
          <w:highlight w:val="none"/>
        </w:rPr>
        <w:t>原则上</w:t>
      </w:r>
      <w:r>
        <w:rPr>
          <w:rFonts w:ascii="Times New Roman" w:hAnsi="Times New Roman"/>
          <w:color w:val="auto"/>
          <w:szCs w:val="24"/>
          <w:highlight w:val="none"/>
        </w:rPr>
        <w:t>采</w:t>
      </w:r>
      <w:r>
        <w:rPr>
          <w:rFonts w:hint="eastAsia" w:ascii="Times New Roman" w:hAnsi="Times New Roman"/>
          <w:color w:val="auto"/>
          <w:szCs w:val="24"/>
          <w:highlight w:val="none"/>
        </w:rPr>
        <w:t>用上述</w:t>
      </w:r>
      <w:r>
        <w:rPr>
          <w:rFonts w:ascii="Times New Roman" w:hAnsi="Times New Roman"/>
          <w:color w:val="auto"/>
          <w:szCs w:val="24"/>
          <w:highlight w:val="none"/>
        </w:rPr>
        <w:t>第（1）种</w:t>
      </w:r>
      <w:r>
        <w:rPr>
          <w:rFonts w:hint="eastAsia" w:ascii="Times New Roman" w:hAnsi="Times New Roman"/>
          <w:color w:val="auto"/>
          <w:szCs w:val="24"/>
          <w:highlight w:val="none"/>
        </w:rPr>
        <w:t>方式。</w:t>
      </w:r>
    </w:p>
    <w:p w14:paraId="69ABC3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15.3.2 质量保证金的扣留</w:t>
      </w:r>
    </w:p>
    <w:p w14:paraId="2476F9A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质量保证金</w:t>
      </w:r>
      <w:r>
        <w:rPr>
          <w:rFonts w:hint="eastAsia" w:ascii="Times New Roman" w:hAnsi="Times New Roman"/>
          <w:color w:val="auto"/>
          <w:szCs w:val="24"/>
          <w:highlight w:val="none"/>
        </w:rPr>
        <w:t>的</w:t>
      </w:r>
      <w:r>
        <w:rPr>
          <w:rFonts w:ascii="Times New Roman" w:hAnsi="Times New Roman"/>
          <w:color w:val="auto"/>
          <w:szCs w:val="24"/>
          <w:highlight w:val="none"/>
        </w:rPr>
        <w:t>扣留</w:t>
      </w:r>
      <w:r>
        <w:rPr>
          <w:rFonts w:hint="eastAsia" w:ascii="Times New Roman" w:hAnsi="Times New Roman"/>
          <w:color w:val="auto"/>
          <w:szCs w:val="24"/>
          <w:highlight w:val="none"/>
        </w:rPr>
        <w:t>有</w:t>
      </w:r>
      <w:r>
        <w:rPr>
          <w:rFonts w:ascii="Times New Roman" w:hAnsi="Times New Roman"/>
          <w:color w:val="auto"/>
          <w:szCs w:val="24"/>
          <w:highlight w:val="none"/>
        </w:rPr>
        <w:t>以下</w:t>
      </w:r>
      <w:r>
        <w:rPr>
          <w:rFonts w:hint="eastAsia" w:ascii="Times New Roman" w:hAnsi="Times New Roman"/>
          <w:color w:val="auto"/>
          <w:szCs w:val="24"/>
          <w:highlight w:val="none"/>
        </w:rPr>
        <w:t>三</w:t>
      </w:r>
      <w:r>
        <w:rPr>
          <w:rFonts w:ascii="Times New Roman" w:hAnsi="Times New Roman"/>
          <w:color w:val="auto"/>
          <w:szCs w:val="24"/>
          <w:highlight w:val="none"/>
        </w:rPr>
        <w:t>种</w:t>
      </w:r>
      <w:r>
        <w:rPr>
          <w:rFonts w:hint="eastAsia" w:ascii="Times New Roman" w:hAnsi="Times New Roman"/>
          <w:color w:val="auto"/>
          <w:szCs w:val="24"/>
          <w:highlight w:val="none"/>
        </w:rPr>
        <w:t>方式</w:t>
      </w:r>
      <w:r>
        <w:rPr>
          <w:rFonts w:ascii="Times New Roman" w:hAnsi="Times New Roman"/>
          <w:color w:val="auto"/>
          <w:szCs w:val="24"/>
          <w:highlight w:val="none"/>
        </w:rPr>
        <w:t>：</w:t>
      </w:r>
    </w:p>
    <w:p w14:paraId="015DDA1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（1）在支付工程进度款时逐次扣留，在此情形下，质量保证金的计算基数不包括预付款的支付、扣回以及价格调整的金额；</w:t>
      </w:r>
    </w:p>
    <w:p w14:paraId="6B72CF6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（2）工</w:t>
      </w:r>
      <w:bookmarkStart w:id="1372" w:name="#go6"/>
      <w:bookmarkEnd w:id="1372"/>
      <w:r>
        <w:rPr>
          <w:rFonts w:ascii="Times New Roman" w:hAnsi="Times New Roman"/>
          <w:color w:val="auto"/>
          <w:szCs w:val="24"/>
          <w:highlight w:val="none"/>
        </w:rPr>
        <w:t>程竣工结算时一次性扣留质量保证金；</w:t>
      </w:r>
    </w:p>
    <w:p w14:paraId="76ED665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（3）双方约定的其他扣留方式。</w:t>
      </w:r>
    </w:p>
    <w:p w14:paraId="23F2C8B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除专用合同条款另有约定外，质量保证金</w:t>
      </w:r>
      <w:r>
        <w:rPr>
          <w:rFonts w:hint="eastAsia" w:ascii="Times New Roman" w:hAnsi="Times New Roman"/>
          <w:color w:val="auto"/>
          <w:szCs w:val="24"/>
          <w:highlight w:val="none"/>
        </w:rPr>
        <w:t>的</w:t>
      </w:r>
      <w:r>
        <w:rPr>
          <w:rFonts w:ascii="Times New Roman" w:hAnsi="Times New Roman"/>
          <w:color w:val="auto"/>
          <w:szCs w:val="24"/>
          <w:highlight w:val="none"/>
        </w:rPr>
        <w:t>扣留</w:t>
      </w:r>
      <w:r>
        <w:rPr>
          <w:rFonts w:hint="eastAsia" w:ascii="Times New Roman" w:hAnsi="Times New Roman"/>
          <w:color w:val="auto"/>
          <w:szCs w:val="24"/>
          <w:highlight w:val="none"/>
        </w:rPr>
        <w:t>原则上</w:t>
      </w:r>
      <w:r>
        <w:rPr>
          <w:rFonts w:ascii="Times New Roman" w:hAnsi="Times New Roman"/>
          <w:color w:val="auto"/>
          <w:szCs w:val="24"/>
          <w:highlight w:val="none"/>
        </w:rPr>
        <w:t>采</w:t>
      </w:r>
      <w:r>
        <w:rPr>
          <w:rFonts w:hint="eastAsia" w:ascii="Times New Roman" w:hAnsi="Times New Roman"/>
          <w:color w:val="auto"/>
          <w:szCs w:val="24"/>
          <w:highlight w:val="none"/>
        </w:rPr>
        <w:t>用上述</w:t>
      </w:r>
      <w:r>
        <w:rPr>
          <w:rFonts w:ascii="Times New Roman" w:hAnsi="Times New Roman"/>
          <w:color w:val="auto"/>
          <w:szCs w:val="24"/>
          <w:highlight w:val="none"/>
        </w:rPr>
        <w:t>第（1）种方式</w:t>
      </w:r>
      <w:r>
        <w:rPr>
          <w:rFonts w:hint="eastAsia" w:ascii="Times New Roman" w:hAnsi="Times New Roman"/>
          <w:color w:val="auto"/>
          <w:szCs w:val="24"/>
          <w:highlight w:val="none"/>
        </w:rPr>
        <w:t>。</w:t>
      </w:r>
    </w:p>
    <w:p w14:paraId="2165185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w:t>
      </w:r>
      <w:bookmarkStart w:id="1373" w:name="#go4"/>
      <w:bookmarkEnd w:id="1373"/>
      <w:r>
        <w:rPr>
          <w:rFonts w:ascii="Times New Roman" w:hAnsi="Times New Roman"/>
          <w:color w:val="auto"/>
          <w:szCs w:val="24"/>
          <w:highlight w:val="none"/>
        </w:rPr>
        <w:t>包人累计扣留的质量保证金不得超过</w:t>
      </w:r>
      <w:r>
        <w:rPr>
          <w:rFonts w:hint="eastAsia" w:ascii="Times New Roman" w:hAnsi="Times New Roman"/>
          <w:color w:val="auto"/>
          <w:szCs w:val="24"/>
          <w:highlight w:val="none"/>
        </w:rPr>
        <w:t>工程价款结算总额</w:t>
      </w:r>
      <w:r>
        <w:rPr>
          <w:rFonts w:ascii="Times New Roman" w:hAnsi="Times New Roman"/>
          <w:color w:val="auto"/>
          <w:szCs w:val="24"/>
          <w:highlight w:val="none"/>
        </w:rPr>
        <w:t>的</w:t>
      </w:r>
      <w:r>
        <w:rPr>
          <w:rFonts w:hint="eastAsia" w:ascii="Times New Roman" w:hAnsi="Times New Roman"/>
          <w:color w:val="auto"/>
          <w:szCs w:val="24"/>
          <w:highlight w:val="none"/>
        </w:rPr>
        <w:t xml:space="preserve">1.5 </w:t>
      </w:r>
      <w:r>
        <w:rPr>
          <w:rFonts w:ascii="Times New Roman" w:hAnsi="Times New Roman"/>
          <w:color w:val="auto"/>
          <w:szCs w:val="24"/>
          <w:highlight w:val="none"/>
        </w:rPr>
        <w:t>%</w:t>
      </w:r>
      <w:r>
        <w:rPr>
          <w:rFonts w:hint="eastAsia" w:ascii="Times New Roman" w:hAnsi="Times New Roman"/>
          <w:color w:val="auto"/>
          <w:szCs w:val="24"/>
          <w:highlight w:val="none"/>
        </w:rPr>
        <w:t>。如</w:t>
      </w:r>
      <w:r>
        <w:rPr>
          <w:rFonts w:ascii="Times New Roman" w:hAnsi="Times New Roman"/>
          <w:color w:val="auto"/>
          <w:szCs w:val="24"/>
          <w:highlight w:val="none"/>
        </w:rPr>
        <w:t>承包人在发包人签发竣工付款证书后28天内提交质量保证金保函，发包人应同时退还扣留的作为质量保证金的工程价款</w:t>
      </w:r>
      <w:r>
        <w:rPr>
          <w:rFonts w:hint="eastAsia" w:ascii="Times New Roman" w:hAnsi="Times New Roman"/>
          <w:color w:val="auto"/>
          <w:szCs w:val="24"/>
          <w:highlight w:val="none"/>
        </w:rPr>
        <w:t>；保函金额不得超过工程价款结算总额</w:t>
      </w:r>
      <w:r>
        <w:rPr>
          <w:rFonts w:ascii="Times New Roman" w:hAnsi="Times New Roman"/>
          <w:color w:val="auto"/>
          <w:szCs w:val="24"/>
          <w:highlight w:val="none"/>
        </w:rPr>
        <w:t>的</w:t>
      </w:r>
      <w:r>
        <w:rPr>
          <w:rFonts w:hint="eastAsia" w:ascii="Times New Roman" w:hAnsi="Times New Roman"/>
          <w:color w:val="auto"/>
          <w:szCs w:val="24"/>
          <w:highlight w:val="none"/>
        </w:rPr>
        <w:t xml:space="preserve">1.5 </w:t>
      </w:r>
      <w:r>
        <w:rPr>
          <w:rFonts w:ascii="Times New Roman" w:hAnsi="Times New Roman"/>
          <w:color w:val="auto"/>
          <w:szCs w:val="24"/>
          <w:highlight w:val="none"/>
        </w:rPr>
        <w:t>%。</w:t>
      </w:r>
    </w:p>
    <w:p w14:paraId="7CC6353F">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发包人在退还质量保证金的同时</w:t>
      </w:r>
      <w:r>
        <w:rPr>
          <w:rFonts w:ascii="Times New Roman" w:hAnsi="Times New Roman"/>
          <w:color w:val="auto"/>
          <w:szCs w:val="24"/>
          <w:highlight w:val="none"/>
        </w:rPr>
        <w:t>按照中国人民银行发布的同期同类贷款基准利率支付</w:t>
      </w:r>
      <w:r>
        <w:rPr>
          <w:rFonts w:hint="eastAsia" w:ascii="Times New Roman" w:hAnsi="Times New Roman"/>
          <w:color w:val="auto"/>
          <w:szCs w:val="24"/>
          <w:highlight w:val="none"/>
        </w:rPr>
        <w:t>利息。</w:t>
      </w:r>
    </w:p>
    <w:p w14:paraId="782538E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15.3.3 质量保证金的退还</w:t>
      </w:r>
    </w:p>
    <w:p w14:paraId="311B284E">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缺陷责任期内，承包人认真履行合同约定的责任，到期后，承包人可向发包人申请返还保证金。</w:t>
      </w:r>
    </w:p>
    <w:p w14:paraId="56419FDA">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741043D9">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发包人和承包人对保证金预留、返还以及工程维修质量、费用有争议的，按本合同第20条约定的争议和纠纷解决程序处理</w:t>
      </w:r>
      <w:r>
        <w:rPr>
          <w:rFonts w:ascii="Times New Roman" w:hAnsi="Times New Roman"/>
          <w:color w:val="auto"/>
          <w:szCs w:val="24"/>
          <w:highlight w:val="none"/>
        </w:rPr>
        <w:t>。</w:t>
      </w:r>
    </w:p>
    <w:p w14:paraId="566659B6">
      <w:pPr>
        <w:keepNext/>
        <w:keepLines/>
        <w:spacing w:line="400" w:lineRule="exact"/>
        <w:outlineLvl w:val="2"/>
        <w:rPr>
          <w:rFonts w:ascii="Times New Roman" w:hAnsi="Times New Roman" w:eastAsia="黑体" w:cs="宋体"/>
          <w:b/>
          <w:color w:val="auto"/>
          <w:sz w:val="24"/>
          <w:szCs w:val="20"/>
          <w:highlight w:val="none"/>
        </w:rPr>
      </w:pPr>
      <w:bookmarkStart w:id="1374" w:name="_Toc15968"/>
      <w:bookmarkStart w:id="1375" w:name="_Toc28532231"/>
      <w:bookmarkStart w:id="1376" w:name="_Toc351203602"/>
      <w:bookmarkStart w:id="1377" w:name="_Toc337558819"/>
      <w:r>
        <w:rPr>
          <w:rFonts w:ascii="Times New Roman" w:hAnsi="Times New Roman" w:eastAsia="黑体" w:cs="宋体"/>
          <w:b/>
          <w:color w:val="auto"/>
          <w:sz w:val="24"/>
          <w:szCs w:val="20"/>
          <w:highlight w:val="none"/>
        </w:rPr>
        <w:t>15.4 保修</w:t>
      </w:r>
      <w:bookmarkEnd w:id="1374"/>
      <w:bookmarkEnd w:id="1375"/>
      <w:bookmarkEnd w:id="1376"/>
    </w:p>
    <w:bookmarkEnd w:id="1370"/>
    <w:bookmarkEnd w:id="1371"/>
    <w:bookmarkEnd w:id="1377"/>
    <w:p w14:paraId="08D9644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15.4.1保修责任</w:t>
      </w:r>
    </w:p>
    <w:p w14:paraId="7FB413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7E1B708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发包人未经竣工验收擅自使用工程的，保修期自转移占有之日起算。</w:t>
      </w:r>
    </w:p>
    <w:p w14:paraId="393A91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15.4.2 修复费用</w:t>
      </w:r>
    </w:p>
    <w:p w14:paraId="133EA2F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保修期内，修复的费用按照以下约定处理：</w:t>
      </w:r>
    </w:p>
    <w:p w14:paraId="00E83E8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（1）保修期内，因承包人原因造成工程的缺陷、损坏，承包人应负责修复，并承担修复的费用以及因工程的缺陷、损坏造成的人身伤害和财产损失；</w:t>
      </w:r>
    </w:p>
    <w:p w14:paraId="4B3D481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（2）保修期内，因发包人使用不当造成工程的缺陷、损坏，可以委托承包人修复，但发包人应承担修复的费用，并支付承包人合理利润；</w:t>
      </w:r>
    </w:p>
    <w:p w14:paraId="033067D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（3）因其他原因造成工程的缺陷、损坏，可以委托承包人修复，发包人应承担修复的费用，并支付承包人合理的利润，因工程的缺陷、损坏造成的人身伤害和财产损失由责任方承担。</w:t>
      </w:r>
    </w:p>
    <w:p w14:paraId="64B3460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15.4.3 修复通知</w:t>
      </w:r>
    </w:p>
    <w:p w14:paraId="1D3EC1F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4186732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15.4.4 未能修复</w:t>
      </w:r>
    </w:p>
    <w:p w14:paraId="29110F3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color w:val="auto"/>
          <w:szCs w:val="24"/>
          <w:highlight w:val="none"/>
        </w:rPr>
        <w:t>但修复范围超出缺陷或损坏范围的，超出范围部分的修复费用由发包人承担。</w:t>
      </w:r>
    </w:p>
    <w:p w14:paraId="76A2BE9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15.4.5 承包人出入权</w:t>
      </w:r>
    </w:p>
    <w:p w14:paraId="65A07BB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4EB4F054">
      <w:pPr>
        <w:keepNext/>
        <w:keepLines/>
        <w:spacing w:before="100" w:line="400" w:lineRule="exact"/>
        <w:outlineLvl w:val="1"/>
        <w:rPr>
          <w:rFonts w:ascii="Times New Roman" w:hAnsi="Times New Roman" w:eastAsia="黑体" w:cs="宋体"/>
          <w:b/>
          <w:color w:val="auto"/>
          <w:sz w:val="28"/>
          <w:szCs w:val="20"/>
          <w:highlight w:val="none"/>
        </w:rPr>
      </w:pPr>
      <w:bookmarkStart w:id="1378" w:name="_Toc31104"/>
      <w:bookmarkStart w:id="1379" w:name="_Toc28532232"/>
      <w:bookmarkStart w:id="1380" w:name="_Toc351203603"/>
      <w:bookmarkStart w:id="1381" w:name="_Toc337558820"/>
      <w:r>
        <w:rPr>
          <w:rFonts w:ascii="Times New Roman" w:hAnsi="Times New Roman" w:eastAsia="黑体" w:cs="宋体"/>
          <w:b/>
          <w:color w:val="auto"/>
          <w:sz w:val="28"/>
          <w:szCs w:val="20"/>
          <w:highlight w:val="none"/>
        </w:rPr>
        <w:t>16. 违约</w:t>
      </w:r>
      <w:bookmarkEnd w:id="1378"/>
      <w:bookmarkEnd w:id="1379"/>
      <w:bookmarkEnd w:id="1380"/>
    </w:p>
    <w:bookmarkEnd w:id="1381"/>
    <w:p w14:paraId="2637ECCE">
      <w:pPr>
        <w:keepNext/>
        <w:keepLines/>
        <w:spacing w:line="400" w:lineRule="exact"/>
        <w:outlineLvl w:val="2"/>
        <w:rPr>
          <w:rFonts w:ascii="Times New Roman" w:hAnsi="Times New Roman" w:eastAsia="黑体" w:cs="宋体"/>
          <w:b/>
          <w:color w:val="auto"/>
          <w:sz w:val="24"/>
          <w:szCs w:val="20"/>
          <w:highlight w:val="none"/>
        </w:rPr>
      </w:pPr>
      <w:bookmarkStart w:id="1382" w:name="_Toc296503129"/>
      <w:bookmarkStart w:id="1383" w:name="_Toc296346630"/>
      <w:bookmarkStart w:id="1384" w:name="_Toc18594"/>
      <w:bookmarkStart w:id="1385" w:name="_Toc351203604"/>
      <w:bookmarkStart w:id="1386" w:name="_Toc28532233"/>
      <w:bookmarkStart w:id="1387" w:name="_Toc337558821"/>
      <w:r>
        <w:rPr>
          <w:rFonts w:ascii="Times New Roman" w:hAnsi="Times New Roman" w:eastAsia="黑体" w:cs="宋体"/>
          <w:b/>
          <w:color w:val="auto"/>
          <w:sz w:val="24"/>
          <w:szCs w:val="20"/>
          <w:highlight w:val="none"/>
        </w:rPr>
        <w:t>16.1 发</w:t>
      </w:r>
      <w:bookmarkEnd w:id="1382"/>
      <w:bookmarkEnd w:id="1383"/>
      <w:r>
        <w:rPr>
          <w:rFonts w:ascii="Times New Roman" w:hAnsi="Times New Roman" w:eastAsia="黑体" w:cs="宋体"/>
          <w:b/>
          <w:color w:val="auto"/>
          <w:sz w:val="24"/>
          <w:szCs w:val="20"/>
          <w:highlight w:val="none"/>
        </w:rPr>
        <w:t>包人违约</w:t>
      </w:r>
      <w:bookmarkEnd w:id="1384"/>
      <w:bookmarkEnd w:id="1385"/>
      <w:bookmarkEnd w:id="1386"/>
    </w:p>
    <w:bookmarkEnd w:id="1387"/>
    <w:p w14:paraId="6EEAB77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16.1.1 发包人违约的情形</w:t>
      </w:r>
    </w:p>
    <w:p w14:paraId="0CC2E49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在合同履行过程中发生的下列情形，属于发包人违约：</w:t>
      </w:r>
    </w:p>
    <w:p w14:paraId="527D7CF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（1）因发包人原因未能在计划开工日期前7天内下达开工通知的；</w:t>
      </w:r>
    </w:p>
    <w:p w14:paraId="27D5728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（2）因发包人原因未能按合同约定支付合同价款的；</w:t>
      </w:r>
    </w:p>
    <w:p w14:paraId="2A9928A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（3）发包人违反第10.1款</w:t>
      </w:r>
      <w:r>
        <w:rPr>
          <w:rFonts w:hint="eastAsia" w:ascii="Times New Roman" w:hAnsi="Times New Roman"/>
          <w:color w:val="auto"/>
          <w:szCs w:val="24"/>
          <w:highlight w:val="none"/>
        </w:rPr>
        <w:t>〔</w:t>
      </w:r>
      <w:r>
        <w:rPr>
          <w:rFonts w:ascii="Times New Roman" w:hAnsi="Times New Roman"/>
          <w:color w:val="auto"/>
          <w:szCs w:val="24"/>
          <w:highlight w:val="none"/>
        </w:rPr>
        <w:t>变更的范围</w:t>
      </w:r>
      <w:r>
        <w:rPr>
          <w:rFonts w:hint="eastAsia" w:ascii="Times New Roman" w:hAnsi="Times New Roman"/>
          <w:color w:val="auto"/>
          <w:szCs w:val="24"/>
          <w:highlight w:val="none"/>
        </w:rPr>
        <w:t>〕</w:t>
      </w:r>
      <w:r>
        <w:rPr>
          <w:rFonts w:ascii="Times New Roman" w:hAnsi="Times New Roman"/>
          <w:color w:val="auto"/>
          <w:szCs w:val="24"/>
          <w:highlight w:val="none"/>
        </w:rPr>
        <w:t>第（2）项约定，自行实施被取消的工作或转由他人实施的；</w:t>
      </w:r>
    </w:p>
    <w:p w14:paraId="297FD1C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（4）发包人提供的材料、工程设备的规格、数量或质量不符合合同约定，或因发包人原因导致交货日期延误或交货地点变更等情况的；</w:t>
      </w:r>
    </w:p>
    <w:p w14:paraId="7819D22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（5）因发包人违反合同约定造成暂停施工的；</w:t>
      </w:r>
    </w:p>
    <w:p w14:paraId="6833EE9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（6）发包人无正当理由没有在约定期限内发出复工指示，导致承包人无法复工的；</w:t>
      </w:r>
    </w:p>
    <w:p w14:paraId="3C53462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（7）发包人明确表示或者以其行为表明不履行合同主要义务的；</w:t>
      </w:r>
    </w:p>
    <w:p w14:paraId="10A7714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（8）发包人未能按照合同约定履行其他义务的。</w:t>
      </w:r>
    </w:p>
    <w:p w14:paraId="7A56E71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29AAF34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16.1.2 发包人违约的责任</w:t>
      </w:r>
    </w:p>
    <w:p w14:paraId="03420ABA">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发包人应承担因其违约给承包人增加的费用和（或）延误的工期，并支付承包人合理的利润。此外，合同当事人可在专用合同条款中另行约定发包人违约责任的承担方式和计算方法。</w:t>
      </w:r>
    </w:p>
    <w:p w14:paraId="051999E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16.1.3 因发包人违约解除合同</w:t>
      </w:r>
    </w:p>
    <w:p w14:paraId="55BBC4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除专用合同条款另有约定外，承包人按第16.1.1项</w:t>
      </w:r>
      <w:r>
        <w:rPr>
          <w:rFonts w:hint="eastAsia" w:ascii="Times New Roman" w:hAnsi="Times New Roman"/>
          <w:color w:val="auto"/>
          <w:szCs w:val="24"/>
          <w:highlight w:val="none"/>
        </w:rPr>
        <w:t>〔</w:t>
      </w:r>
      <w:r>
        <w:rPr>
          <w:rFonts w:ascii="Times New Roman" w:hAnsi="Times New Roman"/>
          <w:color w:val="auto"/>
          <w:szCs w:val="24"/>
          <w:highlight w:val="none"/>
        </w:rPr>
        <w:t>发包人违约的情形</w:t>
      </w:r>
      <w:r>
        <w:rPr>
          <w:rFonts w:hint="eastAsia" w:ascii="Times New Roman" w:hAnsi="Times New Roman"/>
          <w:color w:val="auto"/>
          <w:szCs w:val="24"/>
          <w:highlight w:val="none"/>
        </w:rPr>
        <w:t>〕</w:t>
      </w:r>
      <w:r>
        <w:rPr>
          <w:rFonts w:ascii="Times New Roman" w:hAnsi="Times New Roman"/>
          <w:color w:val="auto"/>
          <w:szCs w:val="24"/>
          <w:highlight w:val="none"/>
        </w:rPr>
        <w:t>约定暂停施工满28天后</w:t>
      </w:r>
      <w:r>
        <w:rPr>
          <w:rFonts w:hint="eastAsia" w:ascii="Times New Roman" w:hAnsi="Times New Roman"/>
          <w:color w:val="auto"/>
          <w:szCs w:val="24"/>
          <w:highlight w:val="none"/>
        </w:rPr>
        <w:t>，</w:t>
      </w:r>
      <w:r>
        <w:rPr>
          <w:rFonts w:ascii="Times New Roman" w:hAnsi="Times New Roman"/>
          <w:color w:val="auto"/>
          <w:szCs w:val="24"/>
          <w:highlight w:val="none"/>
        </w:rPr>
        <w:t>发包人仍不纠正其违约行为并致使合同目的不能实现的，</w:t>
      </w:r>
      <w:r>
        <w:rPr>
          <w:rFonts w:hint="eastAsia" w:ascii="Times New Roman" w:hAnsi="Times New Roman"/>
          <w:color w:val="auto"/>
          <w:szCs w:val="24"/>
          <w:highlight w:val="none"/>
        </w:rPr>
        <w:t>或</w:t>
      </w:r>
      <w:r>
        <w:rPr>
          <w:rFonts w:ascii="Times New Roman" w:hAnsi="Times New Roman"/>
          <w:color w:val="auto"/>
          <w:szCs w:val="24"/>
          <w:highlight w:val="none"/>
        </w:rPr>
        <w:t>出现第16.1.1项</w:t>
      </w:r>
      <w:r>
        <w:rPr>
          <w:rFonts w:hint="eastAsia" w:ascii="Times New Roman" w:hAnsi="Times New Roman"/>
          <w:color w:val="auto"/>
          <w:szCs w:val="24"/>
          <w:highlight w:val="none"/>
        </w:rPr>
        <w:t>〔</w:t>
      </w:r>
      <w:r>
        <w:rPr>
          <w:rFonts w:ascii="Times New Roman" w:hAnsi="Times New Roman"/>
          <w:color w:val="auto"/>
          <w:szCs w:val="24"/>
          <w:highlight w:val="none"/>
        </w:rPr>
        <w:t>发包人违约的情形</w:t>
      </w:r>
      <w:r>
        <w:rPr>
          <w:rFonts w:hint="eastAsia" w:ascii="Times New Roman" w:hAnsi="Times New Roman"/>
          <w:color w:val="auto"/>
          <w:szCs w:val="24"/>
          <w:highlight w:val="none"/>
        </w:rPr>
        <w:t>〕</w:t>
      </w:r>
      <w:r>
        <w:rPr>
          <w:rFonts w:ascii="Times New Roman" w:hAnsi="Times New Roman"/>
          <w:color w:val="auto"/>
          <w:szCs w:val="24"/>
          <w:highlight w:val="none"/>
        </w:rPr>
        <w:t>第（7）目约定的违约情况，承包人有权解除合同，发包人应承担由此增加的费用，并支付承包人合理的利润。</w:t>
      </w:r>
    </w:p>
    <w:p w14:paraId="2CF168C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16.1.4 因发包人违约解除合同后的付款</w:t>
      </w:r>
    </w:p>
    <w:p w14:paraId="441BEEC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承包人按照本款约定解除合同的，发包人应在解除合同后28天内支付下列款项，并解除履约担保：</w:t>
      </w:r>
    </w:p>
    <w:p w14:paraId="5234FAB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（1）合同解除前所完成工作的价款；</w:t>
      </w:r>
    </w:p>
    <w:p w14:paraId="1E5DBC0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（2）承包人为工程施工订购并已付款的材料、工程设备和其他物品的价款；</w:t>
      </w:r>
    </w:p>
    <w:p w14:paraId="2BDECF5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（3）承包人撤离施工现场以及遣散承包人人员的款项；</w:t>
      </w:r>
    </w:p>
    <w:p w14:paraId="3557AEA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（4）按照合同约定在合同解除前应支付的违约金；</w:t>
      </w:r>
    </w:p>
    <w:p w14:paraId="4A2D09B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（5）按照合同约定应当支付给承包人的其他款项；</w:t>
      </w:r>
    </w:p>
    <w:p w14:paraId="688DB58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（6）按照合同约定应退还的质量保证金；</w:t>
      </w:r>
    </w:p>
    <w:p w14:paraId="5116E10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（7）因解除合同给承包人造成的损失。</w:t>
      </w:r>
    </w:p>
    <w:p w14:paraId="5663EF1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合同当事人未能就解除合同后的结清达成一致的，按照第20条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的约定处理。</w:t>
      </w:r>
    </w:p>
    <w:p w14:paraId="1EDA51A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承包人应妥善做好已完工程和与工程有关的已购材料、工程设备的保护和移交工作，并将施工设备和人员撤出施工现场，发包人应为承包人撤出提供必要条件。</w:t>
      </w:r>
    </w:p>
    <w:p w14:paraId="087D0999">
      <w:pPr>
        <w:keepNext/>
        <w:keepLines/>
        <w:spacing w:line="400" w:lineRule="exact"/>
        <w:outlineLvl w:val="2"/>
        <w:rPr>
          <w:rFonts w:ascii="Times New Roman" w:hAnsi="Times New Roman" w:eastAsia="黑体" w:cs="宋体"/>
          <w:b/>
          <w:color w:val="auto"/>
          <w:sz w:val="24"/>
          <w:szCs w:val="20"/>
          <w:highlight w:val="none"/>
        </w:rPr>
      </w:pPr>
      <w:bookmarkStart w:id="1388" w:name="_Toc351203605"/>
      <w:bookmarkStart w:id="1389" w:name="_Toc28532234"/>
      <w:bookmarkStart w:id="1390" w:name="_Toc29674"/>
      <w:bookmarkStart w:id="1391" w:name="_Toc337558822"/>
      <w:bookmarkStart w:id="1392" w:name="_Toc296346632"/>
      <w:bookmarkStart w:id="1393" w:name="_Toc296503131"/>
      <w:r>
        <w:rPr>
          <w:rFonts w:ascii="Times New Roman" w:hAnsi="Times New Roman" w:eastAsia="黑体" w:cs="宋体"/>
          <w:b/>
          <w:color w:val="auto"/>
          <w:sz w:val="24"/>
          <w:szCs w:val="20"/>
          <w:highlight w:val="none"/>
        </w:rPr>
        <w:t>16.2 承包人违约</w:t>
      </w:r>
      <w:bookmarkEnd w:id="1388"/>
      <w:bookmarkEnd w:id="1389"/>
      <w:bookmarkEnd w:id="1390"/>
    </w:p>
    <w:bookmarkEnd w:id="1391"/>
    <w:bookmarkEnd w:id="1392"/>
    <w:bookmarkEnd w:id="1393"/>
    <w:p w14:paraId="2BC2433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16.2.1 承包人违约的情形</w:t>
      </w:r>
    </w:p>
    <w:p w14:paraId="3750F8D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在合同履行过程中发生的下列情形，属于承包人违约：</w:t>
      </w:r>
    </w:p>
    <w:p w14:paraId="79838C4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（1）承包人违反合同约定进行转包或违法分包的；</w:t>
      </w:r>
    </w:p>
    <w:p w14:paraId="2BBA272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（2）承包人违反合同约定采购和使用不合格的材料和工程设备的；</w:t>
      </w:r>
    </w:p>
    <w:p w14:paraId="6DA40F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（3）因承包人原因导致工程质量不符合合同要求的； </w:t>
      </w:r>
    </w:p>
    <w:p w14:paraId="0D37899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（4）承包人违反第8.9款</w:t>
      </w:r>
      <w:r>
        <w:rPr>
          <w:rFonts w:hint="eastAsia" w:ascii="Times New Roman" w:hAnsi="Times New Roman"/>
          <w:color w:val="auto"/>
          <w:szCs w:val="24"/>
          <w:highlight w:val="none"/>
        </w:rPr>
        <w:t>〔</w:t>
      </w:r>
      <w:r>
        <w:rPr>
          <w:rFonts w:ascii="Times New Roman" w:hAnsi="Times New Roman"/>
          <w:color w:val="auto"/>
          <w:szCs w:val="24"/>
          <w:highlight w:val="none"/>
        </w:rPr>
        <w:t>材料与设备专用</w:t>
      </w:r>
      <w:r>
        <w:rPr>
          <w:rFonts w:hint="eastAsia" w:ascii="Times New Roman" w:hAnsi="Times New Roman"/>
          <w:color w:val="auto"/>
          <w:szCs w:val="24"/>
          <w:highlight w:val="none"/>
        </w:rPr>
        <w:t>要求〕</w:t>
      </w:r>
      <w:r>
        <w:rPr>
          <w:rFonts w:ascii="Times New Roman" w:hAnsi="Times New Roman"/>
          <w:color w:val="auto"/>
          <w:szCs w:val="24"/>
          <w:highlight w:val="none"/>
        </w:rPr>
        <w:t>的约定，未经批准，私自将已按照合同约定进入施工现场的材料或设备撤离施工现场的；</w:t>
      </w:r>
    </w:p>
    <w:p w14:paraId="40B5793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（5）承包人未能按施工进度计划及时完成合同约定的工作，造成工期延误的；</w:t>
      </w:r>
    </w:p>
    <w:p w14:paraId="3CB67BA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（6）承包人在缺陷责任期及保修期内，未能在合理期限对工程缺陷进行修复，或拒绝按发包人要求进行修复的；</w:t>
      </w:r>
    </w:p>
    <w:p w14:paraId="25E98ED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（7）承包人明确表示或者以其行为表明不履行合同主要义务的；</w:t>
      </w:r>
    </w:p>
    <w:p w14:paraId="2F5F544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（8）承包人未能按照合同约定履行其他义务的。</w:t>
      </w:r>
    </w:p>
    <w:p w14:paraId="05F0E9C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承包人发生除本项第（7）目约定以外的其他违约情况时，监理人可向承包人发出整改通知，要求其在指定的期限内改正。</w:t>
      </w:r>
    </w:p>
    <w:p w14:paraId="7101459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16.2.2 承包人违约的责任</w:t>
      </w:r>
    </w:p>
    <w:p w14:paraId="1071883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承包人应承担因其违约行为而增加的费用</w:t>
      </w:r>
      <w:r>
        <w:rPr>
          <w:rFonts w:hint="eastAsia" w:ascii="Times New Roman" w:hAnsi="Times New Roman"/>
          <w:color w:val="auto"/>
          <w:szCs w:val="24"/>
          <w:highlight w:val="none"/>
        </w:rPr>
        <w:t>和（或）延误的</w:t>
      </w:r>
      <w:r>
        <w:rPr>
          <w:rFonts w:ascii="Times New Roman" w:hAnsi="Times New Roman"/>
          <w:color w:val="auto"/>
          <w:szCs w:val="24"/>
          <w:highlight w:val="none"/>
        </w:rPr>
        <w:t>工期。此外，合同当事人可在专用合同条款中另行约定承包人违约责任的承担方式和计算方法。</w:t>
      </w:r>
    </w:p>
    <w:p w14:paraId="347E307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16.2.3 因承包人违约解除合同</w:t>
      </w:r>
    </w:p>
    <w:p w14:paraId="0058F21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除专用合同条款另有约定外，出现第16.2.1项</w:t>
      </w:r>
      <w:r>
        <w:rPr>
          <w:rFonts w:hint="eastAsia" w:ascii="Times New Roman" w:hAnsi="Times New Roman"/>
          <w:color w:val="auto"/>
          <w:szCs w:val="24"/>
          <w:highlight w:val="none"/>
        </w:rPr>
        <w:t>〔</w:t>
      </w:r>
      <w:r>
        <w:rPr>
          <w:rFonts w:ascii="Times New Roman" w:hAnsi="Times New Roman"/>
          <w:color w:val="auto"/>
          <w:szCs w:val="24"/>
          <w:highlight w:val="none"/>
        </w:rPr>
        <w:t>承包人违约的情形</w:t>
      </w:r>
      <w:r>
        <w:rPr>
          <w:rFonts w:hint="eastAsia" w:ascii="Times New Roman" w:hAnsi="Times New Roman"/>
          <w:color w:val="auto"/>
          <w:szCs w:val="24"/>
          <w:highlight w:val="none"/>
        </w:rPr>
        <w:t>〕</w:t>
      </w:r>
      <w:r>
        <w:rPr>
          <w:rFonts w:ascii="Times New Roman" w:hAnsi="Times New Roman"/>
          <w:color w:val="auto"/>
          <w:szCs w:val="24"/>
          <w:highlight w:val="none"/>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color w:val="auto"/>
          <w:szCs w:val="24"/>
          <w:highlight w:val="none"/>
        </w:rPr>
        <w:t>合同当事人应在专用合同条款约定相应费用的承担方式。</w:t>
      </w:r>
      <w:r>
        <w:rPr>
          <w:rFonts w:ascii="Times New Roman" w:hAnsi="Times New Roman"/>
          <w:color w:val="auto"/>
          <w:szCs w:val="24"/>
          <w:highlight w:val="none"/>
        </w:rPr>
        <w:t>发包人</w:t>
      </w:r>
      <w:r>
        <w:rPr>
          <w:rFonts w:hint="eastAsia" w:ascii="Times New Roman" w:hAnsi="Times New Roman"/>
          <w:color w:val="auto"/>
          <w:szCs w:val="24"/>
          <w:highlight w:val="none"/>
        </w:rPr>
        <w:t>继续使用的</w:t>
      </w:r>
      <w:r>
        <w:rPr>
          <w:rFonts w:ascii="Times New Roman" w:hAnsi="Times New Roman"/>
          <w:color w:val="auto"/>
          <w:szCs w:val="24"/>
          <w:highlight w:val="none"/>
        </w:rPr>
        <w:t>行为不免除或减轻承包人应承担的违约责任。</w:t>
      </w:r>
    </w:p>
    <w:p w14:paraId="05FF4AD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16.2.4因承包人违约解除合同后的处理</w:t>
      </w:r>
    </w:p>
    <w:p w14:paraId="12BF73D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因承包人原因导致合同解除的，则合同当事人应在合同解除后28天内完成估价、付款和清算，并按以下约定执行：</w:t>
      </w:r>
    </w:p>
    <w:p w14:paraId="2C181B4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（1）合同解除后，按第4.4款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商定或确定承包人实际完成工作对应的合同价款，以及承包人已提供的材料、工程设备、施工设备和临时工程等的价值；</w:t>
      </w:r>
    </w:p>
    <w:p w14:paraId="657A010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（2）合同解除后，承包人应支付的违约金；</w:t>
      </w:r>
    </w:p>
    <w:p w14:paraId="4219832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（3）合同解除后，因解除合同给发包人造成的损失；</w:t>
      </w:r>
    </w:p>
    <w:p w14:paraId="3B67624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（4）合同解除后，承包人应按照发包人要求和监理人的指示完成现场的清理和撤离；</w:t>
      </w:r>
    </w:p>
    <w:p w14:paraId="266536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（5）发包人和承包人应在合同解除后进行清算，出具最终结清付款证书，结清全部款项。</w:t>
      </w:r>
    </w:p>
    <w:p w14:paraId="2BEFF0C8">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因承包人违约解除合同的，</w:t>
      </w:r>
      <w:r>
        <w:rPr>
          <w:rFonts w:ascii="Times New Roman" w:hAnsi="Times New Roman"/>
          <w:color w:val="auto"/>
          <w:szCs w:val="24"/>
          <w:highlight w:val="none"/>
        </w:rPr>
        <w:t>发包人有权暂停对承包人的付款，查清各项付款和已扣款项。发包人和承包人未能就合同解除后的清算和款项支付达成一致的，按照第20条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的约定处理。</w:t>
      </w:r>
    </w:p>
    <w:p w14:paraId="2F84A40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16.2.5采购合同权益转让</w:t>
      </w:r>
    </w:p>
    <w:p w14:paraId="4962E8B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5F3FBBB9">
      <w:pPr>
        <w:keepNext/>
        <w:keepLines/>
        <w:spacing w:line="400" w:lineRule="exact"/>
        <w:outlineLvl w:val="2"/>
        <w:rPr>
          <w:rFonts w:ascii="Times New Roman" w:hAnsi="Times New Roman" w:eastAsia="黑体" w:cs="宋体"/>
          <w:b/>
          <w:color w:val="auto"/>
          <w:sz w:val="24"/>
          <w:szCs w:val="20"/>
          <w:highlight w:val="none"/>
        </w:rPr>
      </w:pPr>
      <w:bookmarkStart w:id="1394" w:name="_Toc351203606"/>
      <w:bookmarkStart w:id="1395" w:name="_Toc6520"/>
      <w:bookmarkStart w:id="1396" w:name="_Toc28532235"/>
      <w:r>
        <w:rPr>
          <w:rFonts w:ascii="Times New Roman" w:hAnsi="Times New Roman" w:eastAsia="黑体" w:cs="宋体"/>
          <w:b/>
          <w:color w:val="auto"/>
          <w:sz w:val="24"/>
          <w:szCs w:val="20"/>
          <w:highlight w:val="none"/>
        </w:rPr>
        <w:t>16.3 第三人造成的违约</w:t>
      </w:r>
      <w:bookmarkEnd w:id="1394"/>
      <w:bookmarkEnd w:id="1395"/>
      <w:bookmarkEnd w:id="1396"/>
    </w:p>
    <w:p w14:paraId="2831D9D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在履行合同过程中，一方当事人因第三人的原因造成违约的，应当向对方当事人承担违约责任。一方当事人和第三人之间的纠纷，依照法律规定或者按照约定解决。</w:t>
      </w:r>
    </w:p>
    <w:p w14:paraId="22BC7F93">
      <w:pPr>
        <w:keepNext/>
        <w:keepLines/>
        <w:spacing w:before="100" w:line="400" w:lineRule="exact"/>
        <w:outlineLvl w:val="1"/>
        <w:rPr>
          <w:rFonts w:ascii="Times New Roman" w:hAnsi="Times New Roman" w:eastAsia="黑体" w:cs="宋体"/>
          <w:b/>
          <w:color w:val="auto"/>
          <w:sz w:val="28"/>
          <w:szCs w:val="20"/>
          <w:highlight w:val="none"/>
        </w:rPr>
      </w:pPr>
      <w:bookmarkStart w:id="1397" w:name="_Toc28532236"/>
      <w:bookmarkStart w:id="1398" w:name="_Toc7753"/>
      <w:bookmarkStart w:id="1399" w:name="_Toc351203607"/>
      <w:bookmarkStart w:id="1400" w:name="_Toc296346617"/>
      <w:bookmarkStart w:id="1401" w:name="_Toc296503116"/>
      <w:bookmarkStart w:id="1402" w:name="_Toc337558823"/>
      <w:r>
        <w:rPr>
          <w:rFonts w:ascii="Times New Roman" w:hAnsi="Times New Roman" w:eastAsia="黑体" w:cs="宋体"/>
          <w:b/>
          <w:color w:val="auto"/>
          <w:sz w:val="28"/>
          <w:szCs w:val="20"/>
          <w:highlight w:val="none"/>
        </w:rPr>
        <w:t>17. 不可抗力</w:t>
      </w:r>
      <w:bookmarkEnd w:id="1397"/>
      <w:bookmarkEnd w:id="1398"/>
      <w:bookmarkEnd w:id="1399"/>
      <w:r>
        <w:rPr>
          <w:rFonts w:ascii="Times New Roman" w:hAnsi="Times New Roman" w:eastAsia="黑体" w:cs="宋体"/>
          <w:b/>
          <w:color w:val="auto"/>
          <w:sz w:val="28"/>
          <w:szCs w:val="20"/>
          <w:highlight w:val="none"/>
        </w:rPr>
        <w:t xml:space="preserve"> </w:t>
      </w:r>
      <w:bookmarkEnd w:id="1400"/>
      <w:bookmarkEnd w:id="1401"/>
      <w:bookmarkEnd w:id="1402"/>
    </w:p>
    <w:p w14:paraId="31ABDD24">
      <w:pPr>
        <w:keepNext/>
        <w:keepLines/>
        <w:spacing w:line="400" w:lineRule="exact"/>
        <w:outlineLvl w:val="2"/>
        <w:rPr>
          <w:rFonts w:ascii="Times New Roman" w:hAnsi="Times New Roman" w:eastAsia="黑体" w:cs="宋体"/>
          <w:b/>
          <w:color w:val="auto"/>
          <w:sz w:val="24"/>
          <w:szCs w:val="20"/>
          <w:highlight w:val="none"/>
        </w:rPr>
      </w:pPr>
      <w:bookmarkStart w:id="1403" w:name="_Toc11350"/>
      <w:bookmarkStart w:id="1404" w:name="_Toc351203608"/>
      <w:bookmarkStart w:id="1405" w:name="_Toc28532237"/>
      <w:bookmarkStart w:id="1406" w:name="_Toc296503117"/>
      <w:bookmarkStart w:id="1407" w:name="_Toc296346618"/>
      <w:bookmarkStart w:id="1408" w:name="_Toc337558824"/>
      <w:r>
        <w:rPr>
          <w:rFonts w:ascii="Times New Roman" w:hAnsi="Times New Roman" w:eastAsia="黑体" w:cs="宋体"/>
          <w:b/>
          <w:color w:val="auto"/>
          <w:sz w:val="24"/>
          <w:szCs w:val="20"/>
          <w:highlight w:val="none"/>
        </w:rPr>
        <w:t>17.1 不可抗力的确认</w:t>
      </w:r>
      <w:bookmarkEnd w:id="1403"/>
      <w:bookmarkEnd w:id="1404"/>
      <w:bookmarkEnd w:id="1405"/>
    </w:p>
    <w:bookmarkEnd w:id="1406"/>
    <w:bookmarkEnd w:id="1407"/>
    <w:bookmarkEnd w:id="1408"/>
    <w:p w14:paraId="349EC2D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179BC41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的约定处理。发生争议时，按第20条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的约定处理。</w:t>
      </w:r>
    </w:p>
    <w:p w14:paraId="3C6F16E4">
      <w:pPr>
        <w:keepNext/>
        <w:keepLines/>
        <w:spacing w:line="400" w:lineRule="exact"/>
        <w:outlineLvl w:val="2"/>
        <w:rPr>
          <w:rFonts w:ascii="Times New Roman" w:hAnsi="Times New Roman" w:eastAsia="黑体" w:cs="宋体"/>
          <w:b/>
          <w:color w:val="auto"/>
          <w:sz w:val="24"/>
          <w:szCs w:val="20"/>
          <w:highlight w:val="none"/>
        </w:rPr>
      </w:pPr>
      <w:bookmarkStart w:id="1409" w:name="_Toc28532238"/>
      <w:bookmarkStart w:id="1410" w:name="_Toc351203609"/>
      <w:bookmarkStart w:id="1411" w:name="_Toc30174"/>
      <w:bookmarkStart w:id="1412" w:name="_Toc296346619"/>
      <w:bookmarkStart w:id="1413" w:name="_Toc296503118"/>
      <w:bookmarkStart w:id="1414" w:name="_Toc337558825"/>
      <w:r>
        <w:rPr>
          <w:rFonts w:ascii="Times New Roman" w:hAnsi="Times New Roman" w:eastAsia="黑体" w:cs="宋体"/>
          <w:b/>
          <w:color w:val="auto"/>
          <w:sz w:val="24"/>
          <w:szCs w:val="20"/>
          <w:highlight w:val="none"/>
        </w:rPr>
        <w:t>17.2 不可抗力的通知</w:t>
      </w:r>
      <w:bookmarkEnd w:id="1409"/>
      <w:bookmarkEnd w:id="1410"/>
      <w:bookmarkEnd w:id="1411"/>
    </w:p>
    <w:bookmarkEnd w:id="1412"/>
    <w:bookmarkEnd w:id="1413"/>
    <w:bookmarkEnd w:id="1414"/>
    <w:p w14:paraId="5BD1B5B3">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合同</w:t>
      </w:r>
      <w:r>
        <w:rPr>
          <w:rFonts w:ascii="Times New Roman" w:hAnsi="Times New Roman"/>
          <w:color w:val="auto"/>
          <w:szCs w:val="24"/>
          <w:highlight w:val="none"/>
        </w:rPr>
        <w:t>一方当事人遇到不可抗力事件，使其履行合同义务受到阻碍时，应立即通知合同另一方当事人和监理人，书面说明不可抗力和受阻碍的详细情况，并提供必要的证明。</w:t>
      </w:r>
    </w:p>
    <w:p w14:paraId="29C9F6C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554909C8">
      <w:pPr>
        <w:keepNext/>
        <w:keepLines/>
        <w:spacing w:line="400" w:lineRule="exact"/>
        <w:outlineLvl w:val="2"/>
        <w:rPr>
          <w:rFonts w:ascii="Times New Roman" w:hAnsi="Times New Roman" w:eastAsia="黑体" w:cs="宋体"/>
          <w:b/>
          <w:color w:val="auto"/>
          <w:sz w:val="24"/>
          <w:szCs w:val="20"/>
          <w:highlight w:val="none"/>
        </w:rPr>
      </w:pPr>
      <w:bookmarkStart w:id="1415" w:name="_Toc8877"/>
      <w:bookmarkStart w:id="1416" w:name="_Toc28532239"/>
      <w:bookmarkStart w:id="1417" w:name="_Toc351203610"/>
      <w:bookmarkStart w:id="1418" w:name="_Toc296346620"/>
      <w:bookmarkStart w:id="1419" w:name="_Toc337558826"/>
      <w:bookmarkStart w:id="1420" w:name="_Toc296503119"/>
      <w:r>
        <w:rPr>
          <w:rFonts w:ascii="Times New Roman" w:hAnsi="Times New Roman" w:eastAsia="黑体" w:cs="宋体"/>
          <w:b/>
          <w:color w:val="auto"/>
          <w:sz w:val="24"/>
          <w:szCs w:val="20"/>
          <w:highlight w:val="none"/>
        </w:rPr>
        <w:t>17.3 不可抗力后果的承担</w:t>
      </w:r>
      <w:bookmarkEnd w:id="1415"/>
      <w:bookmarkEnd w:id="1416"/>
      <w:bookmarkEnd w:id="1417"/>
    </w:p>
    <w:bookmarkEnd w:id="1418"/>
    <w:bookmarkEnd w:id="1419"/>
    <w:bookmarkEnd w:id="1420"/>
    <w:p w14:paraId="0D8C105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17.3.1 </w:t>
      </w:r>
      <w:r>
        <w:rPr>
          <w:rFonts w:hint="eastAsia" w:ascii="Times New Roman" w:hAnsi="Times New Roman"/>
          <w:color w:val="auto"/>
          <w:szCs w:val="24"/>
          <w:highlight w:val="none"/>
        </w:rPr>
        <w:t>不可抗力引起的后果及造成的损失由合同当事人按照法律规定及合同约定各自承担。</w:t>
      </w:r>
      <w:r>
        <w:rPr>
          <w:rFonts w:ascii="Times New Roman" w:hAnsi="Times New Roman"/>
          <w:color w:val="auto"/>
          <w:szCs w:val="24"/>
          <w:highlight w:val="none"/>
        </w:rPr>
        <w:t>不可抗力发生前已完</w:t>
      </w:r>
      <w:r>
        <w:rPr>
          <w:rFonts w:hint="eastAsia" w:ascii="Times New Roman" w:hAnsi="Times New Roman"/>
          <w:color w:val="auto"/>
          <w:szCs w:val="24"/>
          <w:highlight w:val="none"/>
        </w:rPr>
        <w:t>成的</w:t>
      </w:r>
      <w:r>
        <w:rPr>
          <w:rFonts w:ascii="Times New Roman" w:hAnsi="Times New Roman"/>
          <w:color w:val="auto"/>
          <w:szCs w:val="24"/>
          <w:highlight w:val="none"/>
        </w:rPr>
        <w:t>工程应当按照合同约定进行计量</w:t>
      </w:r>
      <w:r>
        <w:rPr>
          <w:rFonts w:hint="eastAsia" w:ascii="Times New Roman" w:hAnsi="Times New Roman"/>
          <w:color w:val="auto"/>
          <w:szCs w:val="24"/>
          <w:highlight w:val="none"/>
        </w:rPr>
        <w:t>支付</w:t>
      </w:r>
      <w:r>
        <w:rPr>
          <w:rFonts w:ascii="Times New Roman" w:hAnsi="Times New Roman"/>
          <w:color w:val="auto"/>
          <w:szCs w:val="24"/>
          <w:highlight w:val="none"/>
        </w:rPr>
        <w:t>。</w:t>
      </w:r>
    </w:p>
    <w:p w14:paraId="2A745B4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17.3.2 不可抗力导致的人员伤亡、财产损失、费用增加和（或）工期延误等后果，由合同当事人按以下原则承担：</w:t>
      </w:r>
    </w:p>
    <w:p w14:paraId="543B3AE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（1）永久工程、已运至施工现场的材料和工程设备的损坏，以及因工程损坏造成的第三人人员伤亡和财产损失由发包人承担；</w:t>
      </w:r>
    </w:p>
    <w:p w14:paraId="690A7F6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（2）承包人施工设备的损坏由承包人承担；</w:t>
      </w:r>
    </w:p>
    <w:p w14:paraId="0F1677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（3）发包人和承包人承担各自人员伤亡和财产的损失；</w:t>
      </w:r>
    </w:p>
    <w:p w14:paraId="4A3EACC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721F49D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（5）因不可抗力引起或将引起工期延误，发包人要求赶工的，由此增加的赶工费用由发包人承担；</w:t>
      </w:r>
    </w:p>
    <w:p w14:paraId="1078044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（6）承包人在停工期间按照发包人要求照管、清理和修复工程的费用由发包人承担。</w:t>
      </w:r>
    </w:p>
    <w:p w14:paraId="5B4FC3E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不可抗力发生后，合同当事人均应采取措施尽量避免和减少损失的扩大，任何一方当事人没有采取有效措施导致损失扩大的，应对扩大的损失承担责任。</w:t>
      </w:r>
    </w:p>
    <w:p w14:paraId="293C194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因合同一方迟延履行合同义务，在迟延履行期间遭遇不可抗力的，不免除其违约责任。</w:t>
      </w:r>
    </w:p>
    <w:p w14:paraId="77195BC9">
      <w:pPr>
        <w:keepNext/>
        <w:keepLines/>
        <w:spacing w:line="400" w:lineRule="exact"/>
        <w:outlineLvl w:val="2"/>
        <w:rPr>
          <w:rFonts w:ascii="Times New Roman" w:hAnsi="Times New Roman" w:eastAsia="黑体" w:cs="宋体"/>
          <w:color w:val="auto"/>
          <w:sz w:val="24"/>
          <w:szCs w:val="20"/>
          <w:highlight w:val="none"/>
        </w:rPr>
      </w:pPr>
      <w:bookmarkStart w:id="1421" w:name="_Toc28532240"/>
      <w:bookmarkStart w:id="1422" w:name="_Toc4801"/>
      <w:bookmarkStart w:id="1423" w:name="_Toc351203611"/>
      <w:bookmarkStart w:id="1424" w:name="_Toc337558827"/>
      <w:r>
        <w:rPr>
          <w:rFonts w:ascii="Times New Roman" w:hAnsi="Times New Roman" w:eastAsia="黑体" w:cs="宋体"/>
          <w:b/>
          <w:color w:val="auto"/>
          <w:sz w:val="24"/>
          <w:szCs w:val="20"/>
          <w:highlight w:val="none"/>
        </w:rPr>
        <w:t>17.4 因不可抗力解除合同</w:t>
      </w:r>
      <w:bookmarkEnd w:id="1421"/>
      <w:bookmarkEnd w:id="1422"/>
      <w:bookmarkEnd w:id="1423"/>
    </w:p>
    <w:bookmarkEnd w:id="1424"/>
    <w:p w14:paraId="2124DAB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因不可抗力导致合同无法履行连续超过84天或累计超过140天的，发包人和承包人均有权解除合同。合同解除后，由双方当事人按照第4.4款</w:t>
      </w:r>
      <w:r>
        <w:rPr>
          <w:rFonts w:hint="eastAsia" w:ascii="Times New Roman" w:hAnsi="Times New Roman"/>
          <w:color w:val="auto"/>
          <w:szCs w:val="24"/>
          <w:highlight w:val="none"/>
        </w:rPr>
        <w:t>〔</w:t>
      </w:r>
      <w:r>
        <w:rPr>
          <w:rFonts w:ascii="Times New Roman" w:hAnsi="Times New Roman"/>
          <w:color w:val="auto"/>
          <w:szCs w:val="24"/>
          <w:highlight w:val="none"/>
        </w:rPr>
        <w:t>商定或确定</w:t>
      </w:r>
      <w:r>
        <w:rPr>
          <w:rFonts w:hint="eastAsia" w:ascii="Times New Roman" w:hAnsi="Times New Roman"/>
          <w:color w:val="auto"/>
          <w:szCs w:val="24"/>
          <w:highlight w:val="none"/>
        </w:rPr>
        <w:t>〕</w:t>
      </w:r>
      <w:r>
        <w:rPr>
          <w:rFonts w:ascii="Times New Roman" w:hAnsi="Times New Roman"/>
          <w:color w:val="auto"/>
          <w:szCs w:val="24"/>
          <w:highlight w:val="none"/>
        </w:rPr>
        <w:t>商定或确定发包人应支付的款项，该款项包括：</w:t>
      </w:r>
    </w:p>
    <w:p w14:paraId="6F3EBF5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（1）合同解除前承包人已完成工作的价款；</w:t>
      </w:r>
    </w:p>
    <w:p w14:paraId="4D4952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（2）承包人为工程订购的并已交付给承包人，或承包人有责任接受交付的材料、工程设备和其他物品的价款；</w:t>
      </w:r>
    </w:p>
    <w:p w14:paraId="6E81097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（3）发包人要求承包人退货或解除订货合同而产生的费用，或因不能退货或解除合同而产生的损失；</w:t>
      </w:r>
    </w:p>
    <w:p w14:paraId="7295077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（4）承包人撤离施工现场以及遣散承包人人员的费用；</w:t>
      </w:r>
    </w:p>
    <w:p w14:paraId="277B041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（5）按照合同约定在合同解除前应支付给承包人的其他款项；</w:t>
      </w:r>
    </w:p>
    <w:p w14:paraId="485744B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（6）扣减承包人按照合同约定应向发包人支付的款项；</w:t>
      </w:r>
    </w:p>
    <w:p w14:paraId="50158CD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（7）双方商定或确定的其他款项。</w:t>
      </w:r>
    </w:p>
    <w:p w14:paraId="3BE596A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除专用合同条款另有约定外，合同解除后，发包人应在商定或确定上述款项后28天内完成上述款项的支付。</w:t>
      </w:r>
    </w:p>
    <w:p w14:paraId="2A5D5EAC">
      <w:pPr>
        <w:keepNext/>
        <w:keepLines/>
        <w:spacing w:before="100" w:line="400" w:lineRule="exact"/>
        <w:outlineLvl w:val="1"/>
        <w:rPr>
          <w:rFonts w:ascii="Times New Roman" w:hAnsi="Times New Roman" w:eastAsia="黑体" w:cs="宋体"/>
          <w:b/>
          <w:color w:val="auto"/>
          <w:sz w:val="28"/>
          <w:szCs w:val="20"/>
          <w:highlight w:val="none"/>
        </w:rPr>
      </w:pPr>
      <w:bookmarkStart w:id="1425" w:name="_Toc351203612"/>
      <w:bookmarkStart w:id="1426" w:name="_Toc26351"/>
      <w:bookmarkStart w:id="1427" w:name="_Toc28532241"/>
      <w:bookmarkStart w:id="1428" w:name="_Toc296503120"/>
      <w:bookmarkStart w:id="1429" w:name="_Toc337558828"/>
      <w:bookmarkStart w:id="1430" w:name="_Toc296346621"/>
      <w:r>
        <w:rPr>
          <w:rFonts w:ascii="Times New Roman" w:hAnsi="Times New Roman" w:eastAsia="黑体" w:cs="宋体"/>
          <w:b/>
          <w:color w:val="auto"/>
          <w:sz w:val="28"/>
          <w:szCs w:val="20"/>
          <w:highlight w:val="none"/>
        </w:rPr>
        <w:t>18. 保险</w:t>
      </w:r>
      <w:bookmarkEnd w:id="1425"/>
      <w:bookmarkEnd w:id="1426"/>
      <w:bookmarkEnd w:id="1427"/>
    </w:p>
    <w:bookmarkEnd w:id="1428"/>
    <w:bookmarkEnd w:id="1429"/>
    <w:bookmarkEnd w:id="1430"/>
    <w:p w14:paraId="0B73F7F6">
      <w:pPr>
        <w:keepNext/>
        <w:keepLines/>
        <w:spacing w:line="400" w:lineRule="exact"/>
        <w:outlineLvl w:val="2"/>
        <w:rPr>
          <w:rFonts w:ascii="Times New Roman" w:hAnsi="Times New Roman" w:eastAsia="黑体" w:cs="宋体"/>
          <w:b/>
          <w:color w:val="auto"/>
          <w:sz w:val="24"/>
          <w:szCs w:val="20"/>
          <w:highlight w:val="none"/>
        </w:rPr>
      </w:pPr>
      <w:bookmarkStart w:id="1431" w:name="_Toc9552"/>
      <w:bookmarkStart w:id="1432" w:name="_Toc28532242"/>
      <w:bookmarkStart w:id="1433" w:name="_Toc351203613"/>
      <w:bookmarkStart w:id="1434" w:name="_Toc296503121"/>
      <w:bookmarkStart w:id="1435" w:name="_Toc296346622"/>
      <w:bookmarkStart w:id="1436" w:name="_Toc337558829"/>
      <w:r>
        <w:rPr>
          <w:rFonts w:ascii="Times New Roman" w:hAnsi="Times New Roman" w:eastAsia="黑体" w:cs="宋体"/>
          <w:b/>
          <w:color w:val="auto"/>
          <w:sz w:val="24"/>
          <w:szCs w:val="20"/>
          <w:highlight w:val="none"/>
        </w:rPr>
        <w:t>18.1 工程保险</w:t>
      </w:r>
      <w:bookmarkEnd w:id="1431"/>
      <w:bookmarkEnd w:id="1432"/>
      <w:bookmarkEnd w:id="1433"/>
    </w:p>
    <w:bookmarkEnd w:id="1434"/>
    <w:bookmarkEnd w:id="1435"/>
    <w:bookmarkEnd w:id="1436"/>
    <w:p w14:paraId="449C156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除专用合同条款另有约定外，发包人应投保建筑工程一切险或安装工程一切险；发包人委托承包人投保的，因投保产生的保险费和其他相关费用由发包人承担。</w:t>
      </w:r>
    </w:p>
    <w:p w14:paraId="0FE0B598">
      <w:pPr>
        <w:keepNext/>
        <w:keepLines/>
        <w:spacing w:line="400" w:lineRule="exact"/>
        <w:outlineLvl w:val="2"/>
        <w:rPr>
          <w:rFonts w:ascii="Times New Roman" w:hAnsi="Times New Roman" w:eastAsia="黑体" w:cs="宋体"/>
          <w:b/>
          <w:color w:val="auto"/>
          <w:sz w:val="24"/>
          <w:szCs w:val="20"/>
          <w:highlight w:val="none"/>
        </w:rPr>
      </w:pPr>
      <w:bookmarkStart w:id="1437" w:name="_Toc221"/>
      <w:bookmarkStart w:id="1438" w:name="_Toc351203614"/>
      <w:bookmarkStart w:id="1439" w:name="_Toc28532243"/>
      <w:bookmarkStart w:id="1440" w:name="_Toc337558830"/>
      <w:bookmarkStart w:id="1441" w:name="_Toc296503122"/>
      <w:bookmarkStart w:id="1442" w:name="_Toc296346623"/>
      <w:r>
        <w:rPr>
          <w:rFonts w:ascii="Times New Roman" w:hAnsi="Times New Roman" w:eastAsia="黑体" w:cs="宋体"/>
          <w:b/>
          <w:color w:val="auto"/>
          <w:sz w:val="24"/>
          <w:szCs w:val="20"/>
          <w:highlight w:val="none"/>
        </w:rPr>
        <w:t>18.2 工伤保险</w:t>
      </w:r>
      <w:bookmarkEnd w:id="1437"/>
      <w:bookmarkEnd w:id="1438"/>
      <w:bookmarkEnd w:id="1439"/>
    </w:p>
    <w:bookmarkEnd w:id="1440"/>
    <w:bookmarkEnd w:id="1441"/>
    <w:bookmarkEnd w:id="1442"/>
    <w:p w14:paraId="5C83B34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18.2.1 发包人应依照法律规定参加工伤保险，并为在施工现场的全部员工办理工伤保险，缴纳工伤保险费，并要求监理人及由发包人为履行合同聘请的第三方依法参加工伤保险。</w:t>
      </w:r>
    </w:p>
    <w:p w14:paraId="722D640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18.2.2 承包人应依照法律规定参加工伤保险，并为其履行合同的全部员工办理工伤保险，缴纳工伤保险费，并要求分包人及由承包人为履行合同聘请的第三方依法参加工伤保险。</w:t>
      </w:r>
    </w:p>
    <w:p w14:paraId="1AD79AF0">
      <w:pPr>
        <w:keepNext/>
        <w:keepLines/>
        <w:spacing w:line="400" w:lineRule="exact"/>
        <w:outlineLvl w:val="2"/>
        <w:rPr>
          <w:rFonts w:ascii="Times New Roman" w:hAnsi="Times New Roman" w:eastAsia="黑体" w:cs="宋体"/>
          <w:b/>
          <w:color w:val="auto"/>
          <w:sz w:val="24"/>
          <w:szCs w:val="20"/>
          <w:highlight w:val="none"/>
        </w:rPr>
      </w:pPr>
      <w:bookmarkStart w:id="1443" w:name="_Toc5082"/>
      <w:bookmarkStart w:id="1444" w:name="_Toc351203615"/>
      <w:bookmarkStart w:id="1445" w:name="_Toc28532244"/>
      <w:bookmarkStart w:id="1446" w:name="_Toc296503125"/>
      <w:bookmarkStart w:id="1447" w:name="_Toc296346626"/>
      <w:bookmarkStart w:id="1448" w:name="_Toc337558831"/>
      <w:r>
        <w:rPr>
          <w:rFonts w:ascii="Times New Roman" w:hAnsi="Times New Roman" w:eastAsia="黑体" w:cs="宋体"/>
          <w:b/>
          <w:color w:val="auto"/>
          <w:sz w:val="24"/>
          <w:szCs w:val="20"/>
          <w:highlight w:val="none"/>
        </w:rPr>
        <w:t>18.3其他保险</w:t>
      </w:r>
      <w:bookmarkEnd w:id="1443"/>
      <w:bookmarkEnd w:id="1444"/>
      <w:bookmarkEnd w:id="1445"/>
    </w:p>
    <w:bookmarkEnd w:id="1446"/>
    <w:bookmarkEnd w:id="1447"/>
    <w:bookmarkEnd w:id="1448"/>
    <w:p w14:paraId="29D6CBD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发包人和承包人可以为其施工现场的全部人员办理意外伤害保险并支付保险费，包括其员工及为履行合同聘请的第三方的人员，具体事项由合同当事人在专用合同条款约定。</w:t>
      </w:r>
    </w:p>
    <w:p w14:paraId="23AC326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除专用合同条款另有约定外，承包人应为其施工设备等办理财产保险。</w:t>
      </w:r>
    </w:p>
    <w:p w14:paraId="794A8E2F">
      <w:pPr>
        <w:keepNext/>
        <w:keepLines/>
        <w:spacing w:line="400" w:lineRule="exact"/>
        <w:outlineLvl w:val="2"/>
        <w:rPr>
          <w:rFonts w:ascii="Times New Roman" w:hAnsi="Times New Roman" w:eastAsia="黑体" w:cs="宋体"/>
          <w:b/>
          <w:color w:val="auto"/>
          <w:sz w:val="24"/>
          <w:szCs w:val="20"/>
          <w:highlight w:val="none"/>
        </w:rPr>
      </w:pPr>
      <w:bookmarkStart w:id="1449" w:name="_Toc28532245"/>
      <w:bookmarkStart w:id="1450" w:name="_Toc351203616"/>
      <w:bookmarkStart w:id="1451" w:name="_Toc27877"/>
      <w:r>
        <w:rPr>
          <w:rFonts w:ascii="Times New Roman" w:hAnsi="Times New Roman" w:eastAsia="黑体" w:cs="宋体"/>
          <w:b/>
          <w:color w:val="auto"/>
          <w:sz w:val="24"/>
          <w:szCs w:val="20"/>
          <w:highlight w:val="none"/>
        </w:rPr>
        <w:t>18.4持续保险</w:t>
      </w:r>
      <w:bookmarkEnd w:id="1449"/>
      <w:bookmarkEnd w:id="1450"/>
      <w:bookmarkEnd w:id="1451"/>
    </w:p>
    <w:p w14:paraId="0D71547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合同当事人应与保险人保持联系，使保险人能够随时了解工程实施中的变动，并确保按保险合同条款要求持续保险。</w:t>
      </w:r>
    </w:p>
    <w:p w14:paraId="41FE94AF">
      <w:pPr>
        <w:keepNext/>
        <w:keepLines/>
        <w:spacing w:line="400" w:lineRule="exact"/>
        <w:outlineLvl w:val="2"/>
        <w:rPr>
          <w:rFonts w:ascii="Times New Roman" w:hAnsi="Times New Roman" w:eastAsia="黑体" w:cs="宋体"/>
          <w:b/>
          <w:color w:val="auto"/>
          <w:sz w:val="24"/>
          <w:szCs w:val="20"/>
          <w:highlight w:val="none"/>
        </w:rPr>
      </w:pPr>
      <w:bookmarkStart w:id="1452" w:name="_Toc25321"/>
      <w:bookmarkStart w:id="1453" w:name="_Toc351203617"/>
      <w:bookmarkStart w:id="1454" w:name="_Toc28532246"/>
      <w:bookmarkStart w:id="1455" w:name="_Toc337558832"/>
      <w:bookmarkStart w:id="1456" w:name="_Toc296503126"/>
      <w:bookmarkStart w:id="1457" w:name="_Toc296346627"/>
      <w:r>
        <w:rPr>
          <w:rFonts w:ascii="Times New Roman" w:hAnsi="Times New Roman" w:eastAsia="黑体" w:cs="宋体"/>
          <w:b/>
          <w:color w:val="auto"/>
          <w:sz w:val="24"/>
          <w:szCs w:val="20"/>
          <w:highlight w:val="none"/>
        </w:rPr>
        <w:t>18.5 保险凭证</w:t>
      </w:r>
      <w:bookmarkEnd w:id="1452"/>
      <w:bookmarkEnd w:id="1453"/>
      <w:bookmarkEnd w:id="1454"/>
    </w:p>
    <w:bookmarkEnd w:id="1455"/>
    <w:bookmarkEnd w:id="1456"/>
    <w:bookmarkEnd w:id="1457"/>
    <w:p w14:paraId="1C46C00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合同当事人应及时向另一方当事人提交其已投保的各项保险的凭证和保险单复印件。</w:t>
      </w:r>
    </w:p>
    <w:p w14:paraId="35EEFFBA">
      <w:pPr>
        <w:keepNext/>
        <w:keepLines/>
        <w:spacing w:line="400" w:lineRule="exact"/>
        <w:outlineLvl w:val="2"/>
        <w:rPr>
          <w:rFonts w:ascii="Times New Roman" w:hAnsi="Times New Roman" w:eastAsia="黑体" w:cs="宋体"/>
          <w:b/>
          <w:color w:val="auto"/>
          <w:sz w:val="24"/>
          <w:szCs w:val="20"/>
          <w:highlight w:val="none"/>
        </w:rPr>
      </w:pPr>
      <w:bookmarkStart w:id="1458" w:name="_Toc6115"/>
      <w:bookmarkStart w:id="1459" w:name="_Toc351203618"/>
      <w:bookmarkStart w:id="1460" w:name="_Toc28532247"/>
      <w:bookmarkStart w:id="1461" w:name="_Toc296503127"/>
      <w:bookmarkStart w:id="1462" w:name="_Toc337558833"/>
      <w:bookmarkStart w:id="1463" w:name="_Toc296346628"/>
      <w:r>
        <w:rPr>
          <w:rFonts w:ascii="Times New Roman" w:hAnsi="Times New Roman" w:eastAsia="黑体" w:cs="宋体"/>
          <w:b/>
          <w:color w:val="auto"/>
          <w:sz w:val="24"/>
          <w:szCs w:val="20"/>
          <w:highlight w:val="none"/>
        </w:rPr>
        <w:t>18.6 未按约定投保的补救</w:t>
      </w:r>
      <w:bookmarkEnd w:id="1458"/>
      <w:bookmarkEnd w:id="1459"/>
      <w:bookmarkEnd w:id="1460"/>
    </w:p>
    <w:bookmarkEnd w:id="1461"/>
    <w:bookmarkEnd w:id="1462"/>
    <w:bookmarkEnd w:id="1463"/>
    <w:p w14:paraId="59B1FE1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18.6.1发包人未按合同约定办理保险，或未能使保险持续有效的，则承包人可代为办理，所需费用由发包人承担。发包人未按合同约定办理保险，导致未能得到足额赔偿的，由发包人负责补足。</w:t>
      </w:r>
    </w:p>
    <w:p w14:paraId="09B55D91">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18.6.2承包人未按合同约定办理保险，或未能使保险持续有效的，则发包人可代为办理，所需费用由承包人承担。承包人未按合同约定办理保险，导致未能得到足额赔偿的，由承包人负责补足。</w:t>
      </w:r>
    </w:p>
    <w:p w14:paraId="181EF0E2">
      <w:pPr>
        <w:keepNext/>
        <w:keepLines/>
        <w:spacing w:line="400" w:lineRule="exact"/>
        <w:outlineLvl w:val="2"/>
        <w:rPr>
          <w:rFonts w:ascii="Times New Roman" w:hAnsi="Times New Roman" w:eastAsia="黑体" w:cs="宋体"/>
          <w:b/>
          <w:color w:val="auto"/>
          <w:sz w:val="24"/>
          <w:szCs w:val="20"/>
          <w:highlight w:val="none"/>
        </w:rPr>
      </w:pPr>
      <w:bookmarkStart w:id="1464" w:name="_Toc28532248"/>
      <w:bookmarkStart w:id="1465" w:name="_Toc9366"/>
      <w:bookmarkStart w:id="1466" w:name="_Toc351203619"/>
      <w:bookmarkStart w:id="1467" w:name="_Toc337558834"/>
      <w:r>
        <w:rPr>
          <w:rFonts w:ascii="Times New Roman" w:hAnsi="Times New Roman" w:eastAsia="黑体" w:cs="宋体"/>
          <w:b/>
          <w:color w:val="auto"/>
          <w:sz w:val="24"/>
          <w:szCs w:val="20"/>
          <w:highlight w:val="none"/>
        </w:rPr>
        <w:t>18.7 通知义务</w:t>
      </w:r>
      <w:bookmarkEnd w:id="1464"/>
      <w:bookmarkEnd w:id="1465"/>
      <w:bookmarkEnd w:id="1466"/>
    </w:p>
    <w:bookmarkEnd w:id="1467"/>
    <w:p w14:paraId="2CFC395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62F9BEC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保险事故发生时，投保人应按照保险合同规定的条件和期限及时向保险人报告。发包人和承包人应当在知道保险事故发生后及时通知对方。</w:t>
      </w:r>
    </w:p>
    <w:p w14:paraId="272259D3">
      <w:pPr>
        <w:keepNext/>
        <w:keepLines/>
        <w:spacing w:before="100" w:line="400" w:lineRule="exact"/>
        <w:outlineLvl w:val="1"/>
        <w:rPr>
          <w:rFonts w:ascii="Times New Roman" w:hAnsi="Times New Roman" w:eastAsia="黑体" w:cs="宋体"/>
          <w:b/>
          <w:color w:val="auto"/>
          <w:sz w:val="28"/>
          <w:szCs w:val="20"/>
          <w:highlight w:val="none"/>
        </w:rPr>
      </w:pPr>
      <w:bookmarkStart w:id="1468" w:name="_Toc28532249"/>
      <w:bookmarkStart w:id="1469" w:name="_Toc27014"/>
      <w:bookmarkStart w:id="1470" w:name="_Toc351203620"/>
      <w:bookmarkStart w:id="1471" w:name="_Toc296503140"/>
      <w:bookmarkStart w:id="1472" w:name="_Toc337558835"/>
      <w:bookmarkStart w:id="1473" w:name="_Toc296346641"/>
      <w:r>
        <w:rPr>
          <w:rFonts w:ascii="Times New Roman" w:hAnsi="Times New Roman" w:eastAsia="黑体" w:cs="宋体"/>
          <w:b/>
          <w:color w:val="auto"/>
          <w:sz w:val="28"/>
          <w:szCs w:val="20"/>
          <w:highlight w:val="none"/>
        </w:rPr>
        <w:t>19. 索赔</w:t>
      </w:r>
      <w:bookmarkEnd w:id="1468"/>
      <w:bookmarkEnd w:id="1469"/>
      <w:bookmarkEnd w:id="1470"/>
    </w:p>
    <w:bookmarkEnd w:id="1471"/>
    <w:bookmarkEnd w:id="1472"/>
    <w:bookmarkEnd w:id="1473"/>
    <w:p w14:paraId="03155094">
      <w:pPr>
        <w:keepNext/>
        <w:keepLines/>
        <w:spacing w:line="400" w:lineRule="exact"/>
        <w:outlineLvl w:val="2"/>
        <w:rPr>
          <w:rFonts w:ascii="Times New Roman" w:hAnsi="Times New Roman" w:eastAsia="黑体" w:cs="宋体"/>
          <w:b/>
          <w:color w:val="auto"/>
          <w:sz w:val="24"/>
          <w:szCs w:val="20"/>
          <w:highlight w:val="none"/>
        </w:rPr>
      </w:pPr>
      <w:bookmarkStart w:id="1474" w:name="_Toc28532250"/>
      <w:bookmarkStart w:id="1475" w:name="_Toc20431"/>
      <w:bookmarkStart w:id="1476" w:name="_Toc351203621"/>
      <w:bookmarkStart w:id="1477" w:name="_Toc337558836"/>
      <w:bookmarkStart w:id="1478" w:name="_Toc296503141"/>
      <w:bookmarkStart w:id="1479" w:name="_Toc296346642"/>
      <w:r>
        <w:rPr>
          <w:rFonts w:ascii="Times New Roman" w:hAnsi="Times New Roman" w:eastAsia="黑体" w:cs="宋体"/>
          <w:b/>
          <w:color w:val="auto"/>
          <w:sz w:val="24"/>
          <w:szCs w:val="20"/>
          <w:highlight w:val="none"/>
        </w:rPr>
        <w:t>19.1承包人的索赔</w:t>
      </w:r>
      <w:bookmarkEnd w:id="1474"/>
      <w:bookmarkEnd w:id="1475"/>
      <w:bookmarkEnd w:id="1476"/>
    </w:p>
    <w:bookmarkEnd w:id="1477"/>
    <w:bookmarkEnd w:id="1478"/>
    <w:bookmarkEnd w:id="1479"/>
    <w:p w14:paraId="58DB4AC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根据合同约定，承包人认为有权得到追加付款和（或）延长工期的，应按以下程序向</w:t>
      </w:r>
      <w:r>
        <w:rPr>
          <w:rFonts w:hint="eastAsia" w:ascii="Times New Roman" w:hAnsi="Times New Roman"/>
          <w:color w:val="auto"/>
          <w:szCs w:val="24"/>
          <w:highlight w:val="none"/>
        </w:rPr>
        <w:t>发包</w:t>
      </w:r>
      <w:r>
        <w:rPr>
          <w:rFonts w:ascii="Times New Roman" w:hAnsi="Times New Roman"/>
          <w:color w:val="auto"/>
          <w:szCs w:val="24"/>
          <w:highlight w:val="none"/>
        </w:rPr>
        <w:t>人提出索赔：</w:t>
      </w:r>
    </w:p>
    <w:p w14:paraId="1F6A300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127A05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（2）承包人应在发出索赔意向通知书后28天内，向监理人正式递交索赔报告；索赔报告应详细说明索赔理由以及要求追加的付款金额和（或）延长的工期，并附必要的记录和证明材料；</w:t>
      </w:r>
    </w:p>
    <w:p w14:paraId="61113DD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（3）索赔事件具有持续影响的，承包人应按合理时间间隔继续递交延续索赔通知，说明持续影响的实际情况和记录，列出累计的追加付款金额和（或）工期延长天数；</w:t>
      </w:r>
    </w:p>
    <w:p w14:paraId="0F5E72EE">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（4）在索赔事件影响结束后28天内，承包人应向监理人递交最终索赔报告，说明最终要求索赔的追加付款金额和（或）延长的工期，并附必要的记录和证明材料。</w:t>
      </w:r>
    </w:p>
    <w:p w14:paraId="17C10654">
      <w:pPr>
        <w:keepNext/>
        <w:keepLines/>
        <w:spacing w:line="400" w:lineRule="exact"/>
        <w:outlineLvl w:val="2"/>
        <w:rPr>
          <w:rFonts w:ascii="Times New Roman" w:hAnsi="Times New Roman" w:eastAsia="黑体" w:cs="宋体"/>
          <w:b/>
          <w:color w:val="auto"/>
          <w:sz w:val="24"/>
          <w:szCs w:val="20"/>
          <w:highlight w:val="none"/>
        </w:rPr>
      </w:pPr>
      <w:bookmarkStart w:id="1480" w:name="_Toc28532251"/>
      <w:bookmarkStart w:id="1481" w:name="_Toc351203622"/>
      <w:bookmarkStart w:id="1482" w:name="_Toc23322"/>
      <w:bookmarkStart w:id="1483" w:name="_Toc296503142"/>
      <w:bookmarkStart w:id="1484" w:name="_Toc337558837"/>
      <w:bookmarkStart w:id="1485" w:name="_Toc296346643"/>
      <w:r>
        <w:rPr>
          <w:rFonts w:ascii="Times New Roman" w:hAnsi="Times New Roman" w:eastAsia="黑体" w:cs="宋体"/>
          <w:b/>
          <w:color w:val="auto"/>
          <w:sz w:val="24"/>
          <w:szCs w:val="20"/>
          <w:highlight w:val="none"/>
        </w:rPr>
        <w:t>19.2 对承包人索赔的处理</w:t>
      </w:r>
      <w:bookmarkEnd w:id="1480"/>
      <w:bookmarkEnd w:id="1481"/>
      <w:bookmarkEnd w:id="1482"/>
    </w:p>
    <w:bookmarkEnd w:id="1483"/>
    <w:bookmarkEnd w:id="1484"/>
    <w:bookmarkEnd w:id="1485"/>
    <w:p w14:paraId="69C4E2E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对承包人索赔的处理如下：</w:t>
      </w:r>
    </w:p>
    <w:p w14:paraId="7165D8A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（1）监理人应在收到索赔报告后14天内完成审查并报送发包人。监理人对索赔报告存在异议的，有权要求承包人提交全部原始记录副本；</w:t>
      </w:r>
    </w:p>
    <w:p w14:paraId="029D47C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（2）发包人应在监理人收到索赔报告或有关索赔的进一步证明材料后的28天内，由监理人向承包人出具经发包人签认的索赔处理结果。发包人逾期答复的，则视为认可承包人的索赔要求；</w:t>
      </w:r>
    </w:p>
    <w:p w14:paraId="4B940DF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（3）承包人接受索赔处理结果的，索赔款项在当期进度款中进行支付；承包人不接受索赔处理结果的，按照第20条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约定处理。</w:t>
      </w:r>
    </w:p>
    <w:p w14:paraId="064FA366">
      <w:pPr>
        <w:keepNext/>
        <w:keepLines/>
        <w:spacing w:line="400" w:lineRule="exact"/>
        <w:outlineLvl w:val="2"/>
        <w:rPr>
          <w:rFonts w:ascii="Times New Roman" w:hAnsi="Times New Roman" w:eastAsia="黑体" w:cs="宋体"/>
          <w:b/>
          <w:color w:val="auto"/>
          <w:sz w:val="24"/>
          <w:szCs w:val="20"/>
          <w:highlight w:val="none"/>
        </w:rPr>
      </w:pPr>
      <w:bookmarkStart w:id="1486" w:name="_Toc351203623"/>
      <w:bookmarkStart w:id="1487" w:name="_Toc9847"/>
      <w:bookmarkStart w:id="1488" w:name="_Toc28532252"/>
      <w:bookmarkStart w:id="1489" w:name="_Toc296346644"/>
      <w:bookmarkStart w:id="1490" w:name="_Toc296503143"/>
      <w:bookmarkStart w:id="1491" w:name="_Toc337558838"/>
      <w:r>
        <w:rPr>
          <w:rFonts w:ascii="Times New Roman" w:hAnsi="Times New Roman" w:eastAsia="黑体" w:cs="宋体"/>
          <w:b/>
          <w:color w:val="auto"/>
          <w:sz w:val="24"/>
          <w:szCs w:val="20"/>
          <w:highlight w:val="none"/>
        </w:rPr>
        <w:t>19.3发包人的索赔</w:t>
      </w:r>
      <w:bookmarkEnd w:id="1486"/>
      <w:bookmarkEnd w:id="1487"/>
      <w:bookmarkEnd w:id="1488"/>
    </w:p>
    <w:bookmarkEnd w:id="1489"/>
    <w:bookmarkEnd w:id="1490"/>
    <w:bookmarkEnd w:id="1491"/>
    <w:p w14:paraId="4CD2206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根据合同约定，发包人认为有权得到赔付金额和（或）延长缺陷责任期的，监理人应向承包人发出通知并附有详细的证明。</w:t>
      </w:r>
    </w:p>
    <w:p w14:paraId="34AB760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4F515EA2">
      <w:pPr>
        <w:keepNext/>
        <w:keepLines/>
        <w:spacing w:line="400" w:lineRule="exact"/>
        <w:outlineLvl w:val="2"/>
        <w:rPr>
          <w:rFonts w:ascii="Times New Roman" w:hAnsi="Times New Roman" w:eastAsia="黑体" w:cs="宋体"/>
          <w:b/>
          <w:color w:val="auto"/>
          <w:sz w:val="24"/>
          <w:szCs w:val="20"/>
          <w:highlight w:val="none"/>
        </w:rPr>
      </w:pPr>
      <w:bookmarkStart w:id="1492" w:name="_Toc351203624"/>
      <w:bookmarkStart w:id="1493" w:name="_Toc28532253"/>
      <w:bookmarkStart w:id="1494" w:name="_Toc17815"/>
      <w:bookmarkStart w:id="1495" w:name="_Toc296503144"/>
      <w:bookmarkStart w:id="1496" w:name="_Toc296346645"/>
      <w:bookmarkStart w:id="1497" w:name="_Toc337558839"/>
      <w:r>
        <w:rPr>
          <w:rFonts w:ascii="Times New Roman" w:hAnsi="Times New Roman" w:eastAsia="黑体" w:cs="宋体"/>
          <w:b/>
          <w:color w:val="auto"/>
          <w:sz w:val="24"/>
          <w:szCs w:val="20"/>
          <w:highlight w:val="none"/>
        </w:rPr>
        <w:t>19.4 对发包人索赔的处理</w:t>
      </w:r>
      <w:bookmarkEnd w:id="1492"/>
      <w:bookmarkEnd w:id="1493"/>
      <w:bookmarkEnd w:id="1494"/>
    </w:p>
    <w:bookmarkEnd w:id="1495"/>
    <w:bookmarkEnd w:id="1496"/>
    <w:bookmarkEnd w:id="1497"/>
    <w:p w14:paraId="5C2B836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对发包人索赔的处理如下：</w:t>
      </w:r>
    </w:p>
    <w:p w14:paraId="614F582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（1）承包人收到发包人提交的索赔报告后，应及时审查索赔报告的内容、查验发包人证明材料；</w:t>
      </w:r>
    </w:p>
    <w:p w14:paraId="13FC443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（2）承包人应在收到索赔报告或有关索赔的进一步证明材料后28天内，将索赔处理结果答复发包人。如果承包人未在上述期限内作出答复的，则视为对发包人索赔要求的认可；</w:t>
      </w:r>
    </w:p>
    <w:p w14:paraId="1A75445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（3）承包人接受索赔处理结果的，发包人可从应支付给承包人的合同价款中扣除赔付的金额或延长缺陷责任期；发包人不接受索赔处理结果的，按第20条</w:t>
      </w:r>
      <w:r>
        <w:rPr>
          <w:rFonts w:hint="eastAsia" w:ascii="Times New Roman" w:hAnsi="Times New Roman"/>
          <w:color w:val="auto"/>
          <w:szCs w:val="24"/>
          <w:highlight w:val="none"/>
        </w:rPr>
        <w:t>〔</w:t>
      </w:r>
      <w:r>
        <w:rPr>
          <w:rFonts w:ascii="Times New Roman" w:hAnsi="Times New Roman"/>
          <w:color w:val="auto"/>
          <w:szCs w:val="24"/>
          <w:highlight w:val="none"/>
        </w:rPr>
        <w:t>争议解决</w:t>
      </w:r>
      <w:r>
        <w:rPr>
          <w:rFonts w:hint="eastAsia" w:ascii="Times New Roman" w:hAnsi="Times New Roman"/>
          <w:color w:val="auto"/>
          <w:szCs w:val="24"/>
          <w:highlight w:val="none"/>
        </w:rPr>
        <w:t>〕</w:t>
      </w:r>
      <w:r>
        <w:rPr>
          <w:rFonts w:ascii="Times New Roman" w:hAnsi="Times New Roman"/>
          <w:color w:val="auto"/>
          <w:szCs w:val="24"/>
          <w:highlight w:val="none"/>
        </w:rPr>
        <w:t>约定处理。</w:t>
      </w:r>
    </w:p>
    <w:p w14:paraId="6E4CFAFD">
      <w:pPr>
        <w:keepNext/>
        <w:keepLines/>
        <w:spacing w:line="400" w:lineRule="exact"/>
        <w:outlineLvl w:val="2"/>
        <w:rPr>
          <w:rFonts w:ascii="Times New Roman" w:hAnsi="Times New Roman" w:eastAsia="黑体" w:cs="宋体"/>
          <w:b/>
          <w:color w:val="auto"/>
          <w:sz w:val="24"/>
          <w:szCs w:val="20"/>
          <w:highlight w:val="none"/>
        </w:rPr>
      </w:pPr>
      <w:bookmarkStart w:id="1498" w:name="_Toc28532254"/>
      <w:bookmarkStart w:id="1499" w:name="_Toc351203625"/>
      <w:bookmarkStart w:id="1500" w:name="_Toc18879"/>
      <w:r>
        <w:rPr>
          <w:rFonts w:ascii="Times New Roman" w:hAnsi="Times New Roman" w:eastAsia="黑体" w:cs="宋体"/>
          <w:b/>
          <w:color w:val="auto"/>
          <w:sz w:val="24"/>
          <w:szCs w:val="20"/>
          <w:highlight w:val="none"/>
        </w:rPr>
        <w:t>19.5 提出索赔的期限</w:t>
      </w:r>
      <w:bookmarkEnd w:id="1498"/>
      <w:bookmarkEnd w:id="1499"/>
      <w:bookmarkEnd w:id="1500"/>
    </w:p>
    <w:p w14:paraId="48AB07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（1）承包人按第14.2款</w:t>
      </w:r>
      <w:r>
        <w:rPr>
          <w:rFonts w:hint="eastAsia" w:ascii="Times New Roman" w:hAnsi="Times New Roman"/>
          <w:color w:val="auto"/>
          <w:szCs w:val="24"/>
          <w:highlight w:val="none"/>
        </w:rPr>
        <w:t>〔</w:t>
      </w:r>
      <w:r>
        <w:rPr>
          <w:rFonts w:ascii="Times New Roman" w:hAnsi="Times New Roman"/>
          <w:color w:val="auto"/>
          <w:szCs w:val="24"/>
          <w:highlight w:val="none"/>
        </w:rPr>
        <w:t>竣工结算审核</w:t>
      </w:r>
      <w:r>
        <w:rPr>
          <w:rFonts w:hint="eastAsia" w:ascii="Times New Roman" w:hAnsi="Times New Roman"/>
          <w:color w:val="auto"/>
          <w:szCs w:val="24"/>
          <w:highlight w:val="none"/>
        </w:rPr>
        <w:t>〕</w:t>
      </w:r>
      <w:r>
        <w:rPr>
          <w:rFonts w:ascii="Times New Roman" w:hAnsi="Times New Roman"/>
          <w:color w:val="auto"/>
          <w:szCs w:val="24"/>
          <w:highlight w:val="none"/>
        </w:rPr>
        <w:t>约定接收竣工付款证书后，应被视为已无权再提出在工程接收证书颁发前所发生的任何索赔。</w:t>
      </w:r>
    </w:p>
    <w:p w14:paraId="484D4F3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（2）承包人按第14.4款</w:t>
      </w:r>
      <w:r>
        <w:rPr>
          <w:rFonts w:hint="eastAsia" w:ascii="Times New Roman" w:hAnsi="Times New Roman"/>
          <w:color w:val="auto"/>
          <w:szCs w:val="24"/>
          <w:highlight w:val="none"/>
        </w:rPr>
        <w:t>〔</w:t>
      </w:r>
      <w:r>
        <w:rPr>
          <w:rFonts w:ascii="Times New Roman" w:hAnsi="Times New Roman"/>
          <w:color w:val="auto"/>
          <w:szCs w:val="24"/>
          <w:highlight w:val="none"/>
        </w:rPr>
        <w:t>最终结清</w:t>
      </w:r>
      <w:r>
        <w:rPr>
          <w:rFonts w:hint="eastAsia" w:ascii="Times New Roman" w:hAnsi="Times New Roman"/>
          <w:color w:val="auto"/>
          <w:szCs w:val="24"/>
          <w:highlight w:val="none"/>
        </w:rPr>
        <w:t>〕</w:t>
      </w:r>
      <w:r>
        <w:rPr>
          <w:rFonts w:ascii="Times New Roman" w:hAnsi="Times New Roman"/>
          <w:color w:val="auto"/>
          <w:szCs w:val="24"/>
          <w:highlight w:val="none"/>
        </w:rPr>
        <w:t>提交的最终结清申请单中，只限于提出工程接收证书颁发后发生的索赔。提出索赔的期限自接受最终结清证书时终止。</w:t>
      </w:r>
    </w:p>
    <w:p w14:paraId="2ED1D41A">
      <w:pPr>
        <w:keepNext/>
        <w:keepLines/>
        <w:spacing w:before="100" w:line="400" w:lineRule="exact"/>
        <w:outlineLvl w:val="1"/>
        <w:rPr>
          <w:rFonts w:ascii="Times New Roman" w:hAnsi="Times New Roman" w:eastAsia="黑体" w:cs="宋体"/>
          <w:b/>
          <w:color w:val="auto"/>
          <w:sz w:val="28"/>
          <w:szCs w:val="20"/>
          <w:highlight w:val="none"/>
        </w:rPr>
      </w:pPr>
      <w:bookmarkStart w:id="1501" w:name="_Toc28532255"/>
      <w:bookmarkStart w:id="1502" w:name="_Toc351203626"/>
      <w:bookmarkStart w:id="1503" w:name="_Toc10525"/>
      <w:r>
        <w:rPr>
          <w:rFonts w:ascii="Times New Roman" w:hAnsi="Times New Roman" w:eastAsia="黑体" w:cs="宋体"/>
          <w:b/>
          <w:color w:val="auto"/>
          <w:sz w:val="28"/>
          <w:szCs w:val="20"/>
          <w:highlight w:val="none"/>
        </w:rPr>
        <w:t>20</w:t>
      </w:r>
      <w:bookmarkStart w:id="1504" w:name="_Toc296503146"/>
      <w:bookmarkStart w:id="1505" w:name="_Toc337558840"/>
      <w:bookmarkStart w:id="1506" w:name="_Toc296346647"/>
      <w:r>
        <w:rPr>
          <w:rFonts w:ascii="Times New Roman" w:hAnsi="Times New Roman" w:eastAsia="黑体" w:cs="宋体"/>
          <w:b/>
          <w:color w:val="auto"/>
          <w:sz w:val="28"/>
          <w:szCs w:val="20"/>
          <w:highlight w:val="none"/>
        </w:rPr>
        <w:t>. 争议解决</w:t>
      </w:r>
      <w:bookmarkEnd w:id="1501"/>
      <w:bookmarkEnd w:id="1502"/>
      <w:bookmarkEnd w:id="1503"/>
    </w:p>
    <w:bookmarkEnd w:id="1504"/>
    <w:bookmarkEnd w:id="1505"/>
    <w:bookmarkEnd w:id="1506"/>
    <w:p w14:paraId="051899C4">
      <w:pPr>
        <w:keepNext/>
        <w:keepLines/>
        <w:spacing w:line="400" w:lineRule="exact"/>
        <w:outlineLvl w:val="2"/>
        <w:rPr>
          <w:rFonts w:ascii="Times New Roman" w:hAnsi="Times New Roman" w:eastAsia="黑体" w:cs="宋体"/>
          <w:b/>
          <w:color w:val="auto"/>
          <w:sz w:val="24"/>
          <w:szCs w:val="20"/>
          <w:highlight w:val="none"/>
        </w:rPr>
      </w:pPr>
      <w:bookmarkStart w:id="1507" w:name="_Toc28532256"/>
      <w:bookmarkStart w:id="1508" w:name="_Toc351203627"/>
      <w:bookmarkStart w:id="1509" w:name="_Toc22070"/>
      <w:bookmarkStart w:id="1510" w:name="_Toc296503147"/>
      <w:bookmarkStart w:id="1511" w:name="_Toc296346648"/>
      <w:bookmarkStart w:id="1512" w:name="_Toc337558841"/>
      <w:r>
        <w:rPr>
          <w:rFonts w:ascii="Times New Roman" w:hAnsi="Times New Roman" w:eastAsia="黑体" w:cs="宋体"/>
          <w:b/>
          <w:color w:val="auto"/>
          <w:sz w:val="24"/>
          <w:szCs w:val="20"/>
          <w:highlight w:val="none"/>
        </w:rPr>
        <w:t>20.1和解</w:t>
      </w:r>
      <w:bookmarkEnd w:id="1507"/>
      <w:bookmarkEnd w:id="1508"/>
      <w:bookmarkEnd w:id="1509"/>
    </w:p>
    <w:bookmarkEnd w:id="1510"/>
    <w:bookmarkEnd w:id="1511"/>
    <w:bookmarkEnd w:id="1512"/>
    <w:p w14:paraId="6E4E82B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合同当事人可以就争议自行和解，自行和解达成协议的经双方签字并盖章后作为合同补充文件，双方均应遵照执行。</w:t>
      </w:r>
    </w:p>
    <w:p w14:paraId="60C7CBE9">
      <w:pPr>
        <w:keepNext/>
        <w:keepLines/>
        <w:spacing w:line="400" w:lineRule="exact"/>
        <w:outlineLvl w:val="2"/>
        <w:rPr>
          <w:rFonts w:ascii="Times New Roman" w:hAnsi="Times New Roman" w:eastAsia="黑体" w:cs="宋体"/>
          <w:b/>
          <w:color w:val="auto"/>
          <w:sz w:val="24"/>
          <w:szCs w:val="20"/>
          <w:highlight w:val="none"/>
        </w:rPr>
      </w:pPr>
      <w:bookmarkStart w:id="1513" w:name="_Toc318"/>
      <w:bookmarkStart w:id="1514" w:name="_Toc351203628"/>
      <w:bookmarkStart w:id="1515" w:name="_Toc28532257"/>
      <w:r>
        <w:rPr>
          <w:rFonts w:ascii="Times New Roman" w:hAnsi="Times New Roman" w:eastAsia="黑体" w:cs="宋体"/>
          <w:b/>
          <w:color w:val="auto"/>
          <w:sz w:val="24"/>
          <w:szCs w:val="20"/>
          <w:highlight w:val="none"/>
        </w:rPr>
        <w:t>20</w:t>
      </w:r>
      <w:bookmarkStart w:id="1516" w:name="_Toc337558842"/>
      <w:bookmarkStart w:id="1517" w:name="_Toc296346649"/>
      <w:bookmarkStart w:id="1518" w:name="_Toc296503148"/>
      <w:r>
        <w:rPr>
          <w:rFonts w:ascii="Times New Roman" w:hAnsi="Times New Roman" w:eastAsia="黑体" w:cs="宋体"/>
          <w:b/>
          <w:color w:val="auto"/>
          <w:sz w:val="24"/>
          <w:szCs w:val="20"/>
          <w:highlight w:val="none"/>
        </w:rPr>
        <w:t>.2调解</w:t>
      </w:r>
      <w:bookmarkEnd w:id="1513"/>
      <w:bookmarkEnd w:id="1514"/>
      <w:bookmarkEnd w:id="1515"/>
    </w:p>
    <w:bookmarkEnd w:id="1516"/>
    <w:bookmarkEnd w:id="1517"/>
    <w:bookmarkEnd w:id="1518"/>
    <w:p w14:paraId="47E2606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合同当事人可以就争议请求建设行政主管部门</w:t>
      </w:r>
      <w:r>
        <w:rPr>
          <w:rFonts w:hint="eastAsia" w:ascii="Times New Roman" w:hAnsi="Times New Roman"/>
          <w:color w:val="auto"/>
          <w:szCs w:val="24"/>
          <w:highlight w:val="none"/>
        </w:rPr>
        <w:t>、行业协会</w:t>
      </w:r>
      <w:r>
        <w:rPr>
          <w:rFonts w:ascii="Times New Roman" w:hAnsi="Times New Roman"/>
          <w:color w:val="auto"/>
          <w:szCs w:val="24"/>
          <w:highlight w:val="none"/>
        </w:rPr>
        <w:t>或</w:t>
      </w:r>
      <w:r>
        <w:rPr>
          <w:rFonts w:hint="eastAsia" w:ascii="Times New Roman" w:hAnsi="Times New Roman"/>
          <w:color w:val="auto"/>
          <w:szCs w:val="24"/>
          <w:highlight w:val="none"/>
        </w:rPr>
        <w:t>其他</w:t>
      </w:r>
      <w:r>
        <w:rPr>
          <w:rFonts w:ascii="Times New Roman" w:hAnsi="Times New Roman"/>
          <w:color w:val="auto"/>
          <w:szCs w:val="24"/>
          <w:highlight w:val="none"/>
        </w:rPr>
        <w:t>第三方进行调解，调解达成协议的，经双方签字并盖章后作为合同补充文件，双方均应遵照执行。</w:t>
      </w:r>
    </w:p>
    <w:p w14:paraId="49190DE4">
      <w:pPr>
        <w:keepNext/>
        <w:keepLines/>
        <w:spacing w:line="400" w:lineRule="exact"/>
        <w:outlineLvl w:val="2"/>
        <w:rPr>
          <w:rFonts w:ascii="Times New Roman" w:hAnsi="Times New Roman" w:eastAsia="黑体" w:cs="宋体"/>
          <w:b/>
          <w:color w:val="auto"/>
          <w:sz w:val="24"/>
          <w:szCs w:val="20"/>
          <w:highlight w:val="none"/>
        </w:rPr>
      </w:pPr>
      <w:bookmarkStart w:id="1519" w:name="_Toc28532258"/>
      <w:bookmarkStart w:id="1520" w:name="_Toc27996"/>
      <w:bookmarkStart w:id="1521" w:name="_Toc351203629"/>
      <w:bookmarkStart w:id="1522" w:name="_Toc296503149"/>
      <w:bookmarkStart w:id="1523" w:name="_Toc296346650"/>
      <w:bookmarkStart w:id="1524" w:name="_Toc337558843"/>
      <w:r>
        <w:rPr>
          <w:rFonts w:ascii="Times New Roman" w:hAnsi="Times New Roman" w:eastAsia="黑体" w:cs="宋体"/>
          <w:b/>
          <w:color w:val="auto"/>
          <w:sz w:val="24"/>
          <w:szCs w:val="20"/>
          <w:highlight w:val="none"/>
        </w:rPr>
        <w:t>20.3争议评审</w:t>
      </w:r>
      <w:bookmarkEnd w:id="1519"/>
      <w:bookmarkEnd w:id="1520"/>
      <w:bookmarkEnd w:id="1521"/>
    </w:p>
    <w:bookmarkEnd w:id="1522"/>
    <w:bookmarkEnd w:id="1523"/>
    <w:bookmarkEnd w:id="1524"/>
    <w:p w14:paraId="301C753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合同当事人在专用合同条款中约定采取争议评审方式解决争议</w:t>
      </w:r>
      <w:r>
        <w:rPr>
          <w:rFonts w:hint="eastAsia" w:ascii="Times New Roman" w:hAnsi="Times New Roman"/>
          <w:color w:val="auto"/>
          <w:szCs w:val="24"/>
          <w:highlight w:val="none"/>
        </w:rPr>
        <w:t>以及评审规则，并</w:t>
      </w:r>
      <w:r>
        <w:rPr>
          <w:rFonts w:ascii="Times New Roman" w:hAnsi="Times New Roman"/>
          <w:color w:val="auto"/>
          <w:szCs w:val="24"/>
          <w:highlight w:val="none"/>
        </w:rPr>
        <w:t xml:space="preserve">按下列约定执行： </w:t>
      </w:r>
    </w:p>
    <w:p w14:paraId="5EADDBD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20.3.1 争议评审小组的确定</w:t>
      </w:r>
    </w:p>
    <w:p w14:paraId="233B9D0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合同当事人可以共同选择一名或三名争议评审员，组成争议评审小组。除专用合同条款另有约定外，合同当事人应当自合同签订后28天内，或者争议发生后14天内，选定争议评审员。</w:t>
      </w:r>
    </w:p>
    <w:p w14:paraId="1D09A81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color w:val="auto"/>
          <w:szCs w:val="24"/>
          <w:highlight w:val="none"/>
        </w:rPr>
        <w:t>评审</w:t>
      </w:r>
      <w:r>
        <w:rPr>
          <w:rFonts w:ascii="Times New Roman" w:hAnsi="Times New Roman"/>
          <w:color w:val="auto"/>
          <w:szCs w:val="24"/>
          <w:highlight w:val="none"/>
        </w:rPr>
        <w:t xml:space="preserve">机构指定第三名首席争议评审员。 </w:t>
      </w:r>
    </w:p>
    <w:p w14:paraId="77B1A99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除专用合同条款另有约定外，评审员报酬由发包人和承包人各承担一半。</w:t>
      </w:r>
    </w:p>
    <w:p w14:paraId="0DD4CD7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20.3.2 争议评审小组的决定</w:t>
      </w:r>
    </w:p>
    <w:p w14:paraId="1880712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0B22BFE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20.3.3 争议评审小组决定的效力</w:t>
      </w:r>
    </w:p>
    <w:p w14:paraId="650D158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争议评审小组作出的书面决定经合同当事人签字确认后，对双方具有约束力，双方应遵照执行。</w:t>
      </w:r>
    </w:p>
    <w:p w14:paraId="47F8B3D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任何一方当事人不接受争议评审小组决定</w:t>
      </w:r>
      <w:r>
        <w:rPr>
          <w:rFonts w:hint="eastAsia" w:ascii="Times New Roman" w:hAnsi="Times New Roman"/>
          <w:color w:val="auto"/>
          <w:szCs w:val="24"/>
          <w:highlight w:val="none"/>
        </w:rPr>
        <w:t>或不履行争议评审小组决定的</w:t>
      </w:r>
      <w:r>
        <w:rPr>
          <w:rFonts w:ascii="Times New Roman" w:hAnsi="Times New Roman"/>
          <w:color w:val="auto"/>
          <w:szCs w:val="24"/>
          <w:highlight w:val="none"/>
        </w:rPr>
        <w:t>，双方可选择采用其他争议解决方式。</w:t>
      </w:r>
    </w:p>
    <w:p w14:paraId="6FB1F9D4">
      <w:pPr>
        <w:keepNext/>
        <w:keepLines/>
        <w:spacing w:line="400" w:lineRule="exact"/>
        <w:outlineLvl w:val="2"/>
        <w:rPr>
          <w:rFonts w:ascii="Times New Roman" w:hAnsi="Times New Roman" w:eastAsia="黑体" w:cs="宋体"/>
          <w:b/>
          <w:color w:val="auto"/>
          <w:sz w:val="24"/>
          <w:szCs w:val="20"/>
          <w:highlight w:val="none"/>
        </w:rPr>
      </w:pPr>
      <w:bookmarkStart w:id="1525" w:name="_Toc5329"/>
      <w:bookmarkStart w:id="1526" w:name="_Toc28532259"/>
      <w:bookmarkStart w:id="1527" w:name="_Toc351203630"/>
      <w:bookmarkStart w:id="1528" w:name="_Toc296346651"/>
      <w:bookmarkStart w:id="1529" w:name="_Toc296503150"/>
      <w:bookmarkStart w:id="1530" w:name="_Toc337558844"/>
      <w:r>
        <w:rPr>
          <w:rFonts w:ascii="Times New Roman" w:hAnsi="Times New Roman" w:eastAsia="黑体" w:cs="宋体"/>
          <w:b/>
          <w:color w:val="auto"/>
          <w:sz w:val="24"/>
          <w:szCs w:val="20"/>
          <w:highlight w:val="none"/>
        </w:rPr>
        <w:t>20.4仲裁或诉讼</w:t>
      </w:r>
      <w:bookmarkEnd w:id="1525"/>
      <w:bookmarkEnd w:id="1526"/>
      <w:bookmarkEnd w:id="1527"/>
    </w:p>
    <w:bookmarkEnd w:id="1528"/>
    <w:bookmarkEnd w:id="1529"/>
    <w:bookmarkEnd w:id="1530"/>
    <w:p w14:paraId="60CEFD1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因合同及合同有关事项产生的争议，合同当事人可以在专用合同条款中约定以下一种方式解决争议：</w:t>
      </w:r>
    </w:p>
    <w:p w14:paraId="76E0F8B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（1）向约定的仲裁委员会申请仲裁；</w:t>
      </w:r>
    </w:p>
    <w:p w14:paraId="12452DA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（2）向有管辖权的人民法院起诉。</w:t>
      </w:r>
    </w:p>
    <w:p w14:paraId="39F2DEB9">
      <w:pPr>
        <w:keepNext/>
        <w:keepLines/>
        <w:spacing w:line="400" w:lineRule="exact"/>
        <w:outlineLvl w:val="2"/>
        <w:rPr>
          <w:rFonts w:ascii="Times New Roman" w:hAnsi="Times New Roman" w:eastAsia="黑体" w:cs="宋体"/>
          <w:b/>
          <w:color w:val="auto"/>
          <w:sz w:val="24"/>
          <w:szCs w:val="20"/>
          <w:highlight w:val="none"/>
        </w:rPr>
      </w:pPr>
      <w:bookmarkStart w:id="1531" w:name="_Toc351203631"/>
      <w:bookmarkStart w:id="1532" w:name="_Toc184"/>
      <w:bookmarkStart w:id="1533" w:name="_Toc28532260"/>
      <w:bookmarkStart w:id="1534" w:name="_Toc296346653"/>
      <w:bookmarkStart w:id="1535" w:name="_Toc337558845"/>
      <w:bookmarkStart w:id="1536" w:name="_Toc296503152"/>
      <w:r>
        <w:rPr>
          <w:rFonts w:ascii="Times New Roman" w:hAnsi="Times New Roman" w:eastAsia="黑体" w:cs="宋体"/>
          <w:b/>
          <w:color w:val="auto"/>
          <w:sz w:val="24"/>
          <w:szCs w:val="20"/>
          <w:highlight w:val="none"/>
        </w:rPr>
        <w:t>20.5争议解决条款效力</w:t>
      </w:r>
      <w:bookmarkEnd w:id="1531"/>
      <w:bookmarkEnd w:id="1532"/>
      <w:bookmarkEnd w:id="1533"/>
    </w:p>
    <w:bookmarkEnd w:id="1534"/>
    <w:bookmarkEnd w:id="1535"/>
    <w:bookmarkEnd w:id="1536"/>
    <w:p w14:paraId="1EB9E7D1">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 xml:space="preserve">合同有关争议解决的条款独立存在，合同的变更、解除、终止、无效或者被撤销均不影响其效力。 </w:t>
      </w:r>
    </w:p>
    <w:p w14:paraId="4884550F">
      <w:pPr>
        <w:spacing w:line="400" w:lineRule="exact"/>
        <w:ind w:firstLine="420" w:firstLineChars="200"/>
        <w:rPr>
          <w:rFonts w:hint="eastAsia" w:ascii="Times New Roman" w:hAnsi="Times New Roman"/>
          <w:color w:val="auto"/>
          <w:szCs w:val="24"/>
          <w:highlight w:val="none"/>
        </w:rPr>
      </w:pPr>
    </w:p>
    <w:p w14:paraId="04F93636">
      <w:pPr>
        <w:spacing w:line="400" w:lineRule="exact"/>
        <w:ind w:firstLine="420" w:firstLineChars="200"/>
        <w:rPr>
          <w:rFonts w:hint="eastAsia" w:ascii="Times New Roman" w:hAnsi="Times New Roman"/>
          <w:color w:val="auto"/>
          <w:szCs w:val="24"/>
          <w:highlight w:val="none"/>
        </w:rPr>
      </w:pPr>
    </w:p>
    <w:p w14:paraId="29DCA349">
      <w:pPr>
        <w:spacing w:line="400" w:lineRule="exact"/>
        <w:ind w:firstLine="420" w:firstLineChars="200"/>
        <w:rPr>
          <w:rFonts w:hint="eastAsia" w:ascii="Times New Roman" w:hAnsi="Times New Roman"/>
          <w:color w:val="auto"/>
          <w:szCs w:val="24"/>
          <w:highlight w:val="none"/>
        </w:rPr>
      </w:pPr>
    </w:p>
    <w:p w14:paraId="472B121D">
      <w:pPr>
        <w:spacing w:line="400" w:lineRule="exact"/>
        <w:ind w:firstLine="420" w:firstLineChars="200"/>
        <w:rPr>
          <w:rFonts w:hint="eastAsia" w:ascii="Times New Roman" w:hAnsi="Times New Roman"/>
          <w:color w:val="auto"/>
          <w:szCs w:val="24"/>
          <w:highlight w:val="none"/>
        </w:rPr>
      </w:pPr>
    </w:p>
    <w:p w14:paraId="671370C2">
      <w:pPr>
        <w:spacing w:line="400" w:lineRule="exact"/>
        <w:ind w:firstLine="420" w:firstLineChars="200"/>
        <w:rPr>
          <w:rFonts w:hint="eastAsia" w:ascii="Times New Roman" w:hAnsi="Times New Roman"/>
          <w:color w:val="auto"/>
          <w:szCs w:val="24"/>
          <w:highlight w:val="none"/>
        </w:rPr>
      </w:pPr>
    </w:p>
    <w:p w14:paraId="037E8DAF">
      <w:pPr>
        <w:keepNext/>
        <w:keepLines/>
        <w:spacing w:before="100" w:line="400" w:lineRule="exact"/>
        <w:jc w:val="center"/>
        <w:outlineLvl w:val="1"/>
        <w:rPr>
          <w:rFonts w:hint="eastAsia" w:ascii="Times New Roman" w:hAnsi="Times New Roman" w:eastAsia="黑体" w:cs="宋体"/>
          <w:color w:val="auto"/>
          <w:sz w:val="28"/>
          <w:szCs w:val="20"/>
          <w:highlight w:val="none"/>
        </w:rPr>
      </w:pPr>
      <w:bookmarkStart w:id="1537" w:name="_Toc351203632"/>
      <w:bookmarkStart w:id="1538" w:name="_Toc28532261"/>
      <w:bookmarkStart w:id="1539" w:name="_Toc25888"/>
      <w:r>
        <w:rPr>
          <w:rFonts w:ascii="Times New Roman" w:hAnsi="Times New Roman" w:eastAsia="黑体" w:cs="宋体"/>
          <w:color w:val="auto"/>
          <w:sz w:val="28"/>
          <w:szCs w:val="20"/>
          <w:highlight w:val="none"/>
        </w:rPr>
        <w:t xml:space="preserve">第三部分 </w:t>
      </w:r>
      <w:r>
        <w:rPr>
          <w:rFonts w:hint="eastAsia" w:ascii="Times New Roman" w:hAnsi="Times New Roman" w:eastAsia="黑体" w:cs="宋体"/>
          <w:color w:val="auto"/>
          <w:sz w:val="28"/>
          <w:szCs w:val="20"/>
          <w:highlight w:val="none"/>
        </w:rPr>
        <w:t>专用合同条款</w:t>
      </w:r>
      <w:bookmarkEnd w:id="1537"/>
      <w:bookmarkEnd w:id="1538"/>
      <w:bookmarkEnd w:id="1539"/>
    </w:p>
    <w:p w14:paraId="5750FDF6">
      <w:pPr>
        <w:spacing w:line="400" w:lineRule="exact"/>
        <w:ind w:firstLine="420" w:firstLineChars="200"/>
        <w:rPr>
          <w:rFonts w:hint="eastAsia" w:ascii="Times New Roman" w:hAnsi="Times New Roman"/>
          <w:color w:val="auto"/>
          <w:szCs w:val="24"/>
          <w:highlight w:val="none"/>
        </w:rPr>
      </w:pPr>
    </w:p>
    <w:p w14:paraId="1DFDDE23">
      <w:pPr>
        <w:spacing w:line="400" w:lineRule="exact"/>
        <w:jc w:val="center"/>
        <w:rPr>
          <w:rFonts w:hint="eastAsia" w:ascii="黑体" w:hAnsi="Times New Roman" w:eastAsia="黑体"/>
          <w:color w:val="auto"/>
          <w:sz w:val="28"/>
          <w:szCs w:val="28"/>
          <w:highlight w:val="none"/>
        </w:rPr>
      </w:pPr>
    </w:p>
    <w:p w14:paraId="6D3DE751">
      <w:pPr>
        <w:spacing w:line="400" w:lineRule="exact"/>
        <w:jc w:val="center"/>
        <w:rPr>
          <w:rFonts w:hint="eastAsia" w:ascii="黑体" w:hAnsi="Times New Roman" w:eastAsia="黑体"/>
          <w:color w:val="auto"/>
          <w:sz w:val="28"/>
          <w:szCs w:val="28"/>
          <w:highlight w:val="none"/>
        </w:rPr>
      </w:pPr>
    </w:p>
    <w:p w14:paraId="62E6A90C">
      <w:pPr>
        <w:spacing w:line="400" w:lineRule="exact"/>
        <w:jc w:val="center"/>
        <w:rPr>
          <w:rFonts w:hint="eastAsia" w:ascii="黑体" w:hAnsi="Times New Roman" w:eastAsia="黑体"/>
          <w:color w:val="auto"/>
          <w:sz w:val="28"/>
          <w:szCs w:val="28"/>
          <w:highlight w:val="none"/>
        </w:rPr>
      </w:pPr>
    </w:p>
    <w:p w14:paraId="1909CCD7">
      <w:pPr>
        <w:spacing w:line="400" w:lineRule="exact"/>
        <w:jc w:val="center"/>
        <w:rPr>
          <w:rFonts w:hint="eastAsia" w:ascii="黑体" w:hAnsi="Times New Roman" w:eastAsia="黑体"/>
          <w:color w:val="auto"/>
          <w:sz w:val="28"/>
          <w:szCs w:val="28"/>
          <w:highlight w:val="none"/>
        </w:rPr>
      </w:pPr>
    </w:p>
    <w:p w14:paraId="72398579">
      <w:pPr>
        <w:spacing w:line="400" w:lineRule="exact"/>
        <w:jc w:val="center"/>
        <w:rPr>
          <w:rFonts w:hint="eastAsia" w:ascii="黑体" w:hAnsi="Times New Roman" w:eastAsia="黑体"/>
          <w:color w:val="auto"/>
          <w:sz w:val="28"/>
          <w:szCs w:val="28"/>
          <w:highlight w:val="none"/>
        </w:rPr>
      </w:pPr>
    </w:p>
    <w:p w14:paraId="0D154D78">
      <w:pPr>
        <w:spacing w:line="400" w:lineRule="exact"/>
        <w:jc w:val="center"/>
        <w:rPr>
          <w:rFonts w:hint="eastAsia" w:ascii="黑体" w:hAnsi="Times New Roman" w:eastAsia="黑体"/>
          <w:color w:val="auto"/>
          <w:sz w:val="28"/>
          <w:szCs w:val="28"/>
          <w:highlight w:val="none"/>
        </w:rPr>
      </w:pPr>
    </w:p>
    <w:p w14:paraId="453C4E73">
      <w:pPr>
        <w:spacing w:line="400" w:lineRule="exact"/>
        <w:jc w:val="center"/>
        <w:rPr>
          <w:rFonts w:hint="eastAsia" w:ascii="黑体" w:hAnsi="Times New Roman" w:eastAsia="黑体"/>
          <w:color w:val="auto"/>
          <w:sz w:val="28"/>
          <w:szCs w:val="28"/>
          <w:highlight w:val="none"/>
        </w:rPr>
      </w:pPr>
    </w:p>
    <w:p w14:paraId="7946AAC8">
      <w:pPr>
        <w:spacing w:line="400" w:lineRule="exact"/>
        <w:jc w:val="center"/>
        <w:rPr>
          <w:rFonts w:hint="eastAsia" w:ascii="黑体" w:hAnsi="Times New Roman" w:eastAsia="黑体"/>
          <w:color w:val="auto"/>
          <w:sz w:val="28"/>
          <w:szCs w:val="28"/>
          <w:highlight w:val="none"/>
        </w:rPr>
      </w:pPr>
    </w:p>
    <w:p w14:paraId="0EF18E2E">
      <w:pPr>
        <w:spacing w:line="400" w:lineRule="exact"/>
        <w:jc w:val="center"/>
        <w:rPr>
          <w:rFonts w:hint="eastAsia" w:ascii="黑体" w:hAnsi="Times New Roman" w:eastAsia="黑体"/>
          <w:color w:val="auto"/>
          <w:sz w:val="28"/>
          <w:szCs w:val="28"/>
          <w:highlight w:val="none"/>
        </w:rPr>
      </w:pPr>
    </w:p>
    <w:p w14:paraId="42862865">
      <w:pPr>
        <w:spacing w:line="400" w:lineRule="exact"/>
        <w:jc w:val="center"/>
        <w:rPr>
          <w:rFonts w:hint="eastAsia" w:ascii="黑体" w:hAnsi="Times New Roman" w:eastAsia="黑体"/>
          <w:color w:val="auto"/>
          <w:sz w:val="28"/>
          <w:szCs w:val="28"/>
          <w:highlight w:val="none"/>
        </w:rPr>
      </w:pPr>
    </w:p>
    <w:p w14:paraId="29493C9C">
      <w:pPr>
        <w:spacing w:line="400" w:lineRule="exact"/>
        <w:jc w:val="center"/>
        <w:rPr>
          <w:rFonts w:hint="eastAsia" w:ascii="黑体" w:hAnsi="Times New Roman" w:eastAsia="黑体"/>
          <w:color w:val="auto"/>
          <w:sz w:val="28"/>
          <w:szCs w:val="28"/>
          <w:highlight w:val="none"/>
        </w:rPr>
      </w:pPr>
    </w:p>
    <w:p w14:paraId="7A860479">
      <w:pPr>
        <w:spacing w:line="400" w:lineRule="exact"/>
        <w:jc w:val="center"/>
        <w:rPr>
          <w:rFonts w:hint="eastAsia" w:ascii="黑体" w:hAnsi="Times New Roman" w:eastAsia="黑体"/>
          <w:color w:val="auto"/>
          <w:sz w:val="28"/>
          <w:szCs w:val="28"/>
          <w:highlight w:val="none"/>
        </w:rPr>
      </w:pPr>
    </w:p>
    <w:p w14:paraId="6A5AC507">
      <w:pPr>
        <w:spacing w:line="400" w:lineRule="exact"/>
        <w:jc w:val="center"/>
        <w:rPr>
          <w:rFonts w:hint="eastAsia" w:ascii="黑体" w:hAnsi="Times New Roman" w:eastAsia="黑体"/>
          <w:color w:val="auto"/>
          <w:sz w:val="28"/>
          <w:szCs w:val="28"/>
          <w:highlight w:val="none"/>
        </w:rPr>
      </w:pPr>
    </w:p>
    <w:p w14:paraId="49C5A27B">
      <w:pPr>
        <w:spacing w:line="400" w:lineRule="exact"/>
        <w:jc w:val="center"/>
        <w:rPr>
          <w:rFonts w:hint="eastAsia" w:ascii="黑体" w:hAnsi="Times New Roman" w:eastAsia="黑体"/>
          <w:color w:val="auto"/>
          <w:sz w:val="28"/>
          <w:szCs w:val="28"/>
          <w:highlight w:val="none"/>
        </w:rPr>
      </w:pPr>
    </w:p>
    <w:p w14:paraId="62F19684">
      <w:pPr>
        <w:spacing w:line="400" w:lineRule="exact"/>
        <w:jc w:val="center"/>
        <w:rPr>
          <w:rFonts w:hint="eastAsia" w:ascii="黑体" w:hAnsi="Times New Roman" w:eastAsia="黑体"/>
          <w:color w:val="auto"/>
          <w:sz w:val="28"/>
          <w:szCs w:val="28"/>
          <w:highlight w:val="none"/>
        </w:rPr>
      </w:pPr>
    </w:p>
    <w:p w14:paraId="16455840">
      <w:pPr>
        <w:spacing w:line="400" w:lineRule="exact"/>
        <w:jc w:val="center"/>
        <w:rPr>
          <w:rFonts w:hint="eastAsia" w:ascii="黑体" w:hAnsi="Times New Roman" w:eastAsia="黑体"/>
          <w:color w:val="auto"/>
          <w:sz w:val="28"/>
          <w:szCs w:val="28"/>
          <w:highlight w:val="none"/>
        </w:rPr>
      </w:pPr>
    </w:p>
    <w:p w14:paraId="0F400E6E">
      <w:pPr>
        <w:spacing w:line="400" w:lineRule="exact"/>
        <w:jc w:val="center"/>
        <w:rPr>
          <w:rFonts w:hint="eastAsia" w:ascii="黑体" w:hAnsi="Times New Roman" w:eastAsia="黑体"/>
          <w:color w:val="auto"/>
          <w:sz w:val="28"/>
          <w:szCs w:val="28"/>
          <w:highlight w:val="none"/>
        </w:rPr>
      </w:pPr>
    </w:p>
    <w:p w14:paraId="3A7119AE">
      <w:pPr>
        <w:spacing w:line="400" w:lineRule="exact"/>
        <w:jc w:val="center"/>
        <w:rPr>
          <w:rFonts w:hint="eastAsia" w:ascii="黑体" w:hAnsi="Times New Roman" w:eastAsia="黑体"/>
          <w:color w:val="auto"/>
          <w:sz w:val="28"/>
          <w:szCs w:val="28"/>
          <w:highlight w:val="none"/>
        </w:rPr>
      </w:pPr>
    </w:p>
    <w:p w14:paraId="7C2AA886">
      <w:pPr>
        <w:spacing w:line="400" w:lineRule="exact"/>
        <w:jc w:val="center"/>
        <w:rPr>
          <w:rFonts w:hint="eastAsia" w:ascii="黑体" w:hAnsi="Times New Roman" w:eastAsia="黑体"/>
          <w:color w:val="auto"/>
          <w:sz w:val="28"/>
          <w:szCs w:val="28"/>
          <w:highlight w:val="none"/>
        </w:rPr>
      </w:pPr>
    </w:p>
    <w:p w14:paraId="5FF8A95C">
      <w:pPr>
        <w:spacing w:line="400" w:lineRule="exact"/>
        <w:jc w:val="center"/>
        <w:rPr>
          <w:rFonts w:hint="eastAsia" w:ascii="黑体" w:hAnsi="Times New Roman" w:eastAsia="黑体"/>
          <w:color w:val="auto"/>
          <w:sz w:val="28"/>
          <w:szCs w:val="28"/>
          <w:highlight w:val="none"/>
        </w:rPr>
      </w:pPr>
    </w:p>
    <w:p w14:paraId="00B5827A">
      <w:pPr>
        <w:spacing w:line="400" w:lineRule="exact"/>
        <w:jc w:val="center"/>
        <w:rPr>
          <w:rFonts w:hint="eastAsia" w:ascii="黑体" w:hAnsi="Times New Roman" w:eastAsia="黑体"/>
          <w:color w:val="auto"/>
          <w:sz w:val="28"/>
          <w:szCs w:val="28"/>
          <w:highlight w:val="none"/>
        </w:rPr>
      </w:pPr>
    </w:p>
    <w:p w14:paraId="5631AB65">
      <w:pPr>
        <w:spacing w:line="400" w:lineRule="exact"/>
        <w:jc w:val="center"/>
        <w:rPr>
          <w:rFonts w:hint="eastAsia" w:ascii="黑体" w:hAnsi="Times New Roman" w:eastAsia="黑体"/>
          <w:color w:val="auto"/>
          <w:sz w:val="28"/>
          <w:szCs w:val="28"/>
          <w:highlight w:val="none"/>
        </w:rPr>
      </w:pPr>
    </w:p>
    <w:p w14:paraId="597CD4E6">
      <w:pPr>
        <w:spacing w:line="400" w:lineRule="exact"/>
        <w:jc w:val="center"/>
        <w:rPr>
          <w:rFonts w:hint="eastAsia" w:ascii="黑体" w:hAnsi="Times New Roman" w:eastAsia="黑体"/>
          <w:color w:val="auto"/>
          <w:sz w:val="28"/>
          <w:szCs w:val="28"/>
          <w:highlight w:val="none"/>
        </w:rPr>
      </w:pPr>
    </w:p>
    <w:p w14:paraId="654E2BCA">
      <w:pPr>
        <w:spacing w:line="400" w:lineRule="exact"/>
        <w:jc w:val="center"/>
        <w:rPr>
          <w:rFonts w:hint="eastAsia" w:ascii="黑体" w:hAnsi="Times New Roman" w:eastAsia="黑体"/>
          <w:color w:val="auto"/>
          <w:sz w:val="28"/>
          <w:szCs w:val="28"/>
          <w:highlight w:val="none"/>
        </w:rPr>
      </w:pPr>
    </w:p>
    <w:p w14:paraId="4F646162">
      <w:pPr>
        <w:spacing w:line="400" w:lineRule="exact"/>
        <w:jc w:val="center"/>
        <w:rPr>
          <w:rFonts w:hint="eastAsia" w:ascii="黑体" w:hAnsi="Times New Roman" w:eastAsia="黑体"/>
          <w:color w:val="auto"/>
          <w:sz w:val="28"/>
          <w:szCs w:val="28"/>
          <w:highlight w:val="none"/>
        </w:rPr>
      </w:pPr>
    </w:p>
    <w:p w14:paraId="0E9FDFE0">
      <w:pPr>
        <w:spacing w:line="400" w:lineRule="exact"/>
        <w:jc w:val="center"/>
        <w:rPr>
          <w:rFonts w:hint="eastAsia" w:ascii="黑体" w:hAnsi="Times New Roman" w:eastAsia="黑体"/>
          <w:color w:val="auto"/>
          <w:sz w:val="28"/>
          <w:szCs w:val="28"/>
          <w:highlight w:val="none"/>
        </w:rPr>
      </w:pPr>
    </w:p>
    <w:p w14:paraId="02F0450B">
      <w:pPr>
        <w:spacing w:line="400" w:lineRule="exact"/>
        <w:jc w:val="center"/>
        <w:rPr>
          <w:rFonts w:hint="eastAsia" w:ascii="黑体" w:hAnsi="Times New Roman" w:eastAsia="黑体"/>
          <w:color w:val="auto"/>
          <w:sz w:val="28"/>
          <w:szCs w:val="28"/>
          <w:highlight w:val="none"/>
        </w:rPr>
      </w:pPr>
    </w:p>
    <w:p w14:paraId="79826E28">
      <w:pPr>
        <w:spacing w:line="400" w:lineRule="exact"/>
        <w:jc w:val="center"/>
        <w:rPr>
          <w:rFonts w:hint="eastAsia" w:ascii="黑体" w:hAnsi="Times New Roman" w:eastAsia="黑体"/>
          <w:color w:val="auto"/>
          <w:sz w:val="28"/>
          <w:szCs w:val="28"/>
          <w:highlight w:val="none"/>
        </w:rPr>
      </w:pPr>
      <w:r>
        <w:rPr>
          <w:rFonts w:hint="eastAsia" w:ascii="黑体" w:hAnsi="Times New Roman" w:eastAsia="黑体"/>
          <w:color w:val="auto"/>
          <w:sz w:val="28"/>
          <w:szCs w:val="28"/>
          <w:highlight w:val="none"/>
        </w:rPr>
        <w:t>专用合同条款</w:t>
      </w:r>
    </w:p>
    <w:p w14:paraId="273CC69A">
      <w:pPr>
        <w:spacing w:line="400" w:lineRule="exact"/>
        <w:ind w:firstLine="420" w:firstLineChars="200"/>
        <w:rPr>
          <w:rFonts w:ascii="Times New Roman" w:hAnsi="Times New Roman"/>
          <w:color w:val="auto"/>
          <w:szCs w:val="24"/>
          <w:highlight w:val="none"/>
        </w:rPr>
      </w:pPr>
    </w:p>
    <w:p w14:paraId="22E8E413">
      <w:pPr>
        <w:keepNext/>
        <w:keepLines/>
        <w:spacing w:before="100" w:line="400" w:lineRule="exact"/>
        <w:outlineLvl w:val="1"/>
        <w:rPr>
          <w:rFonts w:ascii="Times New Roman" w:hAnsi="Times New Roman" w:eastAsia="黑体" w:cs="宋体"/>
          <w:b/>
          <w:color w:val="auto"/>
          <w:sz w:val="28"/>
          <w:szCs w:val="20"/>
          <w:highlight w:val="none"/>
        </w:rPr>
      </w:pPr>
      <w:bookmarkStart w:id="1540" w:name="_Toc28532262"/>
      <w:bookmarkStart w:id="1541" w:name="_Toc4806"/>
      <w:bookmarkStart w:id="1542" w:name="_Toc351203633"/>
      <w:r>
        <w:rPr>
          <w:rFonts w:ascii="Times New Roman" w:hAnsi="Times New Roman" w:eastAsia="黑体" w:cs="宋体"/>
          <w:b/>
          <w:color w:val="auto"/>
          <w:sz w:val="28"/>
          <w:szCs w:val="20"/>
          <w:highlight w:val="none"/>
        </w:rPr>
        <w:t>1</w:t>
      </w:r>
      <w:bookmarkStart w:id="1543" w:name="_Toc296347155"/>
      <w:bookmarkStart w:id="1544" w:name="_Toc296503156"/>
      <w:bookmarkStart w:id="1545" w:name="_Toc292559361"/>
      <w:bookmarkStart w:id="1546" w:name="_Toc292559866"/>
      <w:bookmarkStart w:id="1547" w:name="_Toc297120456"/>
      <w:bookmarkStart w:id="1548" w:name="_Toc296346657"/>
      <w:bookmarkStart w:id="1549" w:name="_Toc297048342"/>
      <w:bookmarkStart w:id="1550" w:name="_Toc296891196"/>
      <w:bookmarkStart w:id="1551" w:name="_Toc296944495"/>
      <w:bookmarkStart w:id="1552" w:name="_Toc296890984"/>
      <w:r>
        <w:rPr>
          <w:rFonts w:ascii="Times New Roman" w:hAnsi="Times New Roman" w:eastAsia="黑体" w:cs="宋体"/>
          <w:b/>
          <w:color w:val="auto"/>
          <w:sz w:val="28"/>
          <w:szCs w:val="20"/>
          <w:highlight w:val="none"/>
        </w:rPr>
        <w:t>. 一般约定</w:t>
      </w:r>
      <w:bookmarkEnd w:id="1540"/>
      <w:bookmarkEnd w:id="1541"/>
      <w:bookmarkEnd w:id="1542"/>
    </w:p>
    <w:bookmarkEnd w:id="1543"/>
    <w:bookmarkEnd w:id="1544"/>
    <w:bookmarkEnd w:id="1545"/>
    <w:bookmarkEnd w:id="1546"/>
    <w:bookmarkEnd w:id="1547"/>
    <w:bookmarkEnd w:id="1548"/>
    <w:bookmarkEnd w:id="1549"/>
    <w:bookmarkEnd w:id="1550"/>
    <w:bookmarkEnd w:id="1551"/>
    <w:bookmarkEnd w:id="1552"/>
    <w:p w14:paraId="7F9F1F63">
      <w:pPr>
        <w:keepNext/>
        <w:keepLines/>
        <w:spacing w:line="400" w:lineRule="exact"/>
        <w:outlineLvl w:val="2"/>
        <w:rPr>
          <w:rFonts w:ascii="Times New Roman" w:hAnsi="Times New Roman" w:eastAsia="黑体" w:cs="宋体"/>
          <w:b/>
          <w:color w:val="auto"/>
          <w:sz w:val="24"/>
          <w:szCs w:val="20"/>
          <w:highlight w:val="none"/>
        </w:rPr>
      </w:pPr>
      <w:bookmarkStart w:id="1553" w:name="_Toc16294"/>
      <w:bookmarkStart w:id="1554" w:name="_Toc28532263"/>
      <w:r>
        <w:rPr>
          <w:rFonts w:ascii="Times New Roman" w:hAnsi="Times New Roman" w:eastAsia="黑体" w:cs="宋体"/>
          <w:b/>
          <w:color w:val="auto"/>
          <w:sz w:val="24"/>
          <w:szCs w:val="20"/>
          <w:highlight w:val="none"/>
        </w:rPr>
        <w:t>1.1 词语定义</w:t>
      </w:r>
      <w:bookmarkEnd w:id="1553"/>
      <w:bookmarkEnd w:id="1554"/>
    </w:p>
    <w:p w14:paraId="726855C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1.1.1合同</w:t>
      </w:r>
    </w:p>
    <w:p w14:paraId="6A1B67E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1.1.1.10其他合同文件包括：</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招标文件、投标文件</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1079265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 合同当事人及其他相关方</w:t>
      </w:r>
    </w:p>
    <w:p w14:paraId="1AE184B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1.1.2.4监理人：</w:t>
      </w:r>
    </w:p>
    <w:p w14:paraId="5C105AE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名    称：</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   </w:t>
      </w:r>
      <w:r>
        <w:rPr>
          <w:rFonts w:ascii="Times New Roman" w:hAnsi="Times New Roman"/>
          <w:color w:val="auto"/>
          <w:szCs w:val="24"/>
          <w:highlight w:val="none"/>
        </w:rPr>
        <w:t>；</w:t>
      </w:r>
    </w:p>
    <w:p w14:paraId="66C5723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资质类别和等级：</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54A84E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联系电话：</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2227AA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电子信箱：</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4730C8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通信地址：</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7BC69D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1.1.2.5 设计人：</w:t>
      </w:r>
    </w:p>
    <w:p w14:paraId="71354F3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名    称：</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rPr>
        <w:t>；</w:t>
      </w:r>
    </w:p>
    <w:p w14:paraId="2647670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资质类别和等级：</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49CBF23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联系电话：</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7871934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电子信箱：</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4C3367A7">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通信地址：</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19675C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 工程和设备</w:t>
      </w:r>
    </w:p>
    <w:p w14:paraId="5206B1F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1.1.3.7 作为施工现场组成部分的其他场所包括：</w:t>
      </w:r>
      <w:r>
        <w:rPr>
          <w:rFonts w:hint="eastAsia" w:ascii="Times New Roman" w:hAnsi="Times New Roman"/>
          <w:color w:val="auto"/>
          <w:szCs w:val="24"/>
          <w:highlight w:val="none"/>
          <w:u w:val="single"/>
        </w:rPr>
        <w:t xml:space="preserve">  搭建的现场临时办公室、临时公棚、材料堆放地等</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014FAEA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1.1.3.9 永久占地包括：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红线范围内的施工项目用地</w:t>
      </w:r>
      <w:r>
        <w:rPr>
          <w:rFonts w:ascii="Times New Roman" w:hAnsi="Times New Roman"/>
          <w:color w:val="auto"/>
          <w:szCs w:val="24"/>
          <w:highlight w:val="none"/>
          <w:u w:val="single"/>
        </w:rPr>
        <w:t></w:t>
      </w:r>
      <w:r>
        <w:rPr>
          <w:rFonts w:ascii="Times New Roman" w:hAnsi="Times New Roman"/>
          <w:color w:val="auto"/>
          <w:szCs w:val="24"/>
          <w:highlight w:val="none"/>
        </w:rPr>
        <w:t>。</w:t>
      </w:r>
    </w:p>
    <w:p w14:paraId="104A315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1.1.3.10 临时占地包括：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施工项目周边用地等</w:t>
      </w:r>
      <w:r>
        <w:rPr>
          <w:rFonts w:ascii="Times New Roman" w:hAnsi="Times New Roman"/>
          <w:color w:val="auto"/>
          <w:szCs w:val="24"/>
          <w:highlight w:val="none"/>
          <w:u w:val="single"/>
        </w:rPr>
        <w:t></w:t>
      </w:r>
      <w:r>
        <w:rPr>
          <w:rFonts w:ascii="Times New Roman" w:hAnsi="Times New Roman"/>
          <w:color w:val="auto"/>
          <w:szCs w:val="24"/>
          <w:highlight w:val="none"/>
        </w:rPr>
        <w:t>。</w:t>
      </w:r>
    </w:p>
    <w:p w14:paraId="312243AE">
      <w:pPr>
        <w:keepNext/>
        <w:keepLines/>
        <w:spacing w:line="400" w:lineRule="exact"/>
        <w:outlineLvl w:val="2"/>
        <w:rPr>
          <w:rFonts w:ascii="Times New Roman" w:hAnsi="Times New Roman" w:eastAsia="黑体" w:cs="宋体"/>
          <w:b/>
          <w:color w:val="auto"/>
          <w:sz w:val="24"/>
          <w:szCs w:val="20"/>
          <w:highlight w:val="none"/>
        </w:rPr>
      </w:pPr>
      <w:bookmarkStart w:id="1555" w:name="_Toc28532264"/>
      <w:bookmarkStart w:id="1556" w:name="_Toc1085"/>
      <w:r>
        <w:rPr>
          <w:rFonts w:ascii="Times New Roman" w:hAnsi="Times New Roman" w:eastAsia="黑体" w:cs="宋体"/>
          <w:b/>
          <w:color w:val="auto"/>
          <w:sz w:val="24"/>
          <w:szCs w:val="20"/>
          <w:highlight w:val="none"/>
        </w:rPr>
        <w:t>1.3法律</w:t>
      </w:r>
      <w:bookmarkEnd w:id="1555"/>
      <w:bookmarkEnd w:id="1556"/>
      <w:r>
        <w:rPr>
          <w:rFonts w:ascii="Times New Roman" w:hAnsi="Times New Roman" w:eastAsia="黑体" w:cs="宋体"/>
          <w:b/>
          <w:color w:val="auto"/>
          <w:sz w:val="24"/>
          <w:szCs w:val="20"/>
          <w:highlight w:val="none"/>
        </w:rPr>
        <w:t xml:space="preserve"> </w:t>
      </w:r>
    </w:p>
    <w:p w14:paraId="74DBA12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适用于合同的其他规范性文件：</w:t>
      </w:r>
      <w:r>
        <w:rPr>
          <w:rFonts w:hint="eastAsia" w:ascii="Times New Roman" w:hAnsi="Times New Roman"/>
          <w:color w:val="auto"/>
          <w:szCs w:val="24"/>
          <w:highlight w:val="none"/>
          <w:u w:val="single"/>
        </w:rPr>
        <w:t xml:space="preserve"> 《中华人民共和国民法典》、 《中华人民共和国建筑法》、《中华人民共和国招标投标法》、《中华人民共和国政府采购法》、《建设工程安全生产管理条例》、《建设工程质量管理条例》以及其他相关规定</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41CDBCDB">
      <w:pPr>
        <w:keepNext/>
        <w:keepLines/>
        <w:spacing w:line="400" w:lineRule="exact"/>
        <w:outlineLvl w:val="2"/>
        <w:rPr>
          <w:rFonts w:ascii="Times New Roman" w:hAnsi="Times New Roman" w:eastAsia="黑体" w:cs="宋体"/>
          <w:b/>
          <w:color w:val="auto"/>
          <w:sz w:val="24"/>
          <w:szCs w:val="20"/>
          <w:highlight w:val="none"/>
        </w:rPr>
      </w:pPr>
      <w:bookmarkStart w:id="1557" w:name="_Toc20166"/>
      <w:bookmarkStart w:id="1558" w:name="_Toc28532265"/>
      <w:r>
        <w:rPr>
          <w:rFonts w:ascii="Times New Roman" w:hAnsi="Times New Roman" w:eastAsia="黑体" w:cs="宋体"/>
          <w:b/>
          <w:color w:val="auto"/>
          <w:sz w:val="24"/>
          <w:szCs w:val="20"/>
          <w:highlight w:val="none"/>
        </w:rPr>
        <w:t>1.4 标准和规范</w:t>
      </w:r>
      <w:bookmarkEnd w:id="1557"/>
      <w:bookmarkEnd w:id="1558"/>
    </w:p>
    <w:p w14:paraId="170A09E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1.4.1适用于工程的标准规范包括：</w:t>
      </w:r>
      <w:r>
        <w:rPr>
          <w:rFonts w:hint="eastAsia" w:ascii="Times New Roman" w:hAnsi="Times New Roman"/>
          <w:color w:val="auto"/>
          <w:szCs w:val="24"/>
          <w:highlight w:val="none"/>
          <w:u w:val="single"/>
        </w:rPr>
        <w:t xml:space="preserve">  </w:t>
      </w:r>
      <w:r>
        <w:rPr>
          <w:rFonts w:hint="eastAsia" w:ascii="Times New Roman" w:hAnsi="Times New Roman"/>
          <w:szCs w:val="24"/>
          <w:u w:val="single"/>
        </w:rPr>
        <w:t>《建筑工程施工质量验收统一标准》（GB50300-2013）和国家以及地方现行的有关规范、标准、详细施工图集等</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2C3FFBA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1.4.2 发包人提供国外标准、规范的名称：</w:t>
      </w:r>
      <w:r>
        <w:rPr>
          <w:rFonts w:hint="eastAsia" w:ascii="Times New Roman" w:hAnsi="Times New Roman"/>
          <w:color w:val="auto"/>
          <w:szCs w:val="24"/>
          <w:highlight w:val="none"/>
          <w:u w:val="single"/>
        </w:rPr>
        <w:t xml:space="preserve"> </w:t>
      </w:r>
      <w:r>
        <w:rPr>
          <w:rFonts w:hint="eastAsia" w:ascii="Times New Roman" w:hAnsi="Times New Roman"/>
          <w:szCs w:val="24"/>
          <w:u w:val="single"/>
        </w:rPr>
        <w:t>发包人不提供，由承包人自行解决</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F6B9A31">
      <w:pPr>
        <w:spacing w:line="400" w:lineRule="exact"/>
        <w:rPr>
          <w:rFonts w:hint="eastAsia" w:ascii="Times New Roman" w:hAnsi="Times New Roman"/>
          <w:color w:val="auto"/>
          <w:szCs w:val="24"/>
          <w:highlight w:val="none"/>
        </w:rPr>
      </w:pPr>
    </w:p>
    <w:p w14:paraId="6948FD8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发包人提供国外标准、规范的份数：</w:t>
      </w:r>
      <w:r>
        <w:rPr>
          <w:rFonts w:ascii="Times New Roman" w:hAnsi="Times New Roman"/>
          <w:color w:val="auto"/>
          <w:szCs w:val="24"/>
          <w:highlight w:val="none"/>
          <w:u w:val="single"/>
        </w:rPr>
        <w:t xml:space="preserve">  </w:t>
      </w:r>
      <w:r>
        <w:rPr>
          <w:rFonts w:hint="eastAsia" w:ascii="Times New Roman" w:hAnsi="Times New Roman"/>
          <w:szCs w:val="24"/>
          <w:u w:val="single"/>
        </w:rPr>
        <w:t>发包人不提供，由承包人自行解决</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31ECD9D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发包人提供国外标准、规范的名称：</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发包人不提供，由承包人自行解决</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403FC16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1.4.3发包人对工程的技术标准和功能要求的特殊要求：</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5A79265B">
      <w:pPr>
        <w:keepNext/>
        <w:keepLines/>
        <w:spacing w:line="400" w:lineRule="exact"/>
        <w:outlineLvl w:val="2"/>
        <w:rPr>
          <w:rFonts w:ascii="Times New Roman" w:hAnsi="Times New Roman" w:eastAsia="黑体" w:cs="宋体"/>
          <w:b/>
          <w:color w:val="auto"/>
          <w:sz w:val="24"/>
          <w:szCs w:val="20"/>
          <w:highlight w:val="none"/>
        </w:rPr>
      </w:pPr>
      <w:bookmarkStart w:id="1559" w:name="_Toc30831"/>
      <w:bookmarkStart w:id="1560" w:name="_Toc28532266"/>
      <w:r>
        <w:rPr>
          <w:rFonts w:ascii="Times New Roman" w:hAnsi="Times New Roman" w:eastAsia="黑体" w:cs="宋体"/>
          <w:b/>
          <w:color w:val="auto"/>
          <w:sz w:val="24"/>
          <w:szCs w:val="20"/>
          <w:highlight w:val="none"/>
        </w:rPr>
        <w:t>1.5 合同文件的优先顺序</w:t>
      </w:r>
      <w:bookmarkEnd w:id="1559"/>
      <w:bookmarkEnd w:id="1560"/>
    </w:p>
    <w:p w14:paraId="22B4FFD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合同文件组成及优先顺序为：</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按通用合同条款执行</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0C0D1644">
      <w:pPr>
        <w:keepNext/>
        <w:keepLines/>
        <w:spacing w:line="400" w:lineRule="exact"/>
        <w:outlineLvl w:val="2"/>
        <w:rPr>
          <w:rFonts w:ascii="Times New Roman" w:hAnsi="Times New Roman" w:eastAsia="黑体" w:cs="宋体"/>
          <w:b/>
          <w:color w:val="auto"/>
          <w:sz w:val="24"/>
          <w:szCs w:val="20"/>
          <w:highlight w:val="none"/>
        </w:rPr>
      </w:pPr>
      <w:bookmarkStart w:id="1561" w:name="_Toc10521"/>
      <w:bookmarkStart w:id="1562" w:name="_Toc28532267"/>
      <w:r>
        <w:rPr>
          <w:rFonts w:ascii="Times New Roman" w:hAnsi="Times New Roman" w:eastAsia="黑体" w:cs="宋体"/>
          <w:b/>
          <w:color w:val="auto"/>
          <w:sz w:val="24"/>
          <w:szCs w:val="20"/>
          <w:highlight w:val="none"/>
        </w:rPr>
        <w:t>1.6 图纸和承包人文件</w:t>
      </w:r>
      <w:bookmarkEnd w:id="1561"/>
      <w:bookmarkEnd w:id="1562"/>
      <w:r>
        <w:rPr>
          <w:rFonts w:ascii="Times New Roman" w:hAnsi="Times New Roman" w:eastAsia="黑体" w:cs="宋体"/>
          <w:b/>
          <w:color w:val="auto"/>
          <w:sz w:val="24"/>
          <w:szCs w:val="20"/>
          <w:highlight w:val="none"/>
        </w:rPr>
        <w:tab/>
      </w:r>
    </w:p>
    <w:p w14:paraId="783C619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 图纸的提供</w:t>
      </w:r>
    </w:p>
    <w:p w14:paraId="2A2877E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发包人向承包人提供图纸的期限：</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正式开工前7天内</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373026C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发包人向承包人提供图纸的数量：</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壹份</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43B78BC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发包人向承包人提供图纸的内容：</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全套施工图纸</w:t>
      </w:r>
      <w:r>
        <w:rPr>
          <w:rFonts w:ascii="Times New Roman" w:hAnsi="Times New Roman"/>
          <w:color w:val="auto"/>
          <w:szCs w:val="24"/>
          <w:highlight w:val="none"/>
        </w:rPr>
        <w:t>。</w:t>
      </w:r>
    </w:p>
    <w:p w14:paraId="62003F4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1.6.4 承包人文件</w:t>
      </w:r>
    </w:p>
    <w:p w14:paraId="05161EC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需要由承包人提供的文件，包括：</w:t>
      </w:r>
      <w:r>
        <w:rPr>
          <w:rFonts w:hint="eastAsia" w:ascii="Times New Roman" w:hAnsi="Times New Roman"/>
          <w:szCs w:val="24"/>
          <w:u w:val="single"/>
        </w:rPr>
        <w:t>施工组织设计、专项施工方案、施工进度计划、材料和设备采购计划等</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rPr>
        <w:t xml:space="preserve"> </w:t>
      </w:r>
      <w:r>
        <w:rPr>
          <w:rFonts w:ascii="Times New Roman" w:hAnsi="Times New Roman"/>
          <w:color w:val="auto"/>
          <w:szCs w:val="24"/>
          <w:highlight w:val="none"/>
        </w:rPr>
        <w:t>；</w:t>
      </w:r>
    </w:p>
    <w:p w14:paraId="3F34AA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承包人提供的文件的期限为：</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正式开工前7天内</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5DD727E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承包人提供的文件的数量为：</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叁份</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03E9F49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承包人提供的文件的形式为：</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书面形式</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64B523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w:t>
      </w:r>
      <w:r>
        <w:rPr>
          <w:rFonts w:hint="eastAsia" w:ascii="Times New Roman" w:hAnsi="Times New Roman"/>
          <w:color w:val="auto"/>
          <w:szCs w:val="24"/>
          <w:highlight w:val="none"/>
        </w:rPr>
        <w:t>审批</w:t>
      </w:r>
      <w:r>
        <w:rPr>
          <w:rFonts w:ascii="Times New Roman" w:hAnsi="Times New Roman"/>
          <w:color w:val="auto"/>
          <w:szCs w:val="24"/>
          <w:highlight w:val="none"/>
        </w:rPr>
        <w:t>承包人文件的期限：</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应提交的各类文件范围以相关技术规范规定为准，承包人提交文件时应保证至少有5个工作日时间供发包人代表审核认可，所有承包人提交的文件或图纸的修改必须得到发包人代表的认可</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1169BFC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1.6.5 现场图纸准备</w:t>
      </w:r>
    </w:p>
    <w:p w14:paraId="269307E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关于现场图纸准备的约定：</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按通用合同条款执行</w:t>
      </w:r>
      <w:r>
        <w:rPr>
          <w:rFonts w:ascii="Times New Roman" w:hAnsi="Times New Roman"/>
          <w:color w:val="auto"/>
          <w:szCs w:val="24"/>
          <w:highlight w:val="none"/>
        </w:rPr>
        <w:t>。</w:t>
      </w:r>
    </w:p>
    <w:p w14:paraId="488DF368">
      <w:pPr>
        <w:keepNext/>
        <w:keepLines/>
        <w:spacing w:line="400" w:lineRule="exact"/>
        <w:outlineLvl w:val="2"/>
        <w:rPr>
          <w:rFonts w:ascii="Times New Roman" w:hAnsi="Times New Roman" w:eastAsia="黑体" w:cs="宋体"/>
          <w:b/>
          <w:color w:val="auto"/>
          <w:sz w:val="24"/>
          <w:szCs w:val="20"/>
          <w:highlight w:val="none"/>
        </w:rPr>
      </w:pPr>
      <w:bookmarkStart w:id="1563" w:name="_Toc29147"/>
      <w:bookmarkStart w:id="1564" w:name="_Toc28532268"/>
      <w:r>
        <w:rPr>
          <w:rFonts w:ascii="Times New Roman" w:hAnsi="Times New Roman" w:eastAsia="黑体" w:cs="宋体"/>
          <w:b/>
          <w:color w:val="auto"/>
          <w:sz w:val="24"/>
          <w:szCs w:val="20"/>
          <w:highlight w:val="none"/>
        </w:rPr>
        <w:t>1.7 联络</w:t>
      </w:r>
      <w:bookmarkEnd w:id="1563"/>
      <w:bookmarkEnd w:id="1564"/>
    </w:p>
    <w:p w14:paraId="1366E09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1.7.1发包人和承包人应当在</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14</w:t>
      </w:r>
      <w:r>
        <w:rPr>
          <w:rFonts w:ascii="Times New Roman" w:hAnsi="Times New Roman"/>
          <w:color w:val="auto"/>
          <w:szCs w:val="24"/>
          <w:highlight w:val="none"/>
          <w:u w:val="single"/>
        </w:rPr>
        <w:t xml:space="preserve">  </w:t>
      </w:r>
      <w:r>
        <w:rPr>
          <w:rFonts w:ascii="Times New Roman" w:hAnsi="Times New Roman"/>
          <w:color w:val="auto"/>
          <w:szCs w:val="24"/>
          <w:highlight w:val="none"/>
        </w:rPr>
        <w:t>天内将与合同有关的通知、批准、证明、证书、指示、指令、要求、请求、同意、意见、确定和决定等书面函件送达对方当事人</w:t>
      </w:r>
      <w:r>
        <w:rPr>
          <w:rFonts w:hint="eastAsia" w:ascii="Times New Roman" w:hAnsi="Times New Roman"/>
          <w:color w:val="auto"/>
          <w:szCs w:val="24"/>
          <w:highlight w:val="none"/>
        </w:rPr>
        <w:t>。</w:t>
      </w:r>
    </w:p>
    <w:p w14:paraId="63EB321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1.7.2 发包人接收文件的地点：</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eastAsia="zh-CN"/>
        </w:rPr>
        <w:t>大冶市第二中学</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36010B8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发包人指定的接收人为：</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1823C65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承包人接收文件的地点：</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施工现场</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2225FCA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承包人指定的接收人为：</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50DD4C2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监理人接收文件的地点：</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施工现场</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18A50AC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监理人指定的接收人为：</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7EB26BB1">
      <w:pPr>
        <w:keepNext/>
        <w:keepLines/>
        <w:spacing w:line="400" w:lineRule="exact"/>
        <w:outlineLvl w:val="2"/>
        <w:rPr>
          <w:rFonts w:ascii="Times New Roman" w:hAnsi="Times New Roman" w:eastAsia="黑体" w:cs="宋体"/>
          <w:b/>
          <w:color w:val="auto"/>
          <w:sz w:val="24"/>
          <w:szCs w:val="20"/>
          <w:highlight w:val="none"/>
        </w:rPr>
      </w:pPr>
      <w:bookmarkStart w:id="1565" w:name="_Toc7237"/>
      <w:bookmarkStart w:id="1566" w:name="_Toc28532269"/>
      <w:r>
        <w:rPr>
          <w:rFonts w:ascii="Times New Roman" w:hAnsi="Times New Roman" w:eastAsia="黑体" w:cs="宋体"/>
          <w:b/>
          <w:color w:val="auto"/>
          <w:sz w:val="24"/>
          <w:szCs w:val="20"/>
          <w:highlight w:val="none"/>
        </w:rPr>
        <w:t>1.10 交通运输</w:t>
      </w:r>
      <w:bookmarkEnd w:id="1565"/>
      <w:bookmarkEnd w:id="1566"/>
    </w:p>
    <w:p w14:paraId="081B483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bookmarkStart w:id="1567" w:name="_Toc303539100"/>
      <w:bookmarkStart w:id="1568" w:name="_Toc312677986"/>
      <w:bookmarkStart w:id="1569" w:name="_Toc304295521"/>
      <w:bookmarkStart w:id="1570" w:name="_Toc300934943"/>
      <w:bookmarkStart w:id="1571" w:name="_Toc318581155"/>
      <w:r>
        <w:rPr>
          <w:rFonts w:ascii="Times New Roman" w:hAnsi="Times New Roman"/>
          <w:color w:val="auto"/>
          <w:szCs w:val="24"/>
          <w:highlight w:val="none"/>
        </w:rPr>
        <w:t>.10.1 出入现场的权利</w:t>
      </w:r>
    </w:p>
    <w:p w14:paraId="26CE42D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关于出入现场的权利的约定：</w:t>
      </w:r>
    </w:p>
    <w:p w14:paraId="319D6FC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由承包方自行解决，承担相应费用</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bookmarkEnd w:id="1567"/>
    <w:bookmarkEnd w:id="1568"/>
    <w:bookmarkEnd w:id="1569"/>
    <w:bookmarkEnd w:id="1570"/>
    <w:bookmarkEnd w:id="1571"/>
    <w:p w14:paraId="2C0F865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bookmarkStart w:id="1572" w:name="_Toc303539101"/>
      <w:bookmarkStart w:id="1573" w:name="_Toc300934944"/>
      <w:bookmarkStart w:id="1574" w:name="_Toc304295522"/>
      <w:bookmarkStart w:id="1575" w:name="_Toc318581156"/>
      <w:bookmarkStart w:id="1576" w:name="_Toc312677987"/>
      <w:r>
        <w:rPr>
          <w:rFonts w:ascii="Times New Roman" w:hAnsi="Times New Roman"/>
          <w:color w:val="auto"/>
          <w:szCs w:val="24"/>
          <w:highlight w:val="none"/>
        </w:rPr>
        <w:t>.10.3 场内交通</w:t>
      </w:r>
    </w:p>
    <w:p w14:paraId="0EBF2DA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关于场外交通和场内交通的边界的约定：</w:t>
      </w:r>
    </w:p>
    <w:p w14:paraId="2B1A2A4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依据设计文件和承包人施工组织设计，由发包人、监理和承包人共同确定</w:t>
      </w:r>
      <w:r>
        <w:rPr>
          <w:rFonts w:ascii="Times New Roman" w:hAnsi="Times New Roman"/>
          <w:color w:val="auto"/>
          <w:szCs w:val="24"/>
          <w:highlight w:val="none"/>
        </w:rPr>
        <w:t>。</w:t>
      </w:r>
    </w:p>
    <w:p w14:paraId="3FB9F36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关于发包人向承包人免费提供满足工程施工需要的场内道路和交通设施的约定：</w:t>
      </w:r>
    </w:p>
    <w:p w14:paraId="5C2C356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发包人保证施工前道路畅通，但承包方应对场内外施工环境及道路等状况进行充分勘察，在施工过程中因此产生的所有费用由承包方负责</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 xml:space="preserve">。 </w:t>
      </w:r>
      <w:bookmarkEnd w:id="1572"/>
      <w:bookmarkEnd w:id="1573"/>
      <w:bookmarkEnd w:id="1574"/>
      <w:bookmarkEnd w:id="1575"/>
      <w:bookmarkEnd w:id="1576"/>
      <w:bookmarkStart w:id="1577" w:name="_Toc318581157"/>
    </w:p>
    <w:p w14:paraId="53C6D4C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1.10.4超大件和超重件的运输</w:t>
      </w:r>
    </w:p>
    <w:p w14:paraId="3E42EC7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运输超大件或超重件所需的道路和桥梁临时加固改造费用和其他有关费用由</w:t>
      </w:r>
      <w:r>
        <w:rPr>
          <w:rFonts w:hint="eastAsia" w:ascii="Times New Roman" w:hAnsi="Times New Roman"/>
          <w:szCs w:val="24"/>
          <w:u w:val="single"/>
        </w:rPr>
        <w:t>承包人</w:t>
      </w:r>
      <w:r>
        <w:rPr>
          <w:rFonts w:ascii="Times New Roman" w:hAnsi="Times New Roman"/>
          <w:szCs w:val="24"/>
        </w:rPr>
        <w:t xml:space="preserve">              </w:t>
      </w:r>
      <w:r>
        <w:rPr>
          <w:rFonts w:ascii="Times New Roman" w:hAnsi="Times New Roman"/>
          <w:color w:val="auto"/>
          <w:szCs w:val="24"/>
          <w:highlight w:val="none"/>
        </w:rPr>
        <w:t>承担。</w:t>
      </w:r>
    </w:p>
    <w:bookmarkEnd w:id="1577"/>
    <w:p w14:paraId="278BDBCE">
      <w:pPr>
        <w:keepNext/>
        <w:keepLines/>
        <w:spacing w:line="400" w:lineRule="exact"/>
        <w:outlineLvl w:val="2"/>
        <w:rPr>
          <w:rFonts w:ascii="Times New Roman" w:hAnsi="Times New Roman" w:eastAsia="黑体" w:cs="宋体"/>
          <w:color w:val="auto"/>
          <w:sz w:val="24"/>
          <w:szCs w:val="20"/>
          <w:highlight w:val="none"/>
        </w:rPr>
      </w:pPr>
      <w:bookmarkStart w:id="1578" w:name="_Toc28532270"/>
      <w:bookmarkStart w:id="1579" w:name="_Toc4138"/>
      <w:r>
        <w:rPr>
          <w:rFonts w:ascii="Times New Roman" w:hAnsi="Times New Roman" w:eastAsia="黑体" w:cs="宋体"/>
          <w:b/>
          <w:color w:val="auto"/>
          <w:sz w:val="24"/>
          <w:szCs w:val="20"/>
          <w:highlight w:val="none"/>
        </w:rPr>
        <w:t>1.11 知识产权</w:t>
      </w:r>
      <w:bookmarkEnd w:id="1578"/>
      <w:bookmarkEnd w:id="1579"/>
    </w:p>
    <w:p w14:paraId="2A19F10D">
      <w:pPr>
        <w:spacing w:line="400" w:lineRule="exact"/>
        <w:ind w:left="420" w:leftChars="200"/>
        <w:rPr>
          <w:rFonts w:ascii="Times New Roman" w:hAnsi="Times New Roman"/>
          <w:color w:val="auto"/>
          <w:szCs w:val="24"/>
          <w:highlight w:val="none"/>
        </w:rPr>
      </w:pPr>
      <w:r>
        <w:rPr>
          <w:rFonts w:ascii="Times New Roman" w:hAnsi="Times New Roman"/>
          <w:color w:val="auto"/>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color w:val="auto"/>
          <w:szCs w:val="24"/>
          <w:highlight w:val="none"/>
          <w:u w:val="single"/>
        </w:rPr>
        <w:t>发包人</w:t>
      </w:r>
      <w:r>
        <w:rPr>
          <w:rFonts w:ascii="Times New Roman" w:hAnsi="Times New Roman"/>
          <w:color w:val="auto"/>
          <w:szCs w:val="24"/>
          <w:highlight w:val="none"/>
          <w:u w:val="single"/>
        </w:rPr>
        <w:t>。</w:t>
      </w:r>
    </w:p>
    <w:p w14:paraId="523ED46F">
      <w:pPr>
        <w:spacing w:line="400" w:lineRule="exact"/>
        <w:ind w:left="420" w:leftChars="200"/>
        <w:rPr>
          <w:rFonts w:ascii="Times New Roman" w:hAnsi="Times New Roman"/>
          <w:color w:val="auto"/>
          <w:szCs w:val="24"/>
          <w:highlight w:val="none"/>
        </w:rPr>
      </w:pPr>
      <w:r>
        <w:rPr>
          <w:rFonts w:ascii="Times New Roman" w:hAnsi="Times New Roman"/>
          <w:color w:val="auto"/>
          <w:szCs w:val="24"/>
          <w:highlight w:val="none"/>
        </w:rPr>
        <w:t>关于发包人提供的上述文件的使用限制的要求：</w:t>
      </w:r>
      <w:r>
        <w:rPr>
          <w:rFonts w:hint="eastAsia" w:ascii="Times New Roman" w:hAnsi="Times New Roman"/>
          <w:color w:val="auto"/>
          <w:szCs w:val="24"/>
          <w:highlight w:val="none"/>
          <w:u w:val="single"/>
        </w:rPr>
        <w:t>按通用合同条款执行</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 xml:space="preserve">。 </w:t>
      </w:r>
    </w:p>
    <w:p w14:paraId="502A801A">
      <w:pPr>
        <w:spacing w:line="400" w:lineRule="exact"/>
        <w:ind w:left="420" w:leftChars="200"/>
        <w:rPr>
          <w:rFonts w:ascii="Times New Roman" w:hAnsi="Times New Roman"/>
          <w:color w:val="auto"/>
          <w:szCs w:val="24"/>
          <w:highlight w:val="none"/>
        </w:rPr>
      </w:pPr>
      <w:r>
        <w:rPr>
          <w:rFonts w:ascii="Times New Roman" w:hAnsi="Times New Roman"/>
          <w:color w:val="auto"/>
          <w:szCs w:val="24"/>
          <w:highlight w:val="none"/>
        </w:rPr>
        <w:t>1.11.2 关于承包人为实施工程所编制文件的著作权的归属：</w:t>
      </w:r>
      <w:r>
        <w:rPr>
          <w:rFonts w:hint="eastAsia" w:ascii="Times New Roman" w:hAnsi="Times New Roman"/>
          <w:szCs w:val="24"/>
          <w:u w:val="single"/>
        </w:rPr>
        <w:t>发包人</w:t>
      </w:r>
      <w:r>
        <w:rPr>
          <w:rFonts w:ascii="Times New Roman" w:hAnsi="Times New Roman"/>
          <w:color w:val="auto"/>
          <w:szCs w:val="24"/>
          <w:highlight w:val="none"/>
        </w:rPr>
        <w:t>。</w:t>
      </w:r>
    </w:p>
    <w:p w14:paraId="1F2BC086">
      <w:pPr>
        <w:spacing w:line="400" w:lineRule="exact"/>
        <w:ind w:left="420" w:leftChars="200"/>
        <w:rPr>
          <w:rFonts w:ascii="Times New Roman" w:hAnsi="Times New Roman"/>
          <w:color w:val="auto"/>
          <w:szCs w:val="24"/>
          <w:highlight w:val="none"/>
        </w:rPr>
      </w:pPr>
      <w:r>
        <w:rPr>
          <w:rFonts w:ascii="Times New Roman" w:hAnsi="Times New Roman"/>
          <w:color w:val="auto"/>
          <w:szCs w:val="24"/>
          <w:highlight w:val="none"/>
        </w:rPr>
        <w:t>关于承包人提供的上述文件的使用限制的要求：</w:t>
      </w:r>
      <w:r>
        <w:rPr>
          <w:rFonts w:hint="eastAsia" w:ascii="Times New Roman" w:hAnsi="Times New Roman"/>
          <w:color w:val="auto"/>
          <w:szCs w:val="24"/>
          <w:highlight w:val="none"/>
          <w:u w:val="single"/>
        </w:rPr>
        <w:t>按通用合同条款执行</w:t>
      </w:r>
      <w:r>
        <w:rPr>
          <w:rFonts w:ascii="Times New Roman" w:hAnsi="Times New Roman"/>
          <w:color w:val="auto"/>
          <w:szCs w:val="24"/>
          <w:highlight w:val="none"/>
          <w:u w:val="single"/>
        </w:rPr>
        <w:t>。</w:t>
      </w:r>
      <w:r>
        <w:rPr>
          <w:rFonts w:ascii="Times New Roman" w:hAnsi="Times New Roman"/>
          <w:color w:val="auto"/>
          <w:szCs w:val="24"/>
          <w:highlight w:val="none"/>
        </w:rPr>
        <w:t xml:space="preserve"> </w:t>
      </w:r>
    </w:p>
    <w:p w14:paraId="7B0F721D">
      <w:pPr>
        <w:spacing w:line="400" w:lineRule="exact"/>
        <w:ind w:left="420" w:leftChars="200"/>
        <w:rPr>
          <w:rFonts w:hint="eastAsia" w:ascii="Times New Roman" w:hAnsi="Times New Roman"/>
          <w:color w:val="auto"/>
          <w:szCs w:val="24"/>
          <w:highlight w:val="none"/>
        </w:rPr>
      </w:pPr>
      <w:r>
        <w:rPr>
          <w:rFonts w:ascii="Times New Roman" w:hAnsi="Times New Roman"/>
          <w:color w:val="auto"/>
          <w:szCs w:val="24"/>
          <w:highlight w:val="none"/>
        </w:rPr>
        <w:t>1.11.4 承包人在施工过程中所采用的专利、专有技术、技术秘密的使用费的承担方式：</w:t>
      </w:r>
    </w:p>
    <w:p w14:paraId="65DC4A2E">
      <w:pPr>
        <w:spacing w:line="400" w:lineRule="exact"/>
        <w:ind w:left="420" w:leftChars="200"/>
        <w:rPr>
          <w:rFonts w:ascii="Times New Roman" w:hAnsi="Times New Roman"/>
          <w:color w:val="auto"/>
          <w:szCs w:val="24"/>
          <w:highlight w:val="none"/>
        </w:rPr>
      </w:pP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A242163">
      <w:pPr>
        <w:keepNext/>
        <w:keepLines/>
        <w:spacing w:line="400" w:lineRule="exact"/>
        <w:outlineLvl w:val="2"/>
        <w:rPr>
          <w:rFonts w:ascii="Times New Roman" w:hAnsi="Times New Roman" w:eastAsia="黑体" w:cs="宋体"/>
          <w:b/>
          <w:color w:val="auto"/>
          <w:sz w:val="24"/>
          <w:szCs w:val="20"/>
          <w:highlight w:val="none"/>
        </w:rPr>
      </w:pPr>
      <w:bookmarkStart w:id="1580" w:name="_Toc6014"/>
      <w:bookmarkStart w:id="1581" w:name="_Toc28532271"/>
      <w:r>
        <w:rPr>
          <w:rFonts w:ascii="Times New Roman" w:hAnsi="Times New Roman" w:eastAsia="黑体" w:cs="宋体"/>
          <w:b/>
          <w:color w:val="auto"/>
          <w:sz w:val="24"/>
          <w:szCs w:val="20"/>
          <w:highlight w:val="none"/>
        </w:rPr>
        <w:t>1.13工程量清单错误的修正</w:t>
      </w:r>
      <w:bookmarkEnd w:id="1580"/>
      <w:bookmarkEnd w:id="1581"/>
    </w:p>
    <w:p w14:paraId="3804503C">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出现工程量清单错误时，是否调整合同价格：</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5919F35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允许调整合同价格的工程量偏差范围：</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36EBCBAD">
      <w:pPr>
        <w:keepNext/>
        <w:keepLines/>
        <w:spacing w:before="100" w:line="400" w:lineRule="exact"/>
        <w:outlineLvl w:val="1"/>
        <w:rPr>
          <w:rFonts w:ascii="Times New Roman" w:hAnsi="Times New Roman" w:eastAsia="黑体" w:cs="宋体"/>
          <w:b/>
          <w:color w:val="auto"/>
          <w:sz w:val="28"/>
          <w:szCs w:val="20"/>
          <w:highlight w:val="none"/>
        </w:rPr>
      </w:pPr>
      <w:bookmarkStart w:id="1582" w:name="_Toc28532272"/>
      <w:bookmarkStart w:id="1583" w:name="_Toc351203634"/>
      <w:bookmarkStart w:id="1584" w:name="_Toc25387"/>
      <w:r>
        <w:rPr>
          <w:rFonts w:ascii="Times New Roman" w:hAnsi="Times New Roman" w:eastAsia="黑体" w:cs="宋体"/>
          <w:b/>
          <w:color w:val="auto"/>
          <w:sz w:val="28"/>
          <w:szCs w:val="20"/>
          <w:highlight w:val="none"/>
        </w:rPr>
        <w:t>2</w:t>
      </w:r>
      <w:bookmarkStart w:id="1585" w:name="_Toc296944496"/>
      <w:bookmarkStart w:id="1586" w:name="_Toc297120457"/>
      <w:bookmarkStart w:id="1587" w:name="_Toc296347156"/>
      <w:bookmarkStart w:id="1588" w:name="_Toc292559362"/>
      <w:bookmarkStart w:id="1589" w:name="_Toc296346658"/>
      <w:bookmarkStart w:id="1590" w:name="_Toc292559867"/>
      <w:bookmarkStart w:id="1591" w:name="_Toc296890985"/>
      <w:bookmarkStart w:id="1592" w:name="_Toc296891197"/>
      <w:bookmarkStart w:id="1593" w:name="_Toc296503157"/>
      <w:bookmarkStart w:id="1594" w:name="_Toc297048343"/>
      <w:r>
        <w:rPr>
          <w:rFonts w:ascii="Times New Roman" w:hAnsi="Times New Roman" w:eastAsia="黑体" w:cs="宋体"/>
          <w:b/>
          <w:color w:val="auto"/>
          <w:sz w:val="28"/>
          <w:szCs w:val="20"/>
          <w:highlight w:val="none"/>
        </w:rPr>
        <w:t>. 发包人</w:t>
      </w:r>
      <w:bookmarkEnd w:id="1582"/>
      <w:bookmarkEnd w:id="1583"/>
      <w:bookmarkEnd w:id="1584"/>
    </w:p>
    <w:bookmarkEnd w:id="1585"/>
    <w:bookmarkEnd w:id="1586"/>
    <w:bookmarkEnd w:id="1587"/>
    <w:bookmarkEnd w:id="1588"/>
    <w:bookmarkEnd w:id="1589"/>
    <w:bookmarkEnd w:id="1590"/>
    <w:bookmarkEnd w:id="1591"/>
    <w:bookmarkEnd w:id="1592"/>
    <w:bookmarkEnd w:id="1593"/>
    <w:bookmarkEnd w:id="1594"/>
    <w:p w14:paraId="6616DDDB">
      <w:pPr>
        <w:keepNext/>
        <w:keepLines/>
        <w:spacing w:line="400" w:lineRule="exact"/>
        <w:outlineLvl w:val="2"/>
        <w:rPr>
          <w:rFonts w:ascii="Times New Roman" w:hAnsi="Times New Roman" w:eastAsia="黑体" w:cs="宋体"/>
          <w:b/>
          <w:color w:val="auto"/>
          <w:sz w:val="24"/>
          <w:szCs w:val="20"/>
          <w:highlight w:val="none"/>
        </w:rPr>
      </w:pPr>
      <w:bookmarkStart w:id="1595" w:name="_Toc31518"/>
      <w:bookmarkStart w:id="1596" w:name="_Toc28532273"/>
      <w:r>
        <w:rPr>
          <w:rFonts w:ascii="Times New Roman" w:hAnsi="Times New Roman" w:eastAsia="黑体" w:cs="宋体"/>
          <w:b/>
          <w:color w:val="auto"/>
          <w:sz w:val="24"/>
          <w:szCs w:val="20"/>
          <w:highlight w:val="none"/>
        </w:rPr>
        <w:t>2.2 发包人代表</w:t>
      </w:r>
      <w:bookmarkEnd w:id="1595"/>
      <w:bookmarkEnd w:id="1596"/>
    </w:p>
    <w:p w14:paraId="095913B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发包人代表：</w:t>
      </w:r>
    </w:p>
    <w:p w14:paraId="14B92FD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姓    名：</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13D3A45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身份证号：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18522F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职    务：</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FC9057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联系电话：</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0198137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电子信箱：</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3BC2234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通信地址：</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 </w:t>
      </w:r>
      <w:r>
        <w:rPr>
          <w:rFonts w:ascii="Times New Roman" w:hAnsi="Times New Roman"/>
          <w:color w:val="auto"/>
          <w:szCs w:val="24"/>
          <w:highlight w:val="none"/>
        </w:rPr>
        <w:t>。</w:t>
      </w:r>
    </w:p>
    <w:p w14:paraId="0129E781">
      <w:pPr>
        <w:spacing w:line="400" w:lineRule="exact"/>
        <w:ind w:firstLine="420" w:firstLineChars="200"/>
        <w:rPr>
          <w:rFonts w:ascii="Times New Roman" w:hAnsi="Times New Roman"/>
          <w:color w:val="auto"/>
          <w:szCs w:val="24"/>
          <w:highlight w:val="none"/>
          <w:u w:val="single"/>
        </w:rPr>
      </w:pPr>
      <w:r>
        <w:rPr>
          <w:rFonts w:ascii="Times New Roman" w:hAnsi="Times New Roman"/>
          <w:color w:val="auto"/>
          <w:szCs w:val="24"/>
          <w:highlight w:val="none"/>
        </w:rPr>
        <w:t>发包人对发包人代表的授权范围如下：</w:t>
      </w:r>
      <w:r>
        <w:rPr>
          <w:rFonts w:hint="eastAsia" w:ascii="Times New Roman" w:hAnsi="Times New Roman"/>
          <w:color w:val="auto"/>
          <w:szCs w:val="24"/>
          <w:highlight w:val="none"/>
          <w:u w:val="single"/>
        </w:rPr>
        <w:t>（1）在监理的书面审核之后对工程变更及工程量确认；（2）与承包人相互配合，保证工程建设顺利进行；（3）对工程质量、安全、进度进行检查；（4）代表发包人行使本合同约定的其他权利和义务</w:t>
      </w:r>
      <w:r>
        <w:rPr>
          <w:rFonts w:ascii="Times New Roman" w:hAnsi="Times New Roman"/>
          <w:color w:val="auto"/>
          <w:szCs w:val="24"/>
          <w:highlight w:val="none"/>
          <w:u w:val="single"/>
        </w:rPr>
        <w:t>。</w:t>
      </w:r>
      <w:r>
        <w:rPr>
          <w:rFonts w:ascii="Times New Roman" w:hAnsi="Times New Roman"/>
          <w:color w:val="auto"/>
          <w:szCs w:val="24"/>
          <w:highlight w:val="none"/>
        </w:rPr>
        <w:t>。</w:t>
      </w:r>
    </w:p>
    <w:p w14:paraId="2DF963AE">
      <w:pPr>
        <w:keepNext/>
        <w:keepLines/>
        <w:spacing w:line="400" w:lineRule="exact"/>
        <w:outlineLvl w:val="2"/>
        <w:rPr>
          <w:rFonts w:ascii="Times New Roman" w:hAnsi="Times New Roman" w:eastAsia="黑体" w:cs="宋体"/>
          <w:b/>
          <w:color w:val="auto"/>
          <w:sz w:val="24"/>
          <w:szCs w:val="20"/>
          <w:highlight w:val="none"/>
        </w:rPr>
      </w:pPr>
      <w:bookmarkStart w:id="1597" w:name="_Toc8837"/>
      <w:bookmarkStart w:id="1598" w:name="_Toc28532274"/>
      <w:r>
        <w:rPr>
          <w:rFonts w:ascii="Times New Roman" w:hAnsi="Times New Roman" w:eastAsia="黑体" w:cs="宋体"/>
          <w:b/>
          <w:color w:val="auto"/>
          <w:sz w:val="24"/>
          <w:szCs w:val="20"/>
          <w:highlight w:val="none"/>
        </w:rPr>
        <w:t>2.4 施工现场、施工条件和基础资料的提供</w:t>
      </w:r>
      <w:bookmarkEnd w:id="1597"/>
      <w:bookmarkEnd w:id="1598"/>
    </w:p>
    <w:p w14:paraId="32F1960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2.4.1 提供施工现场</w:t>
      </w:r>
    </w:p>
    <w:p w14:paraId="60D42256">
      <w:pPr>
        <w:spacing w:line="400" w:lineRule="exact"/>
        <w:ind w:firstLine="420" w:firstLineChars="200"/>
        <w:rPr>
          <w:rFonts w:ascii="Times New Roman" w:hAnsi="Times New Roman"/>
          <w:color w:val="auto"/>
          <w:szCs w:val="24"/>
          <w:highlight w:val="none"/>
          <w:u w:val="single"/>
        </w:rPr>
      </w:pPr>
      <w:r>
        <w:rPr>
          <w:rFonts w:ascii="Times New Roman" w:hAnsi="Times New Roman"/>
          <w:color w:val="auto"/>
          <w:szCs w:val="24"/>
          <w:highlight w:val="none"/>
        </w:rPr>
        <w:t>关于发包人移交施工现场的期限要求：</w:t>
      </w:r>
      <w:r>
        <w:rPr>
          <w:rFonts w:hint="eastAsia" w:ascii="Times New Roman" w:hAnsi="Times New Roman"/>
          <w:color w:val="auto"/>
          <w:szCs w:val="24"/>
          <w:highlight w:val="none"/>
          <w:u w:val="single"/>
        </w:rPr>
        <w:t>正式开工前7天内</w:t>
      </w:r>
      <w:r>
        <w:rPr>
          <w:rFonts w:ascii="Times New Roman" w:hAnsi="Times New Roman"/>
          <w:color w:val="auto"/>
          <w:szCs w:val="24"/>
          <w:highlight w:val="none"/>
          <w:u w:val="single"/>
        </w:rPr>
        <w:t>。</w:t>
      </w:r>
    </w:p>
    <w:p w14:paraId="06F7B5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2.4.2 提供施工条件</w:t>
      </w:r>
    </w:p>
    <w:p w14:paraId="3D52C5E0">
      <w:pPr>
        <w:spacing w:line="400" w:lineRule="exact"/>
        <w:ind w:firstLine="420" w:firstLineChars="200"/>
        <w:rPr>
          <w:rFonts w:ascii="Times New Roman" w:hAnsi="Times New Roman"/>
          <w:color w:val="auto"/>
          <w:szCs w:val="24"/>
          <w:highlight w:val="none"/>
          <w:u w:val="single"/>
        </w:rPr>
      </w:pPr>
      <w:r>
        <w:rPr>
          <w:rFonts w:ascii="Times New Roman" w:hAnsi="Times New Roman"/>
          <w:color w:val="auto"/>
          <w:szCs w:val="24"/>
          <w:highlight w:val="none"/>
        </w:rPr>
        <w:t>关于发包人应负责提供施工</w:t>
      </w:r>
      <w:r>
        <w:rPr>
          <w:rFonts w:hint="eastAsia" w:ascii="Times New Roman" w:hAnsi="Times New Roman"/>
          <w:color w:val="auto"/>
          <w:szCs w:val="24"/>
          <w:highlight w:val="none"/>
        </w:rPr>
        <w:t>所需要的条件，</w:t>
      </w:r>
      <w:r>
        <w:rPr>
          <w:rFonts w:ascii="Times New Roman" w:hAnsi="Times New Roman"/>
          <w:color w:val="auto"/>
          <w:szCs w:val="24"/>
          <w:highlight w:val="none"/>
        </w:rPr>
        <w:t>包括：</w:t>
      </w:r>
      <w:r>
        <w:rPr>
          <w:rFonts w:hint="eastAsia" w:ascii="Times New Roman" w:hAnsi="Times New Roman"/>
          <w:color w:val="auto"/>
          <w:szCs w:val="24"/>
          <w:highlight w:val="none"/>
          <w:u w:val="single"/>
        </w:rPr>
        <w:t xml:space="preserve">（1）向承包人提供的施工场地应做到“三通一平”；（2）提供满足施工需要容量的施工用水和电，水、电管线应接至距离施工现场50米范围内移交给承包人，施工过程中的费用由承包人承担；（3）以书面形式提供水准点、坐标控制点，并现场与承包人进行校验；（4）提供有关勘察资料， 并向承包人提出需要保护的地下管线和邻近建筑物、构筑物（含文物保护建筑）、古树名木等内容和要求，并承担相关费用 </w:t>
      </w:r>
      <w:r>
        <w:rPr>
          <w:rFonts w:ascii="Times New Roman" w:hAnsi="Times New Roman"/>
          <w:color w:val="auto"/>
          <w:szCs w:val="24"/>
          <w:highlight w:val="none"/>
          <w:u w:val="single"/>
        </w:rPr>
        <w:t>。</w:t>
      </w:r>
    </w:p>
    <w:p w14:paraId="0B91092B">
      <w:pPr>
        <w:keepNext/>
        <w:keepLines/>
        <w:spacing w:line="400" w:lineRule="exact"/>
        <w:outlineLvl w:val="2"/>
        <w:rPr>
          <w:rFonts w:ascii="Times New Roman" w:hAnsi="Times New Roman" w:eastAsia="黑体" w:cs="宋体"/>
          <w:b/>
          <w:color w:val="auto"/>
          <w:sz w:val="24"/>
          <w:szCs w:val="20"/>
          <w:highlight w:val="none"/>
        </w:rPr>
      </w:pPr>
      <w:bookmarkStart w:id="1599" w:name="_Toc32252"/>
      <w:bookmarkStart w:id="1600" w:name="_Toc28532275"/>
      <w:r>
        <w:rPr>
          <w:rFonts w:ascii="Times New Roman" w:hAnsi="Times New Roman" w:eastAsia="黑体" w:cs="宋体"/>
          <w:b/>
          <w:color w:val="auto"/>
          <w:sz w:val="24"/>
          <w:szCs w:val="20"/>
          <w:highlight w:val="none"/>
        </w:rPr>
        <w:t>2.5 资金来源证明及支付担保</w:t>
      </w:r>
      <w:bookmarkEnd w:id="1599"/>
      <w:bookmarkEnd w:id="1600"/>
    </w:p>
    <w:p w14:paraId="5E0E847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发包人提供资金来源证明的期限要求：</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2A882D8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发包人是否提供支付担保：</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否</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637D2A6">
      <w:pPr>
        <w:spacing w:line="400" w:lineRule="exact"/>
        <w:ind w:firstLine="420" w:firstLineChars="200"/>
        <w:rPr>
          <w:rFonts w:hint="eastAsia" w:ascii="Times New Roman" w:hAnsi="Times New Roman" w:eastAsia="宋体"/>
          <w:color w:val="auto"/>
          <w:szCs w:val="24"/>
          <w:highlight w:val="none"/>
          <w:lang w:val="en-US" w:eastAsia="zh-CN"/>
        </w:rPr>
      </w:pPr>
      <w:r>
        <w:rPr>
          <w:rFonts w:ascii="Times New Roman" w:hAnsi="Times New Roman"/>
          <w:color w:val="auto"/>
          <w:szCs w:val="24"/>
          <w:highlight w:val="none"/>
        </w:rPr>
        <w:t>发包人提供支付担保的形式：</w:t>
      </w:r>
      <w:r>
        <w:rPr>
          <w:rFonts w:hint="eastAsia" w:ascii="Times New Roman" w:hAnsi="Times New Roman"/>
          <w:color w:val="auto"/>
          <w:szCs w:val="24"/>
          <w:highlight w:val="none"/>
          <w:u w:val="single"/>
          <w:lang w:val="en-US" w:eastAsia="zh-CN"/>
        </w:rPr>
        <w:t>/。</w:t>
      </w:r>
    </w:p>
    <w:p w14:paraId="2B36A13E">
      <w:pPr>
        <w:keepNext/>
        <w:keepLines/>
        <w:spacing w:before="100" w:line="400" w:lineRule="exact"/>
        <w:outlineLvl w:val="1"/>
        <w:rPr>
          <w:rFonts w:ascii="Times New Roman" w:hAnsi="Times New Roman" w:eastAsia="黑体" w:cs="宋体"/>
          <w:b/>
          <w:color w:val="auto"/>
          <w:sz w:val="28"/>
          <w:szCs w:val="20"/>
          <w:highlight w:val="none"/>
        </w:rPr>
      </w:pPr>
      <w:bookmarkStart w:id="1601" w:name="_Toc22594"/>
      <w:bookmarkStart w:id="1602" w:name="_Toc28532276"/>
      <w:bookmarkStart w:id="1603" w:name="_Toc351203635"/>
      <w:r>
        <w:rPr>
          <w:rFonts w:ascii="Times New Roman" w:hAnsi="Times New Roman" w:eastAsia="黑体" w:cs="宋体"/>
          <w:b/>
          <w:color w:val="auto"/>
          <w:sz w:val="28"/>
          <w:szCs w:val="20"/>
          <w:highlight w:val="none"/>
        </w:rPr>
        <w:t>3</w:t>
      </w:r>
      <w:bookmarkStart w:id="1604" w:name="_Toc297048344"/>
      <w:bookmarkStart w:id="1605" w:name="_Toc296891198"/>
      <w:bookmarkStart w:id="1606" w:name="_Toc296944497"/>
      <w:bookmarkStart w:id="1607" w:name="_Toc292559868"/>
      <w:bookmarkStart w:id="1608" w:name="_Toc296347157"/>
      <w:bookmarkStart w:id="1609" w:name="_Toc296503158"/>
      <w:bookmarkStart w:id="1610" w:name="_Toc296890986"/>
      <w:bookmarkStart w:id="1611" w:name="_Toc297120458"/>
      <w:bookmarkStart w:id="1612" w:name="_Toc292559363"/>
      <w:bookmarkStart w:id="1613" w:name="_Toc296346659"/>
      <w:r>
        <w:rPr>
          <w:rFonts w:ascii="Times New Roman" w:hAnsi="Times New Roman" w:eastAsia="黑体" w:cs="宋体"/>
          <w:b/>
          <w:color w:val="auto"/>
          <w:sz w:val="28"/>
          <w:szCs w:val="20"/>
          <w:highlight w:val="none"/>
        </w:rPr>
        <w:t>. 承包人</w:t>
      </w:r>
      <w:bookmarkEnd w:id="1601"/>
      <w:bookmarkEnd w:id="1602"/>
      <w:bookmarkEnd w:id="1603"/>
    </w:p>
    <w:bookmarkEnd w:id="1604"/>
    <w:bookmarkEnd w:id="1605"/>
    <w:bookmarkEnd w:id="1606"/>
    <w:bookmarkEnd w:id="1607"/>
    <w:bookmarkEnd w:id="1608"/>
    <w:bookmarkEnd w:id="1609"/>
    <w:bookmarkEnd w:id="1610"/>
    <w:bookmarkEnd w:id="1611"/>
    <w:bookmarkEnd w:id="1612"/>
    <w:bookmarkEnd w:id="1613"/>
    <w:p w14:paraId="444D713A">
      <w:pPr>
        <w:keepNext/>
        <w:keepLines/>
        <w:spacing w:line="400" w:lineRule="exact"/>
        <w:outlineLvl w:val="2"/>
        <w:rPr>
          <w:rFonts w:ascii="Times New Roman" w:hAnsi="Times New Roman" w:eastAsia="黑体" w:cs="宋体"/>
          <w:b/>
          <w:color w:val="auto"/>
          <w:sz w:val="24"/>
          <w:szCs w:val="20"/>
          <w:highlight w:val="none"/>
        </w:rPr>
      </w:pPr>
      <w:bookmarkStart w:id="1614" w:name="_Toc28532277"/>
      <w:bookmarkStart w:id="1615" w:name="_Toc7779"/>
      <w:r>
        <w:rPr>
          <w:rFonts w:ascii="Times New Roman" w:hAnsi="Times New Roman" w:eastAsia="黑体" w:cs="宋体"/>
          <w:b/>
          <w:color w:val="auto"/>
          <w:sz w:val="24"/>
          <w:szCs w:val="20"/>
          <w:highlight w:val="none"/>
        </w:rPr>
        <w:t>3.1 承包人的一般义务</w:t>
      </w:r>
      <w:bookmarkEnd w:id="1614"/>
      <w:bookmarkEnd w:id="1615"/>
    </w:p>
    <w:p w14:paraId="50C38EA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w:t>
      </w:r>
      <w:r>
        <w:rPr>
          <w:rFonts w:hint="eastAsia" w:ascii="Times New Roman" w:hAnsi="Times New Roman"/>
          <w:color w:val="auto"/>
          <w:szCs w:val="24"/>
          <w:highlight w:val="none"/>
        </w:rPr>
        <w:t>9</w:t>
      </w:r>
      <w:r>
        <w:rPr>
          <w:rFonts w:ascii="Times New Roman" w:hAnsi="Times New Roman"/>
          <w:color w:val="auto"/>
          <w:szCs w:val="24"/>
          <w:highlight w:val="none"/>
        </w:rPr>
        <w:t>）承包人提交的竣工资料的内容：</w:t>
      </w:r>
    </w:p>
    <w:p w14:paraId="213C21C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按照法律规定和合同约定编制竣工资料，完成竣工资料立卷及归档，并按本条款约定的竣工资料的套数、内容、时间及形式等要求移交发包人</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65239D0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承包人需要提交的竣工资料套数：</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4套</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576DDE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承包人提交的竣工资料的费用承担：</w:t>
      </w:r>
      <w:r>
        <w:rPr>
          <w:rFonts w:ascii="Times New Roman" w:hAnsi="Times New Roman"/>
          <w:color w:val="auto"/>
          <w:szCs w:val="24"/>
          <w:highlight w:val="none"/>
          <w:u w:val="single"/>
        </w:rPr>
        <w:t xml:space="preserve">   </w:t>
      </w:r>
      <w:r>
        <w:rPr>
          <w:rFonts w:hint="eastAsia" w:ascii="Times New Roman" w:hAnsi="Times New Roman"/>
          <w:szCs w:val="24"/>
          <w:u w:val="single"/>
        </w:rPr>
        <w:t>由承包人承担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8900B8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承包人提交的竣工资料移交时间：</w:t>
      </w:r>
      <w:r>
        <w:rPr>
          <w:rFonts w:ascii="Times New Roman" w:hAnsi="Times New Roman"/>
          <w:color w:val="auto"/>
          <w:szCs w:val="24"/>
          <w:highlight w:val="none"/>
          <w:u w:val="single"/>
        </w:rPr>
        <w:t xml:space="preserve"> </w:t>
      </w:r>
      <w:r>
        <w:rPr>
          <w:rFonts w:hint="eastAsia" w:ascii="Times New Roman" w:hAnsi="Times New Roman"/>
          <w:szCs w:val="24"/>
          <w:u w:val="single"/>
        </w:rPr>
        <w:t>竣工验收合格后30天内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BF236F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承包人提交的竣工资料形式要求：</w:t>
      </w:r>
      <w:r>
        <w:rPr>
          <w:rFonts w:ascii="Times New Roman" w:hAnsi="Times New Roman"/>
          <w:color w:val="auto"/>
          <w:szCs w:val="24"/>
          <w:highlight w:val="none"/>
          <w:u w:val="single"/>
        </w:rPr>
        <w:t xml:space="preserve"> </w:t>
      </w:r>
      <w:r>
        <w:rPr>
          <w:rFonts w:hint="eastAsia" w:ascii="Times New Roman" w:hAnsi="Times New Roman"/>
          <w:szCs w:val="24"/>
          <w:u w:val="single"/>
        </w:rPr>
        <w:t>按有关要求装订纸质材料</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F1FAB4B">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w:t>
      </w:r>
      <w:r>
        <w:rPr>
          <w:rFonts w:hint="eastAsia" w:ascii="Times New Roman" w:hAnsi="Times New Roman"/>
          <w:color w:val="auto"/>
          <w:szCs w:val="24"/>
          <w:highlight w:val="none"/>
        </w:rPr>
        <w:t>10</w:t>
      </w:r>
      <w:r>
        <w:rPr>
          <w:rFonts w:ascii="Times New Roman" w:hAnsi="Times New Roman"/>
          <w:color w:val="auto"/>
          <w:szCs w:val="24"/>
          <w:highlight w:val="none"/>
        </w:rPr>
        <w:t>）承包人应履行的其他义务：</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①承包人应按发包人的指令，完成发包人要求增加和减少的任何工程内容；②承包人应积极主动核对图纸中的标高、轴线等技术数据，充分理解设计意图。若由于明显的实际图纸问题（例如尺寸标注不闭合、文字标识相互矛盾等）和发包人（包括监理）不正确的指令，承包人发现后应书面告知具体问题，否则由此造成工程质量、安全、进度损失的，应由承包人承担全部责任；③承包人应按照政府相关规定，建立健全雇员工资发放和劳动保障制度。如因雇员的工资发放和劳动保障制度不健全而引发纠纷，导致民工围堵发包人、闹事、上访等情况发生的，发包人有权解除合同，并要求承包人退场和赔偿发包人损失。（发包人违约的除外）；④承包人使用的临时用水、临时用电等设施在合同的执行期间，如发包人要求为其他承包人提供分表接口的，承包人应予配合；⑤承包人进入现场施工，要做好现场安全文明施工及已有成品保护工作。现场运输材料、堆放材料等造成路面的污染，承包人应该有专人负责跟踪打扫；城区的绿化、建筑等公用设施期间的保护工作；现场施工及生活产生的垃圾应该有人清扫；不允许在城区道路上搅拌砼和砂浆；⑥承包人应负责提供完成合同所需的劳务、材料、施工设备、工程设备和其他物品，并按合同约定负责临时设施的设计、建造、运行、维护、管理和拆除；⑦承包人应负责办理施工许可证，发包人配合提供相关资料</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490ED8EA">
      <w:pPr>
        <w:keepNext/>
        <w:keepLines/>
        <w:spacing w:line="400" w:lineRule="exact"/>
        <w:outlineLvl w:val="2"/>
        <w:rPr>
          <w:rFonts w:ascii="Times New Roman" w:hAnsi="Times New Roman" w:eastAsia="黑体" w:cs="宋体"/>
          <w:b/>
          <w:color w:val="auto"/>
          <w:sz w:val="24"/>
          <w:szCs w:val="20"/>
          <w:highlight w:val="none"/>
        </w:rPr>
      </w:pPr>
      <w:bookmarkStart w:id="1616" w:name="_Toc28532278"/>
      <w:bookmarkStart w:id="1617" w:name="_Toc15449"/>
      <w:r>
        <w:rPr>
          <w:rFonts w:ascii="Times New Roman" w:hAnsi="Times New Roman" w:eastAsia="黑体" w:cs="宋体"/>
          <w:b/>
          <w:color w:val="auto"/>
          <w:sz w:val="24"/>
          <w:szCs w:val="20"/>
          <w:highlight w:val="none"/>
        </w:rPr>
        <w:t>3.2 项目经理</w:t>
      </w:r>
      <w:bookmarkEnd w:id="1616"/>
      <w:bookmarkEnd w:id="1617"/>
    </w:p>
    <w:p w14:paraId="2F00EDE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3.2.1 项目经理：</w:t>
      </w:r>
    </w:p>
    <w:p w14:paraId="2CC82B5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姓    名：</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1023C7D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身份证号：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2DF669E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建造师执业资格等级：</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B3B212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建造师注册证书号：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4569746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建造师执业印章号：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765D99E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安全生产考核合格证书号：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53F1244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联系电话：</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252E931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电子信箱：</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34C6811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通信地址：</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05127F4B">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承包人对项目经理的授权范围如下：</w:t>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hint="eastAsia" w:ascii="Times New Roman" w:hAnsi="Times New Roman"/>
          <w:szCs w:val="24"/>
          <w:u w:val="single"/>
        </w:rPr>
        <w:t>职责：按照施工合同和设计文件严格施工，确保安全生产，按期完成和交付合格产品。权限：组建项目管理班子、指挥工程项目建设的生产经营活动</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0758955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关于项目经理每月在施工现场的时间要求：</w:t>
      </w:r>
      <w:r>
        <w:rPr>
          <w:rFonts w:ascii="Times New Roman" w:hAnsi="Times New Roman"/>
          <w:color w:val="auto"/>
          <w:szCs w:val="24"/>
          <w:highlight w:val="none"/>
          <w:u w:val="single"/>
        </w:rPr>
        <w:sym w:font="Times New Roman" w:char="0020"/>
      </w:r>
      <w:r>
        <w:rPr>
          <w:rFonts w:hint="eastAsia" w:ascii="Times New Roman" w:hAnsi="Times New Roman"/>
          <w:color w:val="auto"/>
          <w:szCs w:val="24"/>
          <w:highlight w:val="none"/>
          <w:u w:val="single"/>
        </w:rPr>
        <w:t xml:space="preserve"> </w:t>
      </w:r>
      <w:r>
        <w:rPr>
          <w:rFonts w:hint="eastAsia" w:ascii="Times New Roman" w:hAnsi="Times New Roman"/>
          <w:szCs w:val="24"/>
          <w:u w:val="single"/>
        </w:rPr>
        <w:t>每月不得少于22天</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2F34FFA1">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承包人未提交劳动合同，以及没有为项目经理缴纳社会保险证明的违约责任：</w:t>
      </w:r>
      <w:r>
        <w:rPr>
          <w:rFonts w:ascii="Times New Roman" w:hAnsi="Times New Roman"/>
          <w:color w:val="auto"/>
          <w:szCs w:val="24"/>
          <w:highlight w:val="none"/>
          <w:u w:val="single"/>
        </w:rPr>
        <w:sym w:font="Times New Roman" w:char="0020"/>
      </w:r>
      <w:r>
        <w:rPr>
          <w:rFonts w:hint="eastAsia" w:ascii="Times New Roman" w:hAnsi="Times New Roman"/>
          <w:szCs w:val="24"/>
          <w:u w:val="single"/>
        </w:rPr>
        <w:t>承包人承担5000元的违约金，责令限期提交劳动合同并补缴社会保险</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535A5686">
      <w:pPr>
        <w:spacing w:line="400" w:lineRule="exact"/>
        <w:ind w:firstLine="420" w:firstLineChars="200"/>
        <w:rPr>
          <w:rFonts w:ascii="Times New Roman" w:hAnsi="Times New Roman"/>
          <w:color w:val="auto"/>
          <w:szCs w:val="24"/>
          <w:highlight w:val="none"/>
          <w:u w:val="single"/>
        </w:rPr>
      </w:pPr>
      <w:r>
        <w:rPr>
          <w:rFonts w:ascii="Times New Roman" w:hAnsi="Times New Roman"/>
          <w:color w:val="auto"/>
          <w:szCs w:val="24"/>
          <w:highlight w:val="none"/>
        </w:rPr>
        <w:t>项目经理未经批准，擅自离开施工现场的违约责任：</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每次支付违约金2000元，并承担由此给发包人造成的损失</w:t>
      </w:r>
      <w:r>
        <w:rPr>
          <w:rFonts w:hint="eastAsia" w:ascii="Times New Roman" w:hAnsi="Times New Roman"/>
          <w:szCs w:val="24"/>
          <w:u w:val="single"/>
          <w:lang w:eastAsia="zh-CN"/>
        </w:rPr>
        <w:t>。</w:t>
      </w:r>
      <w:r>
        <w:rPr>
          <w:rFonts w:ascii="Times New Roman" w:hAnsi="Times New Roman"/>
          <w:color w:val="auto"/>
          <w:szCs w:val="24"/>
          <w:highlight w:val="none"/>
          <w:u w:val="single"/>
        </w:rPr>
        <w:t></w:t>
      </w:r>
    </w:p>
    <w:p w14:paraId="557E5E4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3.2.3 承包人擅自更换项目经理的违约责任：</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 xml:space="preserve">发包人有权要求更换为原项目经理，且要求承包人支付合同暂定价款2%-5%的违约金，并承担由此给发包人造成的损失，处罚后仍不改正的，发包人有权单方解除合同  </w:t>
      </w:r>
      <w:r>
        <w:rPr>
          <w:rFonts w:ascii="Times New Roman" w:hAnsi="Times New Roman"/>
          <w:color w:val="auto"/>
          <w:szCs w:val="24"/>
          <w:highlight w:val="none"/>
        </w:rPr>
        <w:t>。</w:t>
      </w:r>
    </w:p>
    <w:p w14:paraId="068E3C93">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3.2.4 承包人无正当理由拒绝更换项目经理的违约责任：</w:t>
      </w:r>
      <w:r>
        <w:rPr>
          <w:rFonts w:hint="eastAsia" w:ascii="Times New Roman" w:hAnsi="Times New Roman"/>
          <w:color w:val="auto"/>
          <w:szCs w:val="24"/>
          <w:highlight w:val="none"/>
          <w:u w:val="single"/>
        </w:rPr>
        <w:t xml:space="preserve"> </w:t>
      </w:r>
      <w:r>
        <w:rPr>
          <w:rFonts w:hint="eastAsia" w:ascii="Times New Roman" w:hAnsi="Times New Roman"/>
          <w:szCs w:val="24"/>
          <w:u w:val="single"/>
        </w:rPr>
        <w:t>将被处以合同暂定价款2%-5%的处罚，处罚后仍不改正的，发包人有权单方解除合同</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450A4AA0">
      <w:pPr>
        <w:keepNext/>
        <w:keepLines/>
        <w:spacing w:line="400" w:lineRule="exact"/>
        <w:outlineLvl w:val="2"/>
        <w:rPr>
          <w:rFonts w:ascii="Times New Roman" w:hAnsi="Times New Roman" w:eastAsia="黑体" w:cs="宋体"/>
          <w:b/>
          <w:color w:val="auto"/>
          <w:sz w:val="24"/>
          <w:szCs w:val="20"/>
          <w:highlight w:val="none"/>
        </w:rPr>
      </w:pPr>
      <w:bookmarkStart w:id="1618" w:name="_Toc28532279"/>
      <w:bookmarkStart w:id="1619" w:name="_Toc985"/>
      <w:r>
        <w:rPr>
          <w:rFonts w:ascii="Times New Roman" w:hAnsi="Times New Roman" w:eastAsia="黑体" w:cs="宋体"/>
          <w:b/>
          <w:color w:val="auto"/>
          <w:sz w:val="24"/>
          <w:szCs w:val="20"/>
          <w:highlight w:val="none"/>
        </w:rPr>
        <w:t>3.3 承包人人员</w:t>
      </w:r>
      <w:bookmarkEnd w:id="1618"/>
      <w:bookmarkEnd w:id="1619"/>
    </w:p>
    <w:p w14:paraId="690AD60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3.3.1 承包人提交项目管理机构及施工现场管理人员安排报告的期限：</w:t>
      </w:r>
      <w:r>
        <w:rPr>
          <w:rFonts w:ascii="Times New Roman" w:hAnsi="Times New Roman"/>
          <w:color w:val="auto"/>
          <w:szCs w:val="24"/>
          <w:highlight w:val="none"/>
          <w:u w:val="single"/>
        </w:rPr>
        <w:t xml:space="preserve"> </w:t>
      </w:r>
      <w:r>
        <w:rPr>
          <w:rFonts w:hint="eastAsia" w:ascii="Times New Roman" w:hAnsi="Times New Roman"/>
          <w:szCs w:val="24"/>
          <w:u w:val="single"/>
        </w:rPr>
        <w:t>接到开工通知后7天内</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175CE3A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3.3.3 承包人无正当理由拒绝撤换主要施工管理人员的违约责任：</w:t>
      </w:r>
      <w:r>
        <w:rPr>
          <w:rFonts w:ascii="Times New Roman" w:hAnsi="Times New Roman"/>
          <w:color w:val="auto"/>
          <w:szCs w:val="24"/>
          <w:highlight w:val="none"/>
          <w:u w:val="single"/>
        </w:rPr>
        <w:t xml:space="preserve"> </w:t>
      </w:r>
      <w:r>
        <w:rPr>
          <w:rFonts w:hint="eastAsia" w:ascii="Times New Roman" w:hAnsi="Times New Roman"/>
          <w:szCs w:val="24"/>
          <w:u w:val="single"/>
        </w:rPr>
        <w:t>将被处以合同暂定价款2%-5%的处罚，处罚后仍不改正的，发包人有权单方解除合同</w:t>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rPr>
        <w:t>。</w:t>
      </w:r>
    </w:p>
    <w:p w14:paraId="4B97254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3.3.4 承包人主要施工管理人员离开施工现场的批准要求：</w:t>
      </w:r>
      <w:r>
        <w:rPr>
          <w:rFonts w:ascii="Times New Roman" w:hAnsi="Times New Roman"/>
          <w:color w:val="auto"/>
          <w:szCs w:val="24"/>
          <w:highlight w:val="none"/>
          <w:u w:val="single"/>
        </w:rPr>
        <w:t xml:space="preserve"> </w:t>
      </w:r>
      <w:r>
        <w:rPr>
          <w:rFonts w:hint="eastAsia" w:ascii="Times New Roman" w:hAnsi="Times New Roman"/>
          <w:szCs w:val="24"/>
          <w:u w:val="single"/>
        </w:rPr>
        <w:t>经发包人代表批准</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9E75B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3.3.5承包人擅自更换主要施工管理人员的违约责任：</w:t>
      </w:r>
      <w:r>
        <w:rPr>
          <w:rFonts w:ascii="Times New Roman" w:hAnsi="Times New Roman"/>
          <w:color w:val="auto"/>
          <w:szCs w:val="24"/>
          <w:highlight w:val="none"/>
          <w:u w:val="single"/>
        </w:rPr>
        <w:t xml:space="preserve"> </w:t>
      </w:r>
      <w:r>
        <w:rPr>
          <w:rFonts w:hint="eastAsia" w:ascii="Times New Roman" w:hAnsi="Times New Roman"/>
          <w:szCs w:val="24"/>
          <w:u w:val="single"/>
        </w:rPr>
        <w:t>承包人支付合同暂定价款2%-5%的违约金，并承担由此给发包人造成的损失</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62A853F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承包人主要施工管理人员擅自离开施工现场的违约责任：</w:t>
      </w:r>
      <w:r>
        <w:rPr>
          <w:rFonts w:ascii="Times New Roman" w:hAnsi="Times New Roman"/>
          <w:color w:val="auto"/>
          <w:szCs w:val="24"/>
          <w:highlight w:val="none"/>
          <w:u w:val="single"/>
        </w:rPr>
        <w:t xml:space="preserve"> </w:t>
      </w:r>
      <w:r>
        <w:rPr>
          <w:rFonts w:hint="eastAsia" w:ascii="Times New Roman" w:hAnsi="Times New Roman"/>
          <w:szCs w:val="24"/>
          <w:u w:val="single"/>
        </w:rPr>
        <w:t>每人次承包人支付2000元的违约金，并承担由此给发包人造成的损失</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441CEE0A">
      <w:pPr>
        <w:keepNext/>
        <w:keepLines/>
        <w:spacing w:line="400" w:lineRule="exact"/>
        <w:outlineLvl w:val="2"/>
        <w:rPr>
          <w:rFonts w:ascii="Times New Roman" w:hAnsi="Times New Roman" w:eastAsia="黑体" w:cs="宋体"/>
          <w:b/>
          <w:color w:val="auto"/>
          <w:sz w:val="24"/>
          <w:szCs w:val="20"/>
          <w:highlight w:val="none"/>
        </w:rPr>
      </w:pPr>
      <w:bookmarkStart w:id="1620" w:name="_Toc12770"/>
      <w:bookmarkStart w:id="1621" w:name="_Toc28532280"/>
      <w:r>
        <w:rPr>
          <w:rFonts w:ascii="Times New Roman" w:hAnsi="Times New Roman" w:eastAsia="黑体" w:cs="宋体"/>
          <w:b/>
          <w:color w:val="auto"/>
          <w:sz w:val="24"/>
          <w:szCs w:val="20"/>
          <w:highlight w:val="none"/>
        </w:rPr>
        <w:t>3</w:t>
      </w:r>
      <w:bookmarkStart w:id="1622" w:name="_Toc297120459"/>
      <w:bookmarkStart w:id="1623" w:name="_Toc296944498"/>
      <w:bookmarkStart w:id="1624" w:name="_Toc303539102"/>
      <w:bookmarkStart w:id="1625" w:name="_Toc297048345"/>
      <w:bookmarkStart w:id="1626" w:name="_Toc296346660"/>
      <w:bookmarkStart w:id="1627" w:name="_Toc292559869"/>
      <w:bookmarkStart w:id="1628" w:name="_Toc312677988"/>
      <w:bookmarkStart w:id="1629" w:name="_Toc300934945"/>
      <w:bookmarkStart w:id="1630" w:name="_Toc304295523"/>
      <w:bookmarkStart w:id="1631" w:name="_Toc292559364"/>
      <w:bookmarkStart w:id="1632" w:name="_Toc296891199"/>
      <w:bookmarkStart w:id="1633" w:name="_Toc296347158"/>
      <w:bookmarkStart w:id="1634" w:name="_Toc296503159"/>
      <w:bookmarkStart w:id="1635" w:name="_Toc297216151"/>
      <w:bookmarkStart w:id="1636" w:name="_Toc297123492"/>
      <w:bookmarkStart w:id="1637" w:name="_Toc296890987"/>
      <w:r>
        <w:rPr>
          <w:rFonts w:ascii="Times New Roman" w:hAnsi="Times New Roman" w:eastAsia="黑体" w:cs="宋体"/>
          <w:b/>
          <w:color w:val="auto"/>
          <w:sz w:val="24"/>
          <w:szCs w:val="20"/>
          <w:highlight w:val="none"/>
        </w:rPr>
        <w:t>.5 分包</w:t>
      </w:r>
      <w:bookmarkEnd w:id="1620"/>
      <w:bookmarkEnd w:id="1621"/>
    </w:p>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14:paraId="1A4534A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w:t>
      </w:r>
      <w:bookmarkStart w:id="1638" w:name="_Toc300934946"/>
      <w:bookmarkStart w:id="1639" w:name="_Toc304295524"/>
      <w:bookmarkStart w:id="1640" w:name="_Toc303539103"/>
      <w:bookmarkStart w:id="1641" w:name="_Toc296944499"/>
      <w:bookmarkStart w:id="1642" w:name="_Toc296347159"/>
      <w:bookmarkStart w:id="1643" w:name="_Toc297120460"/>
      <w:bookmarkStart w:id="1644" w:name="_Toc297123493"/>
      <w:bookmarkStart w:id="1645" w:name="_Toc296503160"/>
      <w:bookmarkStart w:id="1646" w:name="_Toc297216152"/>
      <w:bookmarkStart w:id="1647" w:name="_Toc296346661"/>
      <w:bookmarkStart w:id="1648" w:name="_Toc296890988"/>
      <w:bookmarkStart w:id="1649" w:name="_Toc296891200"/>
      <w:bookmarkStart w:id="1650" w:name="_Toc318581158"/>
      <w:bookmarkStart w:id="1651" w:name="_Toc292559870"/>
      <w:bookmarkStart w:id="1652" w:name="_Toc297048346"/>
      <w:bookmarkStart w:id="1653" w:name="_Toc312677989"/>
      <w:bookmarkStart w:id="1654" w:name="_Toc292559365"/>
      <w:r>
        <w:rPr>
          <w:rFonts w:ascii="Times New Roman" w:hAnsi="Times New Roman"/>
          <w:color w:val="auto"/>
          <w:szCs w:val="24"/>
          <w:highlight w:val="none"/>
        </w:rPr>
        <w:t>.5.1 分包的一般约定</w:t>
      </w:r>
    </w:p>
    <w:p w14:paraId="0B4348DA">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禁止分包的工程包括：</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本工程主体结构、关键性建设内容禁止分包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1D83A8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主体结构、关键性工作的范围：</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r>
        <w:rPr>
          <w:rFonts w:hint="eastAsia" w:ascii="Times New Roman" w:hAnsi="Times New Roman"/>
          <w:color w:val="auto"/>
          <w:szCs w:val="24"/>
          <w:highlight w:val="none"/>
        </w:rPr>
        <w:t xml:space="preserve"> </w:t>
      </w:r>
      <w:r>
        <w:rPr>
          <w:rFonts w:hint="eastAsia" w:ascii="Times New Roman" w:hAnsi="Times New Roman"/>
          <w:color w:val="auto"/>
          <w:szCs w:val="24"/>
          <w:highlight w:val="none"/>
          <w:u w:val="single"/>
        </w:rPr>
        <w:t xml:space="preserve"> </w:t>
      </w:r>
      <w:r>
        <w:rPr>
          <w:rFonts w:hint="eastAsia" w:ascii="Times New Roman" w:hAnsi="Times New Roman"/>
          <w:szCs w:val="24"/>
          <w:u w:val="single"/>
        </w:rPr>
        <w:t>地基基础、主体、屋面、防水、给排水、电等构成该工程主要使用功能的设备的安装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E2F9438">
      <w:pPr>
        <w:spacing w:line="400" w:lineRule="exact"/>
        <w:ind w:firstLine="315" w:firstLineChars="150"/>
        <w:rPr>
          <w:rFonts w:ascii="Times New Roman" w:hAnsi="Times New Roman"/>
          <w:color w:val="auto"/>
          <w:szCs w:val="24"/>
          <w:highlight w:val="none"/>
        </w:rPr>
      </w:pPr>
      <w:r>
        <w:rPr>
          <w:rFonts w:ascii="Times New Roman" w:hAnsi="Times New Roman"/>
          <w:color w:val="auto"/>
          <w:szCs w:val="24"/>
          <w:highlight w:val="none"/>
        </w:rPr>
        <w:t xml:space="preserve"> 3</w:t>
      </w:r>
      <w:bookmarkStart w:id="1655" w:name="_Toc312677990"/>
      <w:bookmarkStart w:id="1656" w:name="_Toc318581159"/>
      <w:r>
        <w:rPr>
          <w:rFonts w:ascii="Times New Roman" w:hAnsi="Times New Roman"/>
          <w:color w:val="auto"/>
          <w:szCs w:val="24"/>
          <w:highlight w:val="none"/>
        </w:rPr>
        <w:t>.5.2分包的确定</w:t>
      </w:r>
    </w:p>
    <w:p w14:paraId="7D68DB6A">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允许分包的专业工程包括：</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13D526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其他关于分包的约定：</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D304B9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3.5.4 分包合同价款</w:t>
      </w:r>
    </w:p>
    <w:p w14:paraId="3CC08EF0">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关于分包合同价款支付的约定：</w:t>
      </w:r>
      <w:bookmarkEnd w:id="1655"/>
      <w:bookmarkEnd w:id="1656"/>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无</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7574700">
      <w:pPr>
        <w:keepNext/>
        <w:keepLines/>
        <w:spacing w:line="400" w:lineRule="exact"/>
        <w:outlineLvl w:val="2"/>
        <w:rPr>
          <w:rFonts w:ascii="Times New Roman" w:hAnsi="Times New Roman" w:eastAsia="黑体" w:cs="宋体"/>
          <w:b/>
          <w:color w:val="auto"/>
          <w:sz w:val="24"/>
          <w:szCs w:val="20"/>
          <w:highlight w:val="none"/>
        </w:rPr>
      </w:pPr>
      <w:bookmarkStart w:id="1657" w:name="_Toc8219"/>
      <w:bookmarkStart w:id="1658" w:name="_Toc28532281"/>
      <w:r>
        <w:rPr>
          <w:rFonts w:ascii="Times New Roman" w:hAnsi="Times New Roman" w:eastAsia="黑体" w:cs="宋体"/>
          <w:b/>
          <w:color w:val="auto"/>
          <w:sz w:val="24"/>
          <w:szCs w:val="20"/>
          <w:highlight w:val="none"/>
        </w:rPr>
        <w:t>3.6 工程照管与成品、半成品保护</w:t>
      </w:r>
      <w:bookmarkEnd w:id="1657"/>
      <w:bookmarkEnd w:id="1658"/>
    </w:p>
    <w:p w14:paraId="2EBD31BA">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承包人负责照管工程及工程相关的材料、工程设备的起始时间：</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按通</w:t>
      </w:r>
      <w:r>
        <w:rPr>
          <w:rFonts w:hint="eastAsia" w:ascii="Times New Roman" w:hAnsi="Times New Roman"/>
          <w:szCs w:val="24"/>
          <w:u w:val="single"/>
          <w:lang w:val="en-US" w:eastAsia="zh-CN"/>
        </w:rPr>
        <w:t>用</w:t>
      </w:r>
      <w:r>
        <w:rPr>
          <w:rFonts w:hint="eastAsia" w:ascii="Times New Roman" w:hAnsi="Times New Roman"/>
          <w:szCs w:val="24"/>
          <w:u w:val="single"/>
        </w:rPr>
        <w:t>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4970F4A0">
      <w:pPr>
        <w:keepNext/>
        <w:keepLines/>
        <w:spacing w:line="400" w:lineRule="exact"/>
        <w:outlineLvl w:val="2"/>
        <w:rPr>
          <w:rFonts w:ascii="Times New Roman" w:hAnsi="Times New Roman" w:eastAsia="黑体" w:cs="宋体"/>
          <w:b/>
          <w:color w:val="auto"/>
          <w:sz w:val="24"/>
          <w:szCs w:val="20"/>
          <w:highlight w:val="none"/>
        </w:rPr>
      </w:pPr>
      <w:bookmarkStart w:id="1659" w:name="_Toc28532282"/>
      <w:bookmarkStart w:id="1660" w:name="_Toc6815"/>
      <w:r>
        <w:rPr>
          <w:rFonts w:ascii="Times New Roman" w:hAnsi="Times New Roman" w:eastAsia="黑体" w:cs="宋体"/>
          <w:b/>
          <w:color w:val="auto"/>
          <w:sz w:val="24"/>
          <w:szCs w:val="20"/>
          <w:highlight w:val="none"/>
        </w:rPr>
        <w:t>3.7 履约担保</w:t>
      </w:r>
      <w:bookmarkEnd w:id="1659"/>
      <w:bookmarkEnd w:id="1660"/>
    </w:p>
    <w:p w14:paraId="1F772739">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承包人是否提供履约担保：</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w:t>
      </w:r>
    </w:p>
    <w:p w14:paraId="22B786D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承包人提供履约担保的形式</w:t>
      </w:r>
      <w:r>
        <w:rPr>
          <w:rFonts w:hint="eastAsia" w:ascii="Times New Roman" w:hAnsi="Times New Roman"/>
          <w:color w:val="auto"/>
          <w:szCs w:val="24"/>
          <w:highlight w:val="none"/>
        </w:rPr>
        <w:t>、金额及期限的</w:t>
      </w:r>
      <w:r>
        <w:rPr>
          <w:rFonts w:ascii="Times New Roman" w:hAnsi="Times New Roman"/>
          <w:color w:val="auto"/>
          <w:szCs w:val="24"/>
          <w:highlight w:val="none"/>
        </w:rPr>
        <w:t xml:space="preserve">： </w:t>
      </w:r>
      <w:r>
        <w:rPr>
          <w:rFonts w:hint="eastAsia" w:ascii="Times New Roman" w:hAnsi="Times New Roman"/>
          <w:szCs w:val="24"/>
          <w:u w:val="single"/>
        </w:rPr>
        <w:t>与招标文件一致</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99B47E8">
      <w:pPr>
        <w:keepNext/>
        <w:keepLines/>
        <w:spacing w:before="100" w:line="400" w:lineRule="exact"/>
        <w:outlineLvl w:val="1"/>
        <w:rPr>
          <w:rFonts w:ascii="Times New Roman" w:hAnsi="Times New Roman" w:eastAsia="黑体" w:cs="宋体"/>
          <w:b/>
          <w:color w:val="auto"/>
          <w:sz w:val="28"/>
          <w:szCs w:val="20"/>
          <w:highlight w:val="none"/>
        </w:rPr>
      </w:pPr>
      <w:bookmarkStart w:id="1661" w:name="_Toc351203636"/>
      <w:bookmarkStart w:id="1662" w:name="_Toc28532283"/>
      <w:bookmarkStart w:id="1663" w:name="_Toc4343"/>
      <w:r>
        <w:rPr>
          <w:rFonts w:ascii="Times New Roman" w:hAnsi="Times New Roman" w:eastAsia="黑体" w:cs="宋体"/>
          <w:b/>
          <w:color w:val="auto"/>
          <w:sz w:val="28"/>
          <w:szCs w:val="20"/>
          <w:highlight w:val="none"/>
        </w:rPr>
        <w:t>4</w:t>
      </w:r>
      <w:bookmarkStart w:id="1664" w:name="_Toc296347161"/>
      <w:bookmarkStart w:id="1665" w:name="_Toc297120462"/>
      <w:bookmarkStart w:id="1666" w:name="_Toc292559366"/>
      <w:bookmarkStart w:id="1667" w:name="_Toc296891202"/>
      <w:bookmarkStart w:id="1668" w:name="_Toc297048348"/>
      <w:bookmarkStart w:id="1669" w:name="_Toc267251413"/>
      <w:bookmarkStart w:id="1670" w:name="_Toc296503162"/>
      <w:bookmarkStart w:id="1671" w:name="_Toc296346663"/>
      <w:bookmarkStart w:id="1672" w:name="_Toc292559871"/>
      <w:bookmarkStart w:id="1673" w:name="_Toc296890990"/>
      <w:bookmarkStart w:id="1674" w:name="_Toc296944501"/>
      <w:r>
        <w:rPr>
          <w:rFonts w:ascii="Times New Roman" w:hAnsi="Times New Roman" w:eastAsia="黑体" w:cs="宋体"/>
          <w:b/>
          <w:color w:val="auto"/>
          <w:sz w:val="28"/>
          <w:szCs w:val="20"/>
          <w:highlight w:val="none"/>
        </w:rPr>
        <w:t>. 监</w:t>
      </w:r>
      <w:bookmarkEnd w:id="1664"/>
      <w:bookmarkEnd w:id="1665"/>
      <w:bookmarkEnd w:id="1666"/>
      <w:bookmarkEnd w:id="1667"/>
      <w:bookmarkEnd w:id="1668"/>
      <w:bookmarkEnd w:id="1669"/>
      <w:bookmarkEnd w:id="1670"/>
      <w:bookmarkEnd w:id="1671"/>
      <w:bookmarkEnd w:id="1672"/>
      <w:bookmarkEnd w:id="1673"/>
      <w:bookmarkEnd w:id="1674"/>
      <w:r>
        <w:rPr>
          <w:rFonts w:ascii="Times New Roman" w:hAnsi="Times New Roman" w:eastAsia="黑体" w:cs="宋体"/>
          <w:b/>
          <w:color w:val="auto"/>
          <w:sz w:val="28"/>
          <w:szCs w:val="20"/>
          <w:highlight w:val="none"/>
        </w:rPr>
        <w:t>理人</w:t>
      </w:r>
      <w:bookmarkEnd w:id="1661"/>
      <w:bookmarkEnd w:id="1662"/>
      <w:bookmarkEnd w:id="1663"/>
    </w:p>
    <w:p w14:paraId="2B22285A">
      <w:pPr>
        <w:keepNext/>
        <w:keepLines/>
        <w:spacing w:line="400" w:lineRule="exact"/>
        <w:outlineLvl w:val="2"/>
        <w:rPr>
          <w:rFonts w:ascii="Times New Roman" w:hAnsi="Times New Roman" w:eastAsia="黑体" w:cs="宋体"/>
          <w:b/>
          <w:color w:val="auto"/>
          <w:sz w:val="24"/>
          <w:szCs w:val="20"/>
          <w:highlight w:val="none"/>
        </w:rPr>
      </w:pPr>
      <w:bookmarkStart w:id="1675" w:name="_Toc28532284"/>
      <w:bookmarkStart w:id="1676" w:name="_Toc7154"/>
      <w:r>
        <w:rPr>
          <w:rFonts w:ascii="Times New Roman" w:hAnsi="Times New Roman" w:eastAsia="黑体" w:cs="宋体"/>
          <w:b/>
          <w:color w:val="auto"/>
          <w:sz w:val="24"/>
          <w:szCs w:val="20"/>
          <w:highlight w:val="none"/>
        </w:rPr>
        <w:t>4.1监理人的一般规定</w:t>
      </w:r>
      <w:bookmarkEnd w:id="1675"/>
      <w:bookmarkEnd w:id="1676"/>
    </w:p>
    <w:p w14:paraId="44298B8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关于监理人的监理内容：</w:t>
      </w:r>
      <w:r>
        <w:rPr>
          <w:rFonts w:hint="eastAsia" w:ascii="Times New Roman" w:hAnsi="Times New Roman"/>
          <w:szCs w:val="24"/>
          <w:u w:val="single"/>
        </w:rPr>
        <w:t>依照法律法规、工程建设标准、勘察设计文件及合同、信息进行管理，对工程建设相关方的关系进行协调，并履行建设工程安全生产管理法定职责的服务活动</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7882B6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关于监理人的监理权限：</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行使监理合同授予的权限，审查施工组织设计和方案、施工工艺等</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E4732E3">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关于监理人在施工现场的办公场所、生活场所的提供和费用承担的约定：</w:t>
      </w:r>
      <w:r>
        <w:rPr>
          <w:rFonts w:hint="eastAsia" w:ascii="Times New Roman" w:hAnsi="Times New Roman"/>
          <w:szCs w:val="24"/>
          <w:u w:val="single"/>
        </w:rPr>
        <w:t>承包人承担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24DE8CE">
      <w:pPr>
        <w:keepNext/>
        <w:keepLines/>
        <w:spacing w:line="400" w:lineRule="exact"/>
        <w:outlineLvl w:val="2"/>
        <w:rPr>
          <w:rFonts w:ascii="Times New Roman" w:hAnsi="Times New Roman" w:eastAsia="黑体" w:cs="宋体"/>
          <w:b/>
          <w:color w:val="auto"/>
          <w:sz w:val="24"/>
          <w:szCs w:val="20"/>
          <w:highlight w:val="none"/>
        </w:rPr>
      </w:pPr>
      <w:bookmarkStart w:id="1677" w:name="_Toc4584"/>
      <w:bookmarkStart w:id="1678" w:name="_Toc28532285"/>
      <w:r>
        <w:rPr>
          <w:rFonts w:ascii="Times New Roman" w:hAnsi="Times New Roman" w:eastAsia="黑体" w:cs="宋体"/>
          <w:b/>
          <w:color w:val="auto"/>
          <w:sz w:val="24"/>
          <w:szCs w:val="20"/>
          <w:highlight w:val="none"/>
        </w:rPr>
        <w:t>4.2 监理人员</w:t>
      </w:r>
      <w:bookmarkEnd w:id="1677"/>
      <w:bookmarkEnd w:id="1678"/>
    </w:p>
    <w:p w14:paraId="497D3F8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总监理工程师：</w:t>
      </w:r>
    </w:p>
    <w:p w14:paraId="20233F9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姓    名：</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34EC362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职    务：</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056ABF7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监理工程师执业资格证书号：</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C0ED94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联系电话：</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2991077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电子信箱：</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7EB7122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通信地址：</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62B985C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关于监理人的其他约定：</w:t>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u w:val="single"/>
        </w:rPr>
        <w:sym w:font="Times New Roman" w:char="0020"/>
      </w:r>
      <w:r>
        <w:rPr>
          <w:rFonts w:ascii="Times New Roman" w:hAnsi="Times New Roman"/>
          <w:color w:val="auto"/>
          <w:szCs w:val="24"/>
          <w:highlight w:val="none"/>
          <w:u w:val="single"/>
        </w:rPr>
        <w:sym w:font="Times New Roman" w:char="E5E5"/>
      </w:r>
      <w:r>
        <w:rPr>
          <w:rFonts w:ascii="Times New Roman" w:hAnsi="Times New Roman"/>
          <w:color w:val="auto"/>
          <w:szCs w:val="24"/>
          <w:highlight w:val="none"/>
        </w:rPr>
        <w:t>。</w:t>
      </w:r>
    </w:p>
    <w:p w14:paraId="240D4740">
      <w:pPr>
        <w:keepNext/>
        <w:keepLines/>
        <w:spacing w:line="400" w:lineRule="exact"/>
        <w:outlineLvl w:val="2"/>
        <w:rPr>
          <w:rFonts w:ascii="Times New Roman" w:hAnsi="Times New Roman" w:eastAsia="黑体" w:cs="宋体"/>
          <w:b/>
          <w:color w:val="auto"/>
          <w:sz w:val="24"/>
          <w:szCs w:val="20"/>
          <w:highlight w:val="none"/>
        </w:rPr>
      </w:pPr>
      <w:bookmarkStart w:id="1679" w:name="_Toc28532286"/>
      <w:bookmarkStart w:id="1680" w:name="_Toc2181"/>
      <w:r>
        <w:rPr>
          <w:rFonts w:ascii="Times New Roman" w:hAnsi="Times New Roman" w:eastAsia="黑体" w:cs="宋体"/>
          <w:b/>
          <w:color w:val="auto"/>
          <w:sz w:val="24"/>
          <w:szCs w:val="20"/>
          <w:highlight w:val="none"/>
        </w:rPr>
        <w:t>4.4 商定或确定</w:t>
      </w:r>
      <w:bookmarkEnd w:id="1679"/>
      <w:bookmarkEnd w:id="1680"/>
    </w:p>
    <w:p w14:paraId="7F1E2BDE">
      <w:pPr>
        <w:spacing w:line="400" w:lineRule="exact"/>
        <w:ind w:firstLine="420" w:firstLineChars="200"/>
        <w:rPr>
          <w:rFonts w:ascii="Times New Roman" w:hAnsi="Times New Roman"/>
          <w:color w:val="auto"/>
          <w:szCs w:val="24"/>
          <w:highlight w:val="none"/>
        </w:rPr>
      </w:pPr>
      <w:bookmarkStart w:id="1681" w:name="_Toc267251418"/>
      <w:r>
        <w:rPr>
          <w:rFonts w:ascii="Times New Roman" w:hAnsi="Times New Roman"/>
          <w:color w:val="auto"/>
          <w:szCs w:val="24"/>
          <w:highlight w:val="none"/>
        </w:rPr>
        <w:t>在发包人和承包人不能通过协商达成一致意见时，发包人授权监理人对以下事项进行确定：</w:t>
      </w:r>
    </w:p>
    <w:p w14:paraId="0B39B38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40A4C2F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4AB062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7EE9216">
      <w:pPr>
        <w:keepNext/>
        <w:keepLines/>
        <w:spacing w:before="100" w:line="400" w:lineRule="exact"/>
        <w:outlineLvl w:val="1"/>
        <w:rPr>
          <w:rFonts w:ascii="Times New Roman" w:hAnsi="Times New Roman" w:eastAsia="黑体" w:cs="宋体"/>
          <w:b/>
          <w:color w:val="auto"/>
          <w:sz w:val="28"/>
          <w:szCs w:val="20"/>
          <w:highlight w:val="none"/>
        </w:rPr>
      </w:pPr>
      <w:bookmarkStart w:id="1682" w:name="_Toc351203637"/>
      <w:bookmarkStart w:id="1683" w:name="_Toc28532287"/>
      <w:bookmarkStart w:id="1684" w:name="_Toc927"/>
      <w:r>
        <w:rPr>
          <w:rFonts w:ascii="Times New Roman" w:hAnsi="Times New Roman" w:eastAsia="黑体" w:cs="宋体"/>
          <w:b/>
          <w:color w:val="auto"/>
          <w:sz w:val="28"/>
          <w:szCs w:val="20"/>
          <w:highlight w:val="none"/>
        </w:rPr>
        <w:t>5</w:t>
      </w:r>
      <w:bookmarkEnd w:id="1681"/>
      <w:bookmarkStart w:id="1685" w:name="_Toc297048349"/>
      <w:bookmarkStart w:id="1686" w:name="_Toc296891203"/>
      <w:bookmarkStart w:id="1687" w:name="_Toc296503163"/>
      <w:bookmarkStart w:id="1688" w:name="_Toc292559367"/>
      <w:bookmarkStart w:id="1689" w:name="_Toc296944502"/>
      <w:bookmarkStart w:id="1690" w:name="_Toc297120463"/>
      <w:bookmarkStart w:id="1691" w:name="_Toc296890991"/>
      <w:bookmarkStart w:id="1692" w:name="_Toc292559872"/>
      <w:bookmarkStart w:id="1693" w:name="_Toc296346664"/>
      <w:bookmarkStart w:id="1694" w:name="_Toc296347162"/>
      <w:r>
        <w:rPr>
          <w:rFonts w:ascii="Times New Roman" w:hAnsi="Times New Roman" w:eastAsia="黑体" w:cs="宋体"/>
          <w:b/>
          <w:color w:val="auto"/>
          <w:sz w:val="28"/>
          <w:szCs w:val="20"/>
          <w:highlight w:val="none"/>
        </w:rPr>
        <w:t>. 工程质量</w:t>
      </w:r>
      <w:bookmarkEnd w:id="1682"/>
      <w:bookmarkEnd w:id="1683"/>
      <w:bookmarkEnd w:id="1684"/>
    </w:p>
    <w:p w14:paraId="43DE52ED">
      <w:pPr>
        <w:keepNext/>
        <w:keepLines/>
        <w:spacing w:line="400" w:lineRule="exact"/>
        <w:outlineLvl w:val="2"/>
        <w:rPr>
          <w:rFonts w:ascii="Times New Roman" w:hAnsi="Times New Roman" w:eastAsia="黑体" w:cs="宋体"/>
          <w:b/>
          <w:color w:val="auto"/>
          <w:sz w:val="24"/>
          <w:szCs w:val="20"/>
          <w:highlight w:val="none"/>
        </w:rPr>
      </w:pPr>
      <w:bookmarkStart w:id="1695" w:name="_Toc28532288"/>
      <w:bookmarkStart w:id="1696" w:name="_Toc31788"/>
      <w:r>
        <w:rPr>
          <w:rFonts w:ascii="Times New Roman" w:hAnsi="Times New Roman" w:eastAsia="黑体" w:cs="宋体"/>
          <w:b/>
          <w:color w:val="auto"/>
          <w:sz w:val="24"/>
          <w:szCs w:val="20"/>
          <w:highlight w:val="none"/>
        </w:rPr>
        <w:t>5.1 质量要求</w:t>
      </w:r>
      <w:bookmarkEnd w:id="1695"/>
      <w:bookmarkEnd w:id="1696"/>
    </w:p>
    <w:p w14:paraId="4B2CF2F7">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5</w:t>
      </w:r>
      <w:bookmarkStart w:id="1697" w:name="_Toc297216155"/>
      <w:bookmarkStart w:id="1698" w:name="_Toc303539106"/>
      <w:bookmarkStart w:id="1699" w:name="_Toc304295527"/>
      <w:bookmarkStart w:id="1700" w:name="_Toc300934949"/>
      <w:bookmarkStart w:id="1701" w:name="_Toc297123496"/>
      <w:bookmarkStart w:id="1702" w:name="_Toc312677997"/>
      <w:bookmarkStart w:id="1703" w:name="_Toc318581164"/>
      <w:r>
        <w:rPr>
          <w:rFonts w:ascii="Times New Roman" w:hAnsi="Times New Roman"/>
          <w:color w:val="auto"/>
          <w:szCs w:val="24"/>
          <w:highlight w:val="none"/>
        </w:rPr>
        <w:t>.1.1 特殊质量标准和要求：</w:t>
      </w:r>
      <w:r>
        <w:rPr>
          <w:rFonts w:hint="eastAsia" w:ascii="Times New Roman" w:hAnsi="Times New Roman"/>
          <w:color w:val="auto"/>
          <w:szCs w:val="24"/>
          <w:highlight w:val="none"/>
          <w:lang w:val="en-US" w:eastAsia="zh-CN"/>
        </w:rPr>
        <w:t>/</w:t>
      </w:r>
      <w:r>
        <w:rPr>
          <w:rFonts w:ascii="Times New Roman" w:hAnsi="Times New Roman"/>
          <w:color w:val="auto"/>
          <w:szCs w:val="24"/>
          <w:highlight w:val="none"/>
        </w:rPr>
        <w:t>。</w:t>
      </w:r>
    </w:p>
    <w:p w14:paraId="6813B3D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关于工程奖项的约定：</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18AD9FC1">
      <w:pPr>
        <w:keepNext/>
        <w:keepLines/>
        <w:spacing w:line="400" w:lineRule="exact"/>
        <w:outlineLvl w:val="2"/>
        <w:rPr>
          <w:rFonts w:ascii="Times New Roman" w:hAnsi="Times New Roman" w:eastAsia="黑体" w:cs="宋体"/>
          <w:b/>
          <w:color w:val="auto"/>
          <w:sz w:val="24"/>
          <w:szCs w:val="20"/>
          <w:highlight w:val="none"/>
        </w:rPr>
      </w:pPr>
      <w:bookmarkStart w:id="1704" w:name="_Toc28532289"/>
      <w:bookmarkStart w:id="1705" w:name="_Toc231"/>
      <w:r>
        <w:rPr>
          <w:rFonts w:ascii="Times New Roman" w:hAnsi="Times New Roman" w:eastAsia="黑体" w:cs="宋体"/>
          <w:b/>
          <w:color w:val="auto"/>
          <w:sz w:val="24"/>
          <w:szCs w:val="20"/>
          <w:highlight w:val="none"/>
        </w:rPr>
        <w:t>5.3 隐蔽工程检查</w:t>
      </w:r>
      <w:bookmarkEnd w:id="1704"/>
      <w:bookmarkEnd w:id="1705"/>
    </w:p>
    <w:p w14:paraId="0CFA7AF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5.3.2承包人提前通知监理人隐蔽工程检查的期限的约定：</w:t>
      </w:r>
      <w:r>
        <w:rPr>
          <w:rFonts w:hint="eastAsia" w:ascii="Times New Roman" w:hAnsi="Times New Roman"/>
          <w:szCs w:val="24"/>
          <w:u w:val="single"/>
        </w:rPr>
        <w:t>在验收前48小时内通知</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5B67EB0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监理人不能按时进行检查时，应提前</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24</w:t>
      </w:r>
      <w:r>
        <w:rPr>
          <w:rFonts w:ascii="Times New Roman" w:hAnsi="Times New Roman"/>
          <w:color w:val="auto"/>
          <w:szCs w:val="24"/>
          <w:highlight w:val="none"/>
          <w:u w:val="single"/>
        </w:rPr>
        <w:t xml:space="preserve">  </w:t>
      </w:r>
      <w:r>
        <w:rPr>
          <w:rFonts w:ascii="Times New Roman" w:hAnsi="Times New Roman"/>
          <w:color w:val="auto"/>
          <w:szCs w:val="24"/>
          <w:highlight w:val="none"/>
        </w:rPr>
        <w:t>小时提交书面延期要求。</w:t>
      </w:r>
    </w:p>
    <w:p w14:paraId="758130C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关于延期最长不得超过：</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48</w:t>
      </w:r>
      <w:r>
        <w:rPr>
          <w:rFonts w:ascii="Times New Roman" w:hAnsi="Times New Roman"/>
          <w:color w:val="auto"/>
          <w:szCs w:val="24"/>
          <w:highlight w:val="none"/>
          <w:u w:val="single"/>
        </w:rPr>
        <w:t xml:space="preserve"> </w:t>
      </w:r>
      <w:r>
        <w:rPr>
          <w:rFonts w:ascii="Times New Roman" w:hAnsi="Times New Roman"/>
          <w:color w:val="auto"/>
          <w:szCs w:val="24"/>
          <w:highlight w:val="none"/>
        </w:rPr>
        <w:t>小时。</w:t>
      </w:r>
    </w:p>
    <w:p w14:paraId="0EA7E533">
      <w:pPr>
        <w:keepNext/>
        <w:keepLines/>
        <w:spacing w:before="100" w:line="400" w:lineRule="exact"/>
        <w:outlineLvl w:val="1"/>
        <w:rPr>
          <w:rFonts w:ascii="Times New Roman" w:hAnsi="Times New Roman" w:eastAsia="黑体" w:cs="宋体"/>
          <w:b/>
          <w:color w:val="auto"/>
          <w:sz w:val="28"/>
          <w:szCs w:val="20"/>
          <w:highlight w:val="none"/>
        </w:rPr>
      </w:pPr>
      <w:bookmarkStart w:id="1706" w:name="_Toc25538"/>
      <w:bookmarkStart w:id="1707" w:name="_Toc28532290"/>
      <w:bookmarkStart w:id="1708" w:name="_Toc351203638"/>
      <w:r>
        <w:rPr>
          <w:rFonts w:ascii="Times New Roman" w:hAnsi="Times New Roman" w:eastAsia="黑体" w:cs="宋体"/>
          <w:b/>
          <w:color w:val="auto"/>
          <w:sz w:val="28"/>
          <w:szCs w:val="20"/>
          <w:highlight w:val="none"/>
        </w:rPr>
        <w:t>6. 安全文明施工与环境保护</w:t>
      </w:r>
      <w:bookmarkEnd w:id="1706"/>
      <w:bookmarkEnd w:id="1707"/>
      <w:bookmarkEnd w:id="1708"/>
    </w:p>
    <w:p w14:paraId="0D24D78C">
      <w:pPr>
        <w:keepNext/>
        <w:keepLines/>
        <w:spacing w:line="400" w:lineRule="exact"/>
        <w:outlineLvl w:val="2"/>
        <w:rPr>
          <w:rFonts w:ascii="Times New Roman" w:hAnsi="Times New Roman" w:eastAsia="黑体" w:cs="宋体"/>
          <w:b/>
          <w:color w:val="auto"/>
          <w:sz w:val="24"/>
          <w:szCs w:val="20"/>
          <w:highlight w:val="none"/>
        </w:rPr>
      </w:pPr>
      <w:bookmarkStart w:id="1709" w:name="_Toc29566"/>
      <w:bookmarkStart w:id="1710" w:name="_Toc28532291"/>
      <w:r>
        <w:rPr>
          <w:rFonts w:ascii="Times New Roman" w:hAnsi="Times New Roman" w:eastAsia="黑体" w:cs="宋体"/>
          <w:b/>
          <w:color w:val="auto"/>
          <w:sz w:val="24"/>
          <w:szCs w:val="20"/>
          <w:highlight w:val="none"/>
        </w:rPr>
        <w:t>6.1安全文明施工</w:t>
      </w:r>
      <w:bookmarkEnd w:id="1709"/>
      <w:bookmarkEnd w:id="1710"/>
    </w:p>
    <w:p w14:paraId="732D89A9">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6.1.1 项目安全生产的达标目标及相应事项的约定：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严格执行《建设工程安全生产管理条例》等相关规定</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315824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6.1.4 关于治安保卫的特别约定：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按通用合同条款执行，由承包人负责</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5ED8B3E3">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关于编制施工场地治安管理计划的约定：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由承包人编制，责任由承包人承担，费用自理</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CF54E1F">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6.1.5 文明施工</w:t>
      </w:r>
    </w:p>
    <w:p w14:paraId="52BB7D38">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合同当事人对文明施工的要求：</w:t>
      </w:r>
      <w:r>
        <w:rPr>
          <w:rFonts w:hint="eastAsia" w:ascii="Times New Roman" w:hAnsi="Times New Roman"/>
          <w:szCs w:val="24"/>
          <w:u w:val="single"/>
        </w:rPr>
        <w:t>符合国家要求</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ADA331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6.1.6 关于安全文明施工费支付比例和支付期限的约定：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同主体结构付款方式</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bookmarkEnd w:id="1697"/>
    <w:bookmarkEnd w:id="1698"/>
    <w:bookmarkEnd w:id="1699"/>
    <w:bookmarkEnd w:id="1700"/>
    <w:bookmarkEnd w:id="1701"/>
    <w:bookmarkEnd w:id="1702"/>
    <w:bookmarkEnd w:id="1703"/>
    <w:p w14:paraId="5C2D7792">
      <w:pPr>
        <w:keepNext/>
        <w:keepLines/>
        <w:spacing w:before="100" w:line="400" w:lineRule="exact"/>
        <w:outlineLvl w:val="1"/>
        <w:rPr>
          <w:rFonts w:ascii="Times New Roman" w:hAnsi="Times New Roman" w:eastAsia="黑体" w:cs="宋体"/>
          <w:b/>
          <w:color w:val="auto"/>
          <w:sz w:val="28"/>
          <w:szCs w:val="20"/>
          <w:highlight w:val="none"/>
        </w:rPr>
      </w:pPr>
      <w:bookmarkStart w:id="1711" w:name="_Toc28532292"/>
      <w:bookmarkStart w:id="1712" w:name="_Toc14614"/>
      <w:bookmarkStart w:id="1713" w:name="_Toc351203639"/>
      <w:r>
        <w:rPr>
          <w:rFonts w:ascii="Times New Roman" w:hAnsi="Times New Roman" w:eastAsia="黑体" w:cs="宋体"/>
          <w:b/>
          <w:color w:val="auto"/>
          <w:sz w:val="28"/>
          <w:szCs w:val="20"/>
          <w:highlight w:val="none"/>
        </w:rPr>
        <w:t>7. 工期和进度</w:t>
      </w:r>
      <w:bookmarkEnd w:id="1711"/>
      <w:bookmarkEnd w:id="1712"/>
      <w:bookmarkEnd w:id="1713"/>
    </w:p>
    <w:p w14:paraId="1D4EF1BB">
      <w:pPr>
        <w:keepNext/>
        <w:keepLines/>
        <w:spacing w:line="400" w:lineRule="exact"/>
        <w:outlineLvl w:val="2"/>
        <w:rPr>
          <w:rFonts w:ascii="Times New Roman" w:hAnsi="Times New Roman" w:eastAsia="黑体" w:cs="宋体"/>
          <w:b/>
          <w:color w:val="auto"/>
          <w:sz w:val="24"/>
          <w:szCs w:val="20"/>
          <w:highlight w:val="none"/>
        </w:rPr>
      </w:pPr>
      <w:bookmarkStart w:id="1714" w:name="_Toc28888"/>
      <w:bookmarkStart w:id="1715" w:name="_Toc28532293"/>
      <w:r>
        <w:rPr>
          <w:rFonts w:ascii="Times New Roman" w:hAnsi="Times New Roman" w:eastAsia="黑体" w:cs="宋体"/>
          <w:b/>
          <w:color w:val="auto"/>
          <w:sz w:val="24"/>
          <w:szCs w:val="20"/>
          <w:highlight w:val="none"/>
        </w:rPr>
        <w:t>7.1 施工组织设计</w:t>
      </w:r>
      <w:bookmarkEnd w:id="1714"/>
      <w:bookmarkEnd w:id="1715"/>
    </w:p>
    <w:p w14:paraId="755BDACA">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7.1.</w:t>
      </w:r>
      <w:r>
        <w:rPr>
          <w:rFonts w:hint="eastAsia" w:ascii="Times New Roman" w:hAnsi="Times New Roman"/>
          <w:color w:val="auto"/>
          <w:szCs w:val="24"/>
          <w:highlight w:val="none"/>
        </w:rPr>
        <w:t>1 合同当事人约定的</w:t>
      </w:r>
      <w:r>
        <w:rPr>
          <w:rFonts w:ascii="Times New Roman" w:hAnsi="Times New Roman"/>
          <w:color w:val="auto"/>
          <w:szCs w:val="24"/>
          <w:highlight w:val="none"/>
        </w:rPr>
        <w:t>施工组织设计</w:t>
      </w:r>
      <w:r>
        <w:rPr>
          <w:rFonts w:hint="eastAsia" w:ascii="Times New Roman" w:hAnsi="Times New Roman"/>
          <w:color w:val="auto"/>
          <w:szCs w:val="24"/>
          <w:highlight w:val="none"/>
        </w:rPr>
        <w:t>应包括的其他内容</w:t>
      </w:r>
      <w:r>
        <w:rPr>
          <w:rFonts w:ascii="Times New Roman" w:hAnsi="Times New Roman"/>
          <w:color w:val="auto"/>
          <w:szCs w:val="24"/>
          <w:highlight w:val="none"/>
        </w:rPr>
        <w:t>：</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（1）专业性较强的专项工程安全施工组织设计；（2）安全技术措施；（3）施工现场临时用电方案；（4）达到规定规模的危险性较大的作业等</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F3AC24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7.1.2 施工组织设计的提交和修改</w:t>
      </w:r>
    </w:p>
    <w:p w14:paraId="1DE4DE70">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承包人提交详细施工组织设计的期限的约定：</w:t>
      </w:r>
      <w:r>
        <w:rPr>
          <w:rFonts w:hint="eastAsia" w:ascii="Times New Roman" w:hAnsi="Times New Roman"/>
          <w:color w:val="auto"/>
          <w:szCs w:val="24"/>
          <w:highlight w:val="none"/>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E6F120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发包人和监理人在收到</w:t>
      </w:r>
      <w:r>
        <w:rPr>
          <w:rFonts w:hint="eastAsia" w:ascii="Times New Roman" w:hAnsi="Times New Roman"/>
          <w:color w:val="auto"/>
          <w:szCs w:val="24"/>
          <w:highlight w:val="none"/>
        </w:rPr>
        <w:t>详细的施工组织设计</w:t>
      </w:r>
      <w:r>
        <w:rPr>
          <w:rFonts w:ascii="Times New Roman" w:hAnsi="Times New Roman"/>
          <w:color w:val="auto"/>
          <w:szCs w:val="24"/>
          <w:highlight w:val="none"/>
        </w:rPr>
        <w:t>后确认或提出修改意见的期限：</w:t>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4AA40527">
      <w:pPr>
        <w:keepNext/>
        <w:keepLines/>
        <w:spacing w:line="400" w:lineRule="exact"/>
        <w:outlineLvl w:val="2"/>
        <w:rPr>
          <w:rFonts w:ascii="Times New Roman" w:hAnsi="Times New Roman" w:eastAsia="黑体" w:cs="宋体"/>
          <w:b/>
          <w:color w:val="auto"/>
          <w:sz w:val="24"/>
          <w:szCs w:val="20"/>
          <w:highlight w:val="none"/>
        </w:rPr>
      </w:pPr>
      <w:bookmarkStart w:id="1716" w:name="_Toc28532294"/>
      <w:bookmarkStart w:id="1717" w:name="_Toc15142"/>
      <w:r>
        <w:rPr>
          <w:rFonts w:ascii="Times New Roman" w:hAnsi="Times New Roman" w:eastAsia="黑体" w:cs="宋体"/>
          <w:b/>
          <w:color w:val="auto"/>
          <w:sz w:val="24"/>
          <w:szCs w:val="20"/>
          <w:highlight w:val="none"/>
        </w:rPr>
        <w:t>7</w:t>
      </w:r>
      <w:bookmarkStart w:id="1718" w:name="_Toc303539123"/>
      <w:bookmarkStart w:id="1719" w:name="_Toc304295541"/>
      <w:bookmarkStart w:id="1720" w:name="_Toc312677479"/>
      <w:bookmarkStart w:id="1721" w:name="_Toc297216173"/>
      <w:bookmarkStart w:id="1722" w:name="_Toc312678005"/>
      <w:bookmarkStart w:id="1723" w:name="_Toc300934966"/>
      <w:bookmarkStart w:id="1724" w:name="_Toc297123514"/>
      <w:r>
        <w:rPr>
          <w:rFonts w:ascii="Times New Roman" w:hAnsi="Times New Roman" w:eastAsia="黑体" w:cs="宋体"/>
          <w:b/>
          <w:color w:val="auto"/>
          <w:sz w:val="24"/>
          <w:szCs w:val="20"/>
          <w:highlight w:val="none"/>
        </w:rPr>
        <w:t>.2 施工进度计划</w:t>
      </w:r>
      <w:bookmarkEnd w:id="1716"/>
      <w:bookmarkEnd w:id="1717"/>
    </w:p>
    <w:p w14:paraId="2BC4C54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7.2.2 施工进度计划的修订</w:t>
      </w:r>
    </w:p>
    <w:p w14:paraId="799A091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发包人和监理人在收到修订的施工进度计划后确认或提出修改意见的期限：</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5478024">
      <w:pPr>
        <w:keepNext/>
        <w:keepLines/>
        <w:spacing w:line="400" w:lineRule="exact"/>
        <w:outlineLvl w:val="2"/>
        <w:rPr>
          <w:rFonts w:ascii="Times New Roman" w:hAnsi="Times New Roman" w:eastAsia="黑体" w:cs="宋体"/>
          <w:b/>
          <w:color w:val="auto"/>
          <w:sz w:val="24"/>
          <w:szCs w:val="20"/>
          <w:highlight w:val="none"/>
        </w:rPr>
      </w:pPr>
      <w:bookmarkStart w:id="1725" w:name="_Toc9709"/>
      <w:bookmarkStart w:id="1726" w:name="_Toc28532295"/>
      <w:r>
        <w:rPr>
          <w:rFonts w:ascii="Times New Roman" w:hAnsi="Times New Roman" w:eastAsia="黑体" w:cs="宋体"/>
          <w:b/>
          <w:color w:val="auto"/>
          <w:sz w:val="24"/>
          <w:szCs w:val="20"/>
          <w:highlight w:val="none"/>
        </w:rPr>
        <w:t>7.3 开工</w:t>
      </w:r>
      <w:bookmarkEnd w:id="1725"/>
      <w:bookmarkEnd w:id="1726"/>
    </w:p>
    <w:p w14:paraId="5D236EB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7.3.1 开工准备</w:t>
      </w:r>
    </w:p>
    <w:p w14:paraId="2A01F76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关于承包人提交工程开工报审表的期限：</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开工前7天内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914F5B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关于发包人应完成的其他开工准备工作及期限：</w:t>
      </w:r>
      <w:r>
        <w:rPr>
          <w:rFonts w:hint="eastAsia" w:ascii="Times New Roman" w:hAnsi="Times New Roman"/>
          <w:szCs w:val="24"/>
          <w:u w:val="single"/>
        </w:rPr>
        <w:t>开工前7天内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42E387F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关于承包人应完成的其他开工准备工作及期限：</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开工前7天内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25E4B1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7.3.2开工通知</w:t>
      </w:r>
    </w:p>
    <w:p w14:paraId="0DA3AA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因发包人原因造成监理人未能在计划开工日期之日起</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90</w:t>
      </w:r>
      <w:r>
        <w:rPr>
          <w:rFonts w:ascii="Times New Roman" w:hAnsi="Times New Roman"/>
          <w:color w:val="auto"/>
          <w:szCs w:val="24"/>
          <w:highlight w:val="none"/>
          <w:u w:val="single"/>
        </w:rPr>
        <w:t xml:space="preserve">  </w:t>
      </w:r>
      <w:r>
        <w:rPr>
          <w:rFonts w:ascii="Times New Roman" w:hAnsi="Times New Roman"/>
          <w:color w:val="auto"/>
          <w:szCs w:val="24"/>
          <w:highlight w:val="none"/>
        </w:rPr>
        <w:t>天内发出开工通知的，承包人有权提出价格调整要求，或者解除合同。</w:t>
      </w:r>
    </w:p>
    <w:bookmarkEnd w:id="1718"/>
    <w:bookmarkEnd w:id="1719"/>
    <w:bookmarkEnd w:id="1720"/>
    <w:bookmarkEnd w:id="1721"/>
    <w:bookmarkEnd w:id="1722"/>
    <w:bookmarkEnd w:id="1723"/>
    <w:bookmarkEnd w:id="1724"/>
    <w:p w14:paraId="31EB1C58">
      <w:pPr>
        <w:keepNext/>
        <w:keepLines/>
        <w:spacing w:line="400" w:lineRule="exact"/>
        <w:outlineLvl w:val="2"/>
        <w:rPr>
          <w:rFonts w:ascii="Times New Roman" w:hAnsi="Times New Roman" w:eastAsia="黑体" w:cs="宋体"/>
          <w:b/>
          <w:color w:val="auto"/>
          <w:sz w:val="24"/>
          <w:szCs w:val="20"/>
          <w:highlight w:val="none"/>
        </w:rPr>
      </w:pPr>
      <w:bookmarkStart w:id="1727" w:name="_Toc28532296"/>
      <w:bookmarkStart w:id="1728" w:name="_Toc27955"/>
      <w:r>
        <w:rPr>
          <w:rFonts w:ascii="Times New Roman" w:hAnsi="Times New Roman" w:eastAsia="黑体" w:cs="宋体"/>
          <w:b/>
          <w:color w:val="auto"/>
          <w:sz w:val="24"/>
          <w:szCs w:val="20"/>
          <w:highlight w:val="none"/>
        </w:rPr>
        <w:t>7.4 测量放线</w:t>
      </w:r>
      <w:bookmarkEnd w:id="1727"/>
      <w:bookmarkEnd w:id="1728"/>
    </w:p>
    <w:p w14:paraId="3963491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7.4.1发包人通过监理人向承包人提供测量基准点、基准线和水准点及其书面资料的期限：</w:t>
      </w:r>
    </w:p>
    <w:p w14:paraId="1641A4D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u w:val="single"/>
        </w:rPr>
        <w:t xml:space="preserve">  </w:t>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7CAF8253">
      <w:pPr>
        <w:keepNext/>
        <w:keepLines/>
        <w:spacing w:line="400" w:lineRule="exact"/>
        <w:outlineLvl w:val="2"/>
        <w:rPr>
          <w:rFonts w:ascii="Times New Roman" w:hAnsi="Times New Roman" w:eastAsia="黑体" w:cs="宋体"/>
          <w:b/>
          <w:color w:val="auto"/>
          <w:sz w:val="24"/>
          <w:szCs w:val="20"/>
          <w:highlight w:val="none"/>
        </w:rPr>
      </w:pPr>
      <w:bookmarkStart w:id="1729" w:name="_Toc4735"/>
      <w:bookmarkStart w:id="1730" w:name="_Toc28532297"/>
      <w:r>
        <w:rPr>
          <w:rFonts w:ascii="Times New Roman" w:hAnsi="Times New Roman" w:eastAsia="黑体" w:cs="宋体"/>
          <w:b/>
          <w:color w:val="auto"/>
          <w:sz w:val="24"/>
          <w:szCs w:val="20"/>
          <w:highlight w:val="none"/>
        </w:rPr>
        <w:t>7</w:t>
      </w:r>
      <w:bookmarkStart w:id="1731" w:name="_Toc300934968"/>
      <w:bookmarkStart w:id="1732" w:name="_Toc304295546"/>
      <w:bookmarkStart w:id="1733" w:name="_Toc312677484"/>
      <w:bookmarkStart w:id="1734" w:name="_Toc297216175"/>
      <w:bookmarkStart w:id="1735" w:name="_Toc303539125"/>
      <w:bookmarkStart w:id="1736" w:name="_Toc297123516"/>
      <w:bookmarkStart w:id="1737" w:name="_Toc312678010"/>
      <w:r>
        <w:rPr>
          <w:rFonts w:ascii="Times New Roman" w:hAnsi="Times New Roman" w:eastAsia="黑体" w:cs="宋体"/>
          <w:b/>
          <w:color w:val="auto"/>
          <w:sz w:val="24"/>
          <w:szCs w:val="20"/>
          <w:highlight w:val="none"/>
        </w:rPr>
        <w:t>.5 工期延误</w:t>
      </w:r>
      <w:bookmarkEnd w:id="1729"/>
      <w:bookmarkEnd w:id="1730"/>
      <w:r>
        <w:rPr>
          <w:rFonts w:hint="eastAsia" w:ascii="Times New Roman" w:hAnsi="Times New Roman" w:eastAsia="黑体" w:cs="宋体"/>
          <w:b/>
          <w:color w:val="auto"/>
          <w:sz w:val="24"/>
          <w:szCs w:val="20"/>
          <w:highlight w:val="none"/>
        </w:rPr>
        <w:t xml:space="preserve">              </w:t>
      </w:r>
    </w:p>
    <w:bookmarkEnd w:id="1731"/>
    <w:bookmarkEnd w:id="1732"/>
    <w:bookmarkEnd w:id="1733"/>
    <w:bookmarkEnd w:id="1734"/>
    <w:bookmarkEnd w:id="1735"/>
    <w:bookmarkEnd w:id="1736"/>
    <w:bookmarkEnd w:id="1737"/>
    <w:p w14:paraId="042B98E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7.5.1 因发包人原因导致工期延误</w:t>
      </w:r>
    </w:p>
    <w:p w14:paraId="5D11C0C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（7）因发包人原因导致工期延误的其他情形：</w:t>
      </w:r>
      <w:r>
        <w:rPr>
          <w:rFonts w:hint="eastAsia" w:ascii="Times New Roman" w:hAnsi="Times New Roman"/>
          <w:color w:val="auto"/>
          <w:szCs w:val="24"/>
          <w:highlight w:val="none"/>
          <w:lang w:val="en-US" w:eastAsia="zh-CN"/>
        </w:rPr>
        <w:t xml:space="preserve"> </w:t>
      </w:r>
      <w:r>
        <w:rPr>
          <w:rFonts w:hint="eastAsia" w:ascii="Times New Roman" w:hAnsi="Times New Roman"/>
          <w:color w:val="auto"/>
          <w:szCs w:val="24"/>
          <w:highlight w:val="none"/>
          <w:u w:val="single"/>
          <w:lang w:val="en-US" w:eastAsia="zh-CN"/>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78385D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7</w:t>
      </w:r>
      <w:bookmarkStart w:id="1738" w:name="_Toc312677486"/>
      <w:bookmarkStart w:id="1739" w:name="_Toc312678012"/>
      <w:bookmarkStart w:id="1740" w:name="_Toc318581169"/>
      <w:bookmarkStart w:id="1741" w:name="_Toc303539127"/>
      <w:bookmarkStart w:id="1742" w:name="_Toc300934970"/>
      <w:bookmarkStart w:id="1743" w:name="_Toc297123518"/>
      <w:bookmarkStart w:id="1744" w:name="_Toc304295548"/>
      <w:bookmarkStart w:id="1745" w:name="_Toc297216177"/>
      <w:r>
        <w:rPr>
          <w:rFonts w:ascii="Times New Roman" w:hAnsi="Times New Roman"/>
          <w:color w:val="auto"/>
          <w:szCs w:val="24"/>
          <w:highlight w:val="none"/>
        </w:rPr>
        <w:t>.5.2 因承包人原因导致工期延误</w:t>
      </w:r>
    </w:p>
    <w:bookmarkEnd w:id="1738"/>
    <w:bookmarkEnd w:id="1739"/>
    <w:bookmarkEnd w:id="1740"/>
    <w:p w14:paraId="2F48288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因</w:t>
      </w:r>
      <w:bookmarkStart w:id="1746" w:name="_Toc312677487"/>
      <w:bookmarkStart w:id="1747" w:name="_Toc312678013"/>
      <w:bookmarkStart w:id="1748" w:name="_Toc318581170"/>
      <w:r>
        <w:rPr>
          <w:rFonts w:ascii="Times New Roman" w:hAnsi="Times New Roman"/>
          <w:color w:val="auto"/>
          <w:szCs w:val="24"/>
          <w:highlight w:val="none"/>
        </w:rPr>
        <w:t>承包人原因造成工期延误，逾期竣工违约金的计算方法为：</w:t>
      </w:r>
      <w:bookmarkEnd w:id="1741"/>
      <w:bookmarkEnd w:id="1742"/>
      <w:bookmarkEnd w:id="1743"/>
      <w:bookmarkEnd w:id="1744"/>
      <w:bookmarkEnd w:id="1745"/>
      <w:bookmarkEnd w:id="1746"/>
      <w:bookmarkEnd w:id="1747"/>
      <w:bookmarkEnd w:id="1748"/>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5000元/天</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5093532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因承包人原因造成工期延误，逾</w:t>
      </w:r>
      <w:bookmarkStart w:id="1749" w:name="_Toc318581171"/>
      <w:bookmarkStart w:id="1750" w:name="_Toc312678014"/>
      <w:r>
        <w:rPr>
          <w:rFonts w:ascii="Times New Roman" w:hAnsi="Times New Roman"/>
          <w:color w:val="auto"/>
          <w:szCs w:val="24"/>
          <w:highlight w:val="none"/>
        </w:rPr>
        <w:t xml:space="preserve">期竣工违约金的上限： </w:t>
      </w:r>
      <w:r>
        <w:rPr>
          <w:rFonts w:hint="eastAsia" w:ascii="Times New Roman" w:hAnsi="Times New Roman"/>
          <w:color w:val="auto"/>
          <w:szCs w:val="24"/>
          <w:highlight w:val="none"/>
          <w:u w:val="single"/>
          <w:lang w:val="en-US" w:eastAsia="zh-CN"/>
        </w:rPr>
        <w:t xml:space="preserve"> /</w:t>
      </w:r>
      <w:r>
        <w:rPr>
          <w:rFonts w:ascii="Times New Roman" w:hAnsi="Times New Roman"/>
          <w:color w:val="auto"/>
          <w:szCs w:val="24"/>
          <w:highlight w:val="none"/>
        </w:rPr>
        <w:t>。</w:t>
      </w:r>
    </w:p>
    <w:bookmarkEnd w:id="1749"/>
    <w:bookmarkEnd w:id="1750"/>
    <w:p w14:paraId="38A6CD63">
      <w:pPr>
        <w:keepNext/>
        <w:keepLines/>
        <w:spacing w:line="400" w:lineRule="exact"/>
        <w:outlineLvl w:val="2"/>
        <w:rPr>
          <w:rFonts w:ascii="Times New Roman" w:hAnsi="Times New Roman" w:eastAsia="黑体" w:cs="宋体"/>
          <w:b/>
          <w:color w:val="auto"/>
          <w:sz w:val="24"/>
          <w:szCs w:val="20"/>
          <w:highlight w:val="none"/>
        </w:rPr>
      </w:pPr>
      <w:bookmarkStart w:id="1751" w:name="_Toc28532298"/>
      <w:bookmarkStart w:id="1752" w:name="_Toc15221"/>
      <w:r>
        <w:rPr>
          <w:rFonts w:ascii="Times New Roman" w:hAnsi="Times New Roman" w:eastAsia="黑体" w:cs="宋体"/>
          <w:b/>
          <w:color w:val="auto"/>
          <w:sz w:val="24"/>
          <w:szCs w:val="20"/>
          <w:highlight w:val="none"/>
        </w:rPr>
        <w:t>7</w:t>
      </w:r>
      <w:bookmarkStart w:id="1753" w:name="_Toc300934971"/>
      <w:bookmarkStart w:id="1754" w:name="_Toc297123519"/>
      <w:bookmarkStart w:id="1755" w:name="_Toc312678015"/>
      <w:bookmarkStart w:id="1756" w:name="_Toc304295549"/>
      <w:bookmarkStart w:id="1757" w:name="_Toc303539128"/>
      <w:bookmarkStart w:id="1758" w:name="_Toc297216178"/>
      <w:r>
        <w:rPr>
          <w:rFonts w:ascii="Times New Roman" w:hAnsi="Times New Roman" w:eastAsia="黑体" w:cs="宋体"/>
          <w:b/>
          <w:color w:val="auto"/>
          <w:sz w:val="24"/>
          <w:szCs w:val="20"/>
          <w:highlight w:val="none"/>
        </w:rPr>
        <w:t>.6 不</w:t>
      </w:r>
      <w:bookmarkEnd w:id="1753"/>
      <w:bookmarkEnd w:id="1754"/>
      <w:bookmarkEnd w:id="1755"/>
      <w:bookmarkEnd w:id="1756"/>
      <w:bookmarkEnd w:id="1757"/>
      <w:bookmarkEnd w:id="1758"/>
      <w:r>
        <w:rPr>
          <w:rFonts w:ascii="Times New Roman" w:hAnsi="Times New Roman" w:eastAsia="黑体" w:cs="宋体"/>
          <w:b/>
          <w:color w:val="auto"/>
          <w:sz w:val="24"/>
          <w:szCs w:val="20"/>
          <w:highlight w:val="none"/>
        </w:rPr>
        <w:t>利物质条件</w:t>
      </w:r>
      <w:bookmarkEnd w:id="1751"/>
      <w:bookmarkEnd w:id="1752"/>
    </w:p>
    <w:p w14:paraId="322BB83B">
      <w:pPr>
        <w:spacing w:line="400" w:lineRule="exact"/>
        <w:ind w:firstLine="420" w:firstLineChars="200"/>
        <w:rPr>
          <w:rFonts w:ascii="Times New Roman" w:hAnsi="Times New Roman"/>
          <w:color w:val="auto"/>
          <w:szCs w:val="24"/>
          <w:highlight w:val="none"/>
        </w:rPr>
      </w:pPr>
      <w:bookmarkStart w:id="1759" w:name="_Toc297123520"/>
      <w:bookmarkStart w:id="1760" w:name="_Toc303539129"/>
      <w:bookmarkStart w:id="1761" w:name="_Toc304295550"/>
      <w:bookmarkStart w:id="1762" w:name="_Toc312678016"/>
      <w:bookmarkStart w:id="1763" w:name="_Toc318581172"/>
      <w:bookmarkStart w:id="1764" w:name="_Toc300934972"/>
      <w:bookmarkStart w:id="1765" w:name="_Toc297216179"/>
      <w:r>
        <w:rPr>
          <w:rFonts w:ascii="Times New Roman" w:hAnsi="Times New Roman"/>
          <w:color w:val="auto"/>
          <w:szCs w:val="24"/>
          <w:highlight w:val="none"/>
        </w:rPr>
        <w:t>不利物质条件的其他情形和有关约定：</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bookmarkEnd w:id="1759"/>
    <w:bookmarkEnd w:id="1760"/>
    <w:bookmarkEnd w:id="1761"/>
    <w:bookmarkEnd w:id="1762"/>
    <w:bookmarkEnd w:id="1763"/>
    <w:bookmarkEnd w:id="1764"/>
    <w:bookmarkEnd w:id="1765"/>
    <w:p w14:paraId="3B4A9951">
      <w:pPr>
        <w:keepNext/>
        <w:keepLines/>
        <w:spacing w:line="400" w:lineRule="exact"/>
        <w:outlineLvl w:val="2"/>
        <w:rPr>
          <w:rFonts w:ascii="Times New Roman" w:hAnsi="Times New Roman" w:eastAsia="黑体" w:cs="宋体"/>
          <w:b/>
          <w:color w:val="auto"/>
          <w:sz w:val="24"/>
          <w:szCs w:val="20"/>
          <w:highlight w:val="none"/>
        </w:rPr>
      </w:pPr>
      <w:bookmarkStart w:id="1766" w:name="_Toc28532299"/>
      <w:bookmarkStart w:id="1767" w:name="_Toc6006"/>
      <w:r>
        <w:rPr>
          <w:rFonts w:ascii="Times New Roman" w:hAnsi="Times New Roman" w:eastAsia="黑体" w:cs="宋体"/>
          <w:b/>
          <w:color w:val="auto"/>
          <w:sz w:val="24"/>
          <w:szCs w:val="20"/>
          <w:highlight w:val="none"/>
        </w:rPr>
        <w:t>7</w:t>
      </w:r>
      <w:bookmarkStart w:id="1768" w:name="_Toc312678017"/>
      <w:bookmarkStart w:id="1769" w:name="_Toc304295551"/>
      <w:bookmarkStart w:id="1770" w:name="_Toc297216180"/>
      <w:bookmarkStart w:id="1771" w:name="_Toc303539130"/>
      <w:bookmarkStart w:id="1772" w:name="_Toc297123521"/>
      <w:bookmarkStart w:id="1773" w:name="_Toc300934973"/>
      <w:r>
        <w:rPr>
          <w:rFonts w:ascii="Times New Roman" w:hAnsi="Times New Roman" w:eastAsia="黑体" w:cs="宋体"/>
          <w:b/>
          <w:color w:val="auto"/>
          <w:sz w:val="24"/>
          <w:szCs w:val="20"/>
          <w:highlight w:val="none"/>
        </w:rPr>
        <w:t>.7异常恶劣的气候条件</w:t>
      </w:r>
      <w:bookmarkEnd w:id="1766"/>
      <w:bookmarkEnd w:id="1767"/>
    </w:p>
    <w:bookmarkEnd w:id="1768"/>
    <w:bookmarkEnd w:id="1769"/>
    <w:bookmarkEnd w:id="1770"/>
    <w:bookmarkEnd w:id="1771"/>
    <w:bookmarkEnd w:id="1772"/>
    <w:bookmarkEnd w:id="1773"/>
    <w:p w14:paraId="6FE0BCC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发包人和承包人同意以下情形视为异常恶劣的气候条件：</w:t>
      </w:r>
    </w:p>
    <w:p w14:paraId="57574B0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ABEF81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8F83B6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77FC675">
      <w:pPr>
        <w:keepNext/>
        <w:keepLines/>
        <w:spacing w:line="400" w:lineRule="exact"/>
        <w:outlineLvl w:val="2"/>
        <w:rPr>
          <w:rFonts w:ascii="Times New Roman" w:hAnsi="Times New Roman" w:eastAsia="黑体" w:cs="宋体"/>
          <w:b/>
          <w:color w:val="auto"/>
          <w:sz w:val="24"/>
          <w:szCs w:val="20"/>
          <w:highlight w:val="none"/>
        </w:rPr>
      </w:pPr>
      <w:bookmarkStart w:id="1774" w:name="_Toc28532300"/>
      <w:bookmarkStart w:id="1775" w:name="_Toc23162"/>
      <w:r>
        <w:rPr>
          <w:rFonts w:ascii="Times New Roman" w:hAnsi="Times New Roman" w:eastAsia="黑体" w:cs="宋体"/>
          <w:b/>
          <w:color w:val="auto"/>
          <w:sz w:val="24"/>
          <w:szCs w:val="20"/>
          <w:highlight w:val="none"/>
        </w:rPr>
        <w:t>7.9 提前竣工的奖励</w:t>
      </w:r>
      <w:bookmarkEnd w:id="1774"/>
      <w:bookmarkEnd w:id="1775"/>
    </w:p>
    <w:p w14:paraId="09D59109">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7.9.2提前竣工的奖励：</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无</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FA8EF01">
      <w:pPr>
        <w:keepNext/>
        <w:keepLines/>
        <w:spacing w:before="100" w:line="400" w:lineRule="exact"/>
        <w:outlineLvl w:val="1"/>
        <w:rPr>
          <w:rFonts w:ascii="Times New Roman" w:hAnsi="Times New Roman" w:eastAsia="黑体" w:cs="宋体"/>
          <w:b/>
          <w:color w:val="auto"/>
          <w:sz w:val="28"/>
          <w:szCs w:val="20"/>
          <w:highlight w:val="none"/>
        </w:rPr>
      </w:pPr>
      <w:bookmarkStart w:id="1776" w:name="_Toc351203640"/>
      <w:bookmarkStart w:id="1777" w:name="_Toc28532301"/>
      <w:bookmarkStart w:id="1778" w:name="_Toc14665"/>
      <w:r>
        <w:rPr>
          <w:rFonts w:ascii="Times New Roman" w:hAnsi="Times New Roman" w:eastAsia="黑体" w:cs="宋体"/>
          <w:b/>
          <w:color w:val="auto"/>
          <w:sz w:val="28"/>
          <w:szCs w:val="20"/>
          <w:highlight w:val="none"/>
        </w:rPr>
        <w:t>8. 材料与设备</w:t>
      </w:r>
      <w:bookmarkEnd w:id="1776"/>
      <w:bookmarkEnd w:id="1777"/>
      <w:bookmarkEnd w:id="1778"/>
    </w:p>
    <w:bookmarkEnd w:id="1685"/>
    <w:bookmarkEnd w:id="1686"/>
    <w:bookmarkEnd w:id="1687"/>
    <w:bookmarkEnd w:id="1688"/>
    <w:bookmarkEnd w:id="1689"/>
    <w:bookmarkEnd w:id="1690"/>
    <w:bookmarkEnd w:id="1691"/>
    <w:bookmarkEnd w:id="1692"/>
    <w:bookmarkEnd w:id="1693"/>
    <w:bookmarkEnd w:id="1694"/>
    <w:p w14:paraId="1A15ADA7">
      <w:pPr>
        <w:keepNext/>
        <w:keepLines/>
        <w:spacing w:line="400" w:lineRule="exact"/>
        <w:outlineLvl w:val="2"/>
        <w:rPr>
          <w:rFonts w:ascii="Times New Roman" w:hAnsi="Times New Roman" w:eastAsia="黑体" w:cs="宋体"/>
          <w:b/>
          <w:color w:val="auto"/>
          <w:sz w:val="24"/>
          <w:szCs w:val="20"/>
          <w:highlight w:val="none"/>
        </w:rPr>
      </w:pPr>
      <w:bookmarkStart w:id="1779" w:name="_Toc28532302"/>
      <w:bookmarkStart w:id="1780" w:name="_Toc24181"/>
      <w:r>
        <w:rPr>
          <w:rFonts w:ascii="Times New Roman" w:hAnsi="Times New Roman" w:eastAsia="黑体" w:cs="宋体"/>
          <w:b/>
          <w:color w:val="auto"/>
          <w:sz w:val="24"/>
          <w:szCs w:val="20"/>
          <w:highlight w:val="none"/>
        </w:rPr>
        <w:t>8</w:t>
      </w:r>
      <w:bookmarkStart w:id="1781" w:name="_Toc304295556"/>
      <w:bookmarkStart w:id="1782" w:name="_Toc300934979"/>
      <w:bookmarkStart w:id="1783" w:name="_Toc297048353"/>
      <w:bookmarkStart w:id="1784" w:name="_Toc280868654"/>
      <w:bookmarkStart w:id="1785" w:name="_Toc296890995"/>
      <w:bookmarkStart w:id="1786" w:name="_Toc296944506"/>
      <w:bookmarkStart w:id="1787" w:name="_Toc292559372"/>
      <w:bookmarkStart w:id="1788" w:name="_Toc296347166"/>
      <w:bookmarkStart w:id="1789" w:name="_Toc296891207"/>
      <w:bookmarkStart w:id="1790" w:name="_Toc292559877"/>
      <w:bookmarkStart w:id="1791" w:name="_Toc297123527"/>
      <w:bookmarkStart w:id="1792" w:name="_Toc297216186"/>
      <w:bookmarkStart w:id="1793" w:name="_Toc303539136"/>
      <w:bookmarkStart w:id="1794" w:name="_Toc312677493"/>
      <w:bookmarkStart w:id="1795" w:name="_Toc296346668"/>
      <w:bookmarkStart w:id="1796" w:name="_Toc296503167"/>
      <w:bookmarkStart w:id="1797" w:name="_Toc312678019"/>
      <w:bookmarkStart w:id="1798" w:name="_Toc297120467"/>
      <w:bookmarkStart w:id="1799" w:name="_Toc267251424"/>
      <w:bookmarkStart w:id="1800" w:name="_Toc280868656"/>
      <w:bookmarkStart w:id="1801" w:name="_Toc280868655"/>
      <w:r>
        <w:rPr>
          <w:rFonts w:ascii="Times New Roman" w:hAnsi="Times New Roman" w:eastAsia="黑体" w:cs="宋体"/>
          <w:b/>
          <w:color w:val="auto"/>
          <w:sz w:val="24"/>
          <w:szCs w:val="20"/>
          <w:highlight w:val="none"/>
        </w:rPr>
        <w:t>.4材料与工程设备的保管与使用</w:t>
      </w:r>
      <w:bookmarkEnd w:id="1779"/>
      <w:bookmarkEnd w:id="1780"/>
    </w:p>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p w14:paraId="06FC08D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w:t>
      </w:r>
      <w:bookmarkStart w:id="1802" w:name="_Toc292559878"/>
      <w:bookmarkStart w:id="1803" w:name="_Toc292559373"/>
      <w:bookmarkStart w:id="1804" w:name="_Toc296503168"/>
      <w:bookmarkStart w:id="1805" w:name="_Toc296944507"/>
      <w:bookmarkStart w:id="1806" w:name="_Toc312677494"/>
      <w:bookmarkStart w:id="1807" w:name="_Toc297120468"/>
      <w:bookmarkStart w:id="1808" w:name="_Toc296890996"/>
      <w:bookmarkStart w:id="1809" w:name="_Toc312678020"/>
      <w:bookmarkStart w:id="1810" w:name="_Toc296891208"/>
      <w:bookmarkStart w:id="1811" w:name="_Toc297123528"/>
      <w:bookmarkStart w:id="1812" w:name="_Toc318581173"/>
      <w:bookmarkStart w:id="1813" w:name="_Toc304295557"/>
      <w:bookmarkStart w:id="1814" w:name="_Toc300934980"/>
      <w:bookmarkStart w:id="1815" w:name="_Toc296347167"/>
      <w:bookmarkStart w:id="1816" w:name="_Toc297048354"/>
      <w:bookmarkStart w:id="1817" w:name="_Toc297216187"/>
      <w:bookmarkStart w:id="1818" w:name="_Toc303539137"/>
      <w:bookmarkStart w:id="1819" w:name="_Toc296346669"/>
      <w:r>
        <w:rPr>
          <w:rFonts w:ascii="Times New Roman" w:hAnsi="Times New Roman"/>
          <w:color w:val="auto"/>
          <w:szCs w:val="24"/>
          <w:highlight w:val="none"/>
        </w:rPr>
        <w:t>.4.1发包人供应的材料设备的保管费用的承担：</w:t>
      </w:r>
      <w:bookmarkEnd w:id="1802"/>
      <w:bookmarkEnd w:id="1803"/>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w:t>
      </w:r>
    </w:p>
    <w:p w14:paraId="23A481B5">
      <w:pPr>
        <w:keepNext/>
        <w:keepLines/>
        <w:spacing w:line="400" w:lineRule="exact"/>
        <w:outlineLvl w:val="2"/>
        <w:rPr>
          <w:rFonts w:ascii="Times New Roman" w:hAnsi="Times New Roman" w:eastAsia="黑体" w:cs="宋体"/>
          <w:b/>
          <w:color w:val="auto"/>
          <w:sz w:val="24"/>
          <w:szCs w:val="20"/>
          <w:highlight w:val="none"/>
        </w:rPr>
      </w:pPr>
      <w:bookmarkStart w:id="1820" w:name="_Toc28532303"/>
      <w:bookmarkStart w:id="1821" w:name="_Toc16019"/>
      <w:r>
        <w:rPr>
          <w:rFonts w:ascii="Times New Roman" w:hAnsi="Times New Roman" w:eastAsia="黑体" w:cs="宋体"/>
          <w:b/>
          <w:color w:val="auto"/>
          <w:sz w:val="24"/>
          <w:szCs w:val="20"/>
          <w:highlight w:val="none"/>
        </w:rPr>
        <w:t>8.6 样品</w:t>
      </w:r>
      <w:bookmarkEnd w:id="1820"/>
      <w:bookmarkEnd w:id="1821"/>
    </w:p>
    <w:p w14:paraId="215F694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8.6.1样品的报送</w:t>
      </w:r>
      <w:r>
        <w:rPr>
          <w:rFonts w:hint="eastAsia" w:ascii="Times New Roman" w:hAnsi="Times New Roman"/>
          <w:color w:val="auto"/>
          <w:szCs w:val="24"/>
          <w:highlight w:val="none"/>
        </w:rPr>
        <w:t>与封存</w:t>
      </w:r>
    </w:p>
    <w:p w14:paraId="4CFC3213">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需要承包人报送样品的材料或工程设备，样品的种类、名称、规格、数量要求：</w:t>
      </w:r>
    </w:p>
    <w:p w14:paraId="7550CD1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D909142">
      <w:pPr>
        <w:keepNext/>
        <w:keepLines/>
        <w:spacing w:line="400" w:lineRule="exact"/>
        <w:outlineLvl w:val="2"/>
        <w:rPr>
          <w:rFonts w:ascii="Times New Roman" w:hAnsi="Times New Roman" w:eastAsia="黑体" w:cs="宋体"/>
          <w:color w:val="auto"/>
          <w:sz w:val="24"/>
          <w:szCs w:val="20"/>
          <w:highlight w:val="none"/>
        </w:rPr>
      </w:pPr>
      <w:bookmarkStart w:id="1822" w:name="_Toc12807"/>
      <w:bookmarkStart w:id="1823" w:name="_Toc28532304"/>
      <w:r>
        <w:rPr>
          <w:rFonts w:ascii="Times New Roman" w:hAnsi="Times New Roman" w:eastAsia="黑体" w:cs="宋体"/>
          <w:b/>
          <w:color w:val="auto"/>
          <w:sz w:val="24"/>
          <w:szCs w:val="20"/>
          <w:highlight w:val="none"/>
        </w:rPr>
        <w:t>8.8 施工设备和临时设施</w:t>
      </w:r>
      <w:bookmarkEnd w:id="1822"/>
      <w:bookmarkEnd w:id="1823"/>
    </w:p>
    <w:p w14:paraId="6B13367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8.8.1 承包人提供的施工设备和临时设施</w:t>
      </w:r>
    </w:p>
    <w:p w14:paraId="0C89431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关于修建临时设施费用承担的约定：</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rPr>
        <w:t>承包人自行承担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p w14:paraId="37888170">
      <w:pPr>
        <w:keepNext/>
        <w:keepLines/>
        <w:spacing w:before="100" w:line="400" w:lineRule="exact"/>
        <w:outlineLvl w:val="1"/>
        <w:rPr>
          <w:rFonts w:ascii="Times New Roman" w:hAnsi="Times New Roman" w:eastAsia="黑体" w:cs="宋体"/>
          <w:b/>
          <w:color w:val="auto"/>
          <w:sz w:val="28"/>
          <w:szCs w:val="20"/>
          <w:highlight w:val="none"/>
        </w:rPr>
      </w:pPr>
      <w:bookmarkStart w:id="1824" w:name="_Toc28532305"/>
      <w:bookmarkStart w:id="1825" w:name="_Toc351203641"/>
      <w:bookmarkStart w:id="1826" w:name="_Toc21555"/>
      <w:r>
        <w:rPr>
          <w:rFonts w:ascii="Times New Roman" w:hAnsi="Times New Roman" w:eastAsia="黑体" w:cs="宋体"/>
          <w:b/>
          <w:color w:val="auto"/>
          <w:sz w:val="28"/>
          <w:szCs w:val="20"/>
          <w:highlight w:val="none"/>
        </w:rPr>
        <w:t>9</w:t>
      </w:r>
      <w:bookmarkEnd w:id="1799"/>
      <w:bookmarkEnd w:id="1800"/>
      <w:bookmarkEnd w:id="1801"/>
      <w:bookmarkStart w:id="1827" w:name="_Toc297123533"/>
      <w:bookmarkStart w:id="1828" w:name="_Toc303539139"/>
      <w:bookmarkStart w:id="1829" w:name="_Toc312678021"/>
      <w:bookmarkStart w:id="1830" w:name="_Toc312677495"/>
      <w:bookmarkStart w:id="1831" w:name="_Toc300934982"/>
      <w:bookmarkStart w:id="1832" w:name="_Toc304295559"/>
      <w:bookmarkStart w:id="1833" w:name="_Toc297216192"/>
      <w:bookmarkStart w:id="1834" w:name="_Toc296891001"/>
      <w:bookmarkStart w:id="1835" w:name="_Toc296346674"/>
      <w:bookmarkStart w:id="1836" w:name="_Toc267251428"/>
      <w:bookmarkStart w:id="1837" w:name="_Toc296944512"/>
      <w:bookmarkStart w:id="1838" w:name="_Toc292559883"/>
      <w:bookmarkStart w:id="1839" w:name="_Toc296891213"/>
      <w:bookmarkStart w:id="1840" w:name="_Toc297120473"/>
      <w:bookmarkStart w:id="1841" w:name="_Toc297048359"/>
      <w:bookmarkStart w:id="1842" w:name="_Toc267251427"/>
      <w:bookmarkStart w:id="1843" w:name="_Toc292559378"/>
      <w:bookmarkStart w:id="1844" w:name="_Toc296503173"/>
      <w:bookmarkStart w:id="1845" w:name="_Toc296347172"/>
      <w:r>
        <w:rPr>
          <w:rFonts w:ascii="Times New Roman" w:hAnsi="Times New Roman" w:eastAsia="黑体" w:cs="宋体"/>
          <w:b/>
          <w:color w:val="auto"/>
          <w:sz w:val="28"/>
          <w:szCs w:val="20"/>
          <w:highlight w:val="none"/>
        </w:rPr>
        <w:t>. 试验与检验</w:t>
      </w:r>
      <w:bookmarkEnd w:id="1824"/>
      <w:bookmarkEnd w:id="1825"/>
      <w:bookmarkEnd w:id="1826"/>
    </w:p>
    <w:bookmarkEnd w:id="1827"/>
    <w:bookmarkEnd w:id="1828"/>
    <w:bookmarkEnd w:id="1829"/>
    <w:bookmarkEnd w:id="1830"/>
    <w:bookmarkEnd w:id="1831"/>
    <w:bookmarkEnd w:id="1832"/>
    <w:bookmarkEnd w:id="1833"/>
    <w:p w14:paraId="2A3F5231">
      <w:pPr>
        <w:keepNext/>
        <w:keepLines/>
        <w:spacing w:line="400" w:lineRule="exact"/>
        <w:outlineLvl w:val="2"/>
        <w:rPr>
          <w:rFonts w:ascii="Times New Roman" w:hAnsi="Times New Roman" w:eastAsia="黑体" w:cs="宋体"/>
          <w:b/>
          <w:color w:val="auto"/>
          <w:sz w:val="24"/>
          <w:szCs w:val="20"/>
          <w:highlight w:val="none"/>
        </w:rPr>
      </w:pPr>
      <w:bookmarkStart w:id="1846" w:name="_Toc28532306"/>
      <w:bookmarkStart w:id="1847" w:name="_Toc4166"/>
      <w:r>
        <w:rPr>
          <w:rFonts w:ascii="Times New Roman" w:hAnsi="Times New Roman" w:eastAsia="黑体" w:cs="宋体"/>
          <w:b/>
          <w:color w:val="auto"/>
          <w:sz w:val="24"/>
          <w:szCs w:val="20"/>
          <w:highlight w:val="none"/>
        </w:rPr>
        <w:t>9</w:t>
      </w:r>
      <w:bookmarkStart w:id="1848" w:name="_Toc312678022"/>
      <w:bookmarkStart w:id="1849" w:name="_Toc297123534"/>
      <w:bookmarkStart w:id="1850" w:name="_Toc297216193"/>
      <w:bookmarkStart w:id="1851" w:name="_Toc304295560"/>
      <w:bookmarkStart w:id="1852" w:name="_Toc300934983"/>
      <w:bookmarkStart w:id="1853" w:name="_Toc303539140"/>
      <w:bookmarkStart w:id="1854" w:name="_Toc312677496"/>
      <w:r>
        <w:rPr>
          <w:rFonts w:ascii="Times New Roman" w:hAnsi="Times New Roman" w:eastAsia="黑体" w:cs="宋体"/>
          <w:b/>
          <w:color w:val="auto"/>
          <w:sz w:val="24"/>
          <w:szCs w:val="20"/>
          <w:highlight w:val="none"/>
        </w:rPr>
        <w:t>.1试验设备与试验人员</w:t>
      </w:r>
      <w:bookmarkEnd w:id="1846"/>
      <w:bookmarkEnd w:id="1847"/>
    </w:p>
    <w:bookmarkEnd w:id="1848"/>
    <w:bookmarkEnd w:id="1849"/>
    <w:bookmarkEnd w:id="1850"/>
    <w:bookmarkEnd w:id="1851"/>
    <w:bookmarkEnd w:id="1852"/>
    <w:bookmarkEnd w:id="1853"/>
    <w:bookmarkEnd w:id="1854"/>
    <w:p w14:paraId="38996D7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9</w:t>
      </w:r>
      <w:bookmarkStart w:id="1855" w:name="_Toc304295561"/>
      <w:bookmarkStart w:id="1856" w:name="_Toc312677497"/>
      <w:bookmarkStart w:id="1857" w:name="_Toc297216194"/>
      <w:bookmarkStart w:id="1858" w:name="_Toc297123535"/>
      <w:bookmarkStart w:id="1859" w:name="_Toc312678023"/>
      <w:bookmarkStart w:id="1860" w:name="_Toc300934984"/>
      <w:bookmarkStart w:id="1861" w:name="_Toc303539141"/>
      <w:bookmarkStart w:id="1862" w:name="_Toc318581174"/>
      <w:r>
        <w:rPr>
          <w:rFonts w:ascii="Times New Roman" w:hAnsi="Times New Roman"/>
          <w:color w:val="auto"/>
          <w:szCs w:val="24"/>
          <w:highlight w:val="none"/>
        </w:rPr>
        <w:t>.1.2 试验设备</w:t>
      </w:r>
    </w:p>
    <w:p w14:paraId="467A0DE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施工现场需要配置的试验场所：</w:t>
      </w:r>
      <w:bookmarkEnd w:id="1855"/>
      <w:bookmarkEnd w:id="1856"/>
      <w:bookmarkEnd w:id="1857"/>
      <w:bookmarkEnd w:id="1858"/>
      <w:bookmarkEnd w:id="1859"/>
      <w:bookmarkEnd w:id="1860"/>
      <w:bookmarkEnd w:id="1861"/>
      <w:bookmarkStart w:id="1863" w:name="_Toc312678024"/>
      <w:bookmarkStart w:id="1864" w:name="_Toc304295562"/>
      <w:bookmarkStart w:id="1865" w:name="_Toc312677498"/>
      <w:bookmarkStart w:id="1866" w:name="_Toc297123536"/>
      <w:bookmarkStart w:id="1867" w:name="_Toc300934985"/>
      <w:bookmarkStart w:id="1868" w:name="_Toc297216195"/>
      <w:bookmarkStart w:id="1869" w:name="_Toc303539142"/>
      <w:r>
        <w:rPr>
          <w:rFonts w:ascii="Times New Roman" w:hAnsi="Times New Roman"/>
          <w:color w:val="auto"/>
          <w:szCs w:val="24"/>
          <w:highlight w:val="none"/>
          <w:u w:val="single"/>
        </w:rPr>
        <w:sym w:font="Times New Roman" w:char="E5E5"/>
      </w:r>
      <w:r>
        <w:rPr>
          <w:rFonts w:hint="eastAsia" w:ascii="Times New Roman" w:hAnsi="Times New Roman"/>
          <w:szCs w:val="24"/>
          <w:u w:val="single"/>
        </w:rPr>
        <w:t>根据工程需要确定</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8E6A7B9">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施工现场需要配备的试验设备：</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按工程要求配置</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328DFA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施工现场需要具备的其他试验条件：</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w:t>
      </w:r>
    </w:p>
    <w:p w14:paraId="6AD982C5">
      <w:pPr>
        <w:keepNext/>
        <w:keepLines/>
        <w:spacing w:line="400" w:lineRule="exact"/>
        <w:outlineLvl w:val="2"/>
        <w:rPr>
          <w:rFonts w:ascii="Times New Roman" w:hAnsi="Times New Roman" w:eastAsia="黑体" w:cs="宋体"/>
          <w:b/>
          <w:color w:val="auto"/>
          <w:sz w:val="24"/>
          <w:szCs w:val="20"/>
          <w:highlight w:val="none"/>
        </w:rPr>
      </w:pPr>
      <w:bookmarkStart w:id="1870" w:name="_Toc27576"/>
      <w:bookmarkStart w:id="1871" w:name="_Toc28532307"/>
      <w:r>
        <w:rPr>
          <w:rFonts w:ascii="Times New Roman" w:hAnsi="Times New Roman" w:eastAsia="黑体" w:cs="宋体"/>
          <w:b/>
          <w:color w:val="auto"/>
          <w:sz w:val="24"/>
          <w:szCs w:val="20"/>
          <w:highlight w:val="none"/>
        </w:rPr>
        <w:t>9.4 现场工艺试验</w:t>
      </w:r>
      <w:bookmarkEnd w:id="1870"/>
      <w:bookmarkEnd w:id="1871"/>
      <w:r>
        <w:rPr>
          <w:rFonts w:hint="eastAsia" w:ascii="Times New Roman" w:hAnsi="Times New Roman" w:eastAsia="黑体" w:cs="宋体"/>
          <w:b/>
          <w:color w:val="auto"/>
          <w:sz w:val="24"/>
          <w:szCs w:val="20"/>
          <w:highlight w:val="none"/>
        </w:rPr>
        <w:t xml:space="preserve"> </w:t>
      </w:r>
    </w:p>
    <w:p w14:paraId="39FEDAA0">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现场工艺试验的有关约定：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按国家有关标准进行，费用由承包人承担</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bookmarkEnd w:id="1862"/>
    <w:bookmarkEnd w:id="1863"/>
    <w:bookmarkEnd w:id="1864"/>
    <w:bookmarkEnd w:id="1865"/>
    <w:bookmarkEnd w:id="1866"/>
    <w:bookmarkEnd w:id="1867"/>
    <w:bookmarkEnd w:id="1868"/>
    <w:bookmarkEnd w:id="1869"/>
    <w:p w14:paraId="7C52FF7A">
      <w:pPr>
        <w:keepNext/>
        <w:keepLines/>
        <w:spacing w:before="100" w:line="400" w:lineRule="exact"/>
        <w:outlineLvl w:val="1"/>
        <w:rPr>
          <w:rFonts w:ascii="Times New Roman" w:hAnsi="Times New Roman" w:eastAsia="黑体" w:cs="宋体"/>
          <w:b/>
          <w:color w:val="auto"/>
          <w:sz w:val="28"/>
          <w:szCs w:val="20"/>
          <w:highlight w:val="none"/>
        </w:rPr>
      </w:pPr>
      <w:bookmarkStart w:id="1872" w:name="_Toc351203642"/>
      <w:bookmarkStart w:id="1873" w:name="_Toc28532308"/>
      <w:bookmarkStart w:id="1874" w:name="_Toc1041"/>
      <w:r>
        <w:rPr>
          <w:rFonts w:ascii="Times New Roman" w:hAnsi="Times New Roman" w:eastAsia="黑体" w:cs="宋体"/>
          <w:b/>
          <w:color w:val="auto"/>
          <w:sz w:val="28"/>
          <w:szCs w:val="20"/>
          <w:highlight w:val="none"/>
        </w:rPr>
        <w:t>1</w:t>
      </w:r>
      <w:bookmarkEnd w:id="1834"/>
      <w:bookmarkEnd w:id="1835"/>
      <w:bookmarkEnd w:id="1836"/>
      <w:bookmarkEnd w:id="1837"/>
      <w:bookmarkEnd w:id="1838"/>
      <w:bookmarkEnd w:id="1839"/>
      <w:bookmarkEnd w:id="1840"/>
      <w:bookmarkEnd w:id="1841"/>
      <w:bookmarkEnd w:id="1842"/>
      <w:bookmarkEnd w:id="1843"/>
      <w:bookmarkEnd w:id="1844"/>
      <w:bookmarkEnd w:id="1845"/>
      <w:bookmarkStart w:id="1875" w:name="_Toc296346694"/>
      <w:bookmarkStart w:id="1876" w:name="_Toc292559903"/>
      <w:bookmarkStart w:id="1877" w:name="_Toc296891021"/>
      <w:bookmarkStart w:id="1878" w:name="_Toc296503193"/>
      <w:bookmarkStart w:id="1879" w:name="_Toc297123540"/>
      <w:bookmarkStart w:id="1880" w:name="_Toc297120493"/>
      <w:bookmarkStart w:id="1881" w:name="_Toc300934989"/>
      <w:bookmarkStart w:id="1882" w:name="_Toc303539146"/>
      <w:bookmarkStart w:id="1883" w:name="_Toc297048379"/>
      <w:bookmarkStart w:id="1884" w:name="_Toc296891233"/>
      <w:bookmarkStart w:id="1885" w:name="_Toc304295566"/>
      <w:bookmarkStart w:id="1886" w:name="_Toc292559398"/>
      <w:bookmarkStart w:id="1887" w:name="_Toc297216199"/>
      <w:bookmarkStart w:id="1888" w:name="_Toc296944532"/>
      <w:bookmarkStart w:id="1889" w:name="_Toc296347192"/>
      <w:bookmarkStart w:id="1890" w:name="_Toc312678025"/>
      <w:bookmarkStart w:id="1891" w:name="_Toc312677499"/>
      <w:bookmarkStart w:id="1892" w:name="_Toc267251441"/>
      <w:bookmarkStart w:id="1893" w:name="_Toc267251440"/>
      <w:bookmarkStart w:id="1894" w:name="_Toc267251437"/>
      <w:bookmarkStart w:id="1895" w:name="_Toc267251433"/>
      <w:bookmarkStart w:id="1896" w:name="_Toc267251435"/>
      <w:bookmarkStart w:id="1897" w:name="_Toc267251439"/>
      <w:bookmarkStart w:id="1898" w:name="_Toc267251442"/>
      <w:r>
        <w:rPr>
          <w:rFonts w:ascii="Times New Roman" w:hAnsi="Times New Roman" w:eastAsia="黑体" w:cs="宋体"/>
          <w:b/>
          <w:color w:val="auto"/>
          <w:sz w:val="28"/>
          <w:szCs w:val="20"/>
          <w:highlight w:val="none"/>
        </w:rPr>
        <w:t>0. 变更</w:t>
      </w:r>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p>
    <w:bookmarkEnd w:id="1890"/>
    <w:bookmarkEnd w:id="1891"/>
    <w:p w14:paraId="7E452DC5">
      <w:pPr>
        <w:keepNext/>
        <w:keepLines/>
        <w:spacing w:line="400" w:lineRule="exact"/>
        <w:outlineLvl w:val="2"/>
        <w:rPr>
          <w:rFonts w:ascii="Times New Roman" w:hAnsi="Times New Roman" w:eastAsia="黑体" w:cs="宋体"/>
          <w:b/>
          <w:color w:val="auto"/>
          <w:sz w:val="24"/>
          <w:szCs w:val="20"/>
          <w:highlight w:val="none"/>
        </w:rPr>
      </w:pPr>
      <w:bookmarkStart w:id="1899" w:name="_Toc28532309"/>
      <w:bookmarkStart w:id="1900" w:name="_Toc28136"/>
      <w:r>
        <w:rPr>
          <w:rFonts w:ascii="Times New Roman" w:hAnsi="Times New Roman" w:eastAsia="黑体" w:cs="宋体"/>
          <w:b/>
          <w:color w:val="auto"/>
          <w:sz w:val="24"/>
          <w:szCs w:val="20"/>
          <w:highlight w:val="none"/>
        </w:rPr>
        <w:t>1</w:t>
      </w:r>
      <w:bookmarkStart w:id="1901" w:name="_Toc303539147"/>
      <w:bookmarkStart w:id="1902" w:name="_Toc300934990"/>
      <w:bookmarkStart w:id="1903" w:name="_Toc297216200"/>
      <w:bookmarkStart w:id="1904" w:name="_Toc297120494"/>
      <w:bookmarkStart w:id="1905" w:name="_Toc296347193"/>
      <w:bookmarkStart w:id="1906" w:name="_Toc296891234"/>
      <w:bookmarkStart w:id="1907" w:name="_Toc296503194"/>
      <w:bookmarkStart w:id="1908" w:name="_Toc297123541"/>
      <w:bookmarkStart w:id="1909" w:name="_Toc304295567"/>
      <w:bookmarkStart w:id="1910" w:name="_Toc292559399"/>
      <w:bookmarkStart w:id="1911" w:name="_Toc292559904"/>
      <w:bookmarkStart w:id="1912" w:name="_Toc296891022"/>
      <w:bookmarkStart w:id="1913" w:name="_Toc312677500"/>
      <w:bookmarkStart w:id="1914" w:name="_Toc296346695"/>
      <w:bookmarkStart w:id="1915" w:name="_Toc312678026"/>
      <w:bookmarkStart w:id="1916" w:name="_Toc296944533"/>
      <w:bookmarkStart w:id="1917" w:name="_Toc297048380"/>
      <w:r>
        <w:rPr>
          <w:rFonts w:ascii="Times New Roman" w:hAnsi="Times New Roman" w:eastAsia="黑体" w:cs="宋体"/>
          <w:b/>
          <w:color w:val="auto"/>
          <w:sz w:val="24"/>
          <w:szCs w:val="20"/>
          <w:highlight w:val="none"/>
        </w:rPr>
        <w:t>0.1变更的范围</w:t>
      </w:r>
      <w:bookmarkEnd w:id="1899"/>
      <w:bookmarkEnd w:id="1900"/>
    </w:p>
    <w:p w14:paraId="6C3B907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关于变更的范围的约定：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5173B90">
      <w:pPr>
        <w:keepNext/>
        <w:keepLines/>
        <w:spacing w:line="400" w:lineRule="exact"/>
        <w:outlineLvl w:val="2"/>
        <w:rPr>
          <w:rFonts w:ascii="Times New Roman" w:hAnsi="Times New Roman" w:eastAsia="黑体" w:cs="宋体"/>
          <w:b/>
          <w:color w:val="auto"/>
          <w:sz w:val="24"/>
          <w:szCs w:val="20"/>
          <w:highlight w:val="none"/>
        </w:rPr>
      </w:pPr>
      <w:bookmarkStart w:id="1918" w:name="_Toc16114"/>
      <w:bookmarkStart w:id="1919" w:name="_Toc28532310"/>
      <w:r>
        <w:rPr>
          <w:rFonts w:ascii="Times New Roman" w:hAnsi="Times New Roman" w:eastAsia="黑体" w:cs="宋体"/>
          <w:b/>
          <w:color w:val="auto"/>
          <w:sz w:val="24"/>
          <w:szCs w:val="20"/>
          <w:highlight w:val="none"/>
        </w:rPr>
        <w:t>10.4 变更估价</w:t>
      </w:r>
      <w:bookmarkEnd w:id="1918"/>
      <w:bookmarkEnd w:id="1919"/>
    </w:p>
    <w:p w14:paraId="1F637F6E">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10.4.1 变更估价原则</w:t>
      </w:r>
    </w:p>
    <w:p w14:paraId="1CB1D76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关于变更估价的约定:  </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7B2EDC5">
      <w:pPr>
        <w:keepNext/>
        <w:keepLines/>
        <w:spacing w:line="400" w:lineRule="exact"/>
        <w:outlineLvl w:val="2"/>
        <w:rPr>
          <w:rFonts w:ascii="Times New Roman" w:hAnsi="Times New Roman" w:eastAsia="黑体" w:cs="宋体"/>
          <w:b/>
          <w:color w:val="auto"/>
          <w:sz w:val="24"/>
          <w:szCs w:val="20"/>
          <w:highlight w:val="none"/>
        </w:rPr>
      </w:pPr>
      <w:bookmarkStart w:id="1920" w:name="_Toc27284"/>
      <w:bookmarkStart w:id="1921" w:name="_Toc28532311"/>
      <w:r>
        <w:rPr>
          <w:rFonts w:ascii="Times New Roman" w:hAnsi="Times New Roman" w:eastAsia="黑体" w:cs="宋体"/>
          <w:b/>
          <w:color w:val="auto"/>
          <w:sz w:val="24"/>
          <w:szCs w:val="20"/>
          <w:highlight w:val="none"/>
        </w:rPr>
        <w:t>1</w:t>
      </w:r>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Start w:id="1922" w:name="_Toc292559402"/>
      <w:bookmarkStart w:id="1923" w:name="_Toc297123544"/>
      <w:bookmarkStart w:id="1924" w:name="_Toc303539150"/>
      <w:bookmarkStart w:id="1925" w:name="_Toc297120497"/>
      <w:bookmarkStart w:id="1926" w:name="_Toc297048383"/>
      <w:bookmarkStart w:id="1927" w:name="_Toc296944536"/>
      <w:bookmarkStart w:id="1928" w:name="_Toc296503197"/>
      <w:bookmarkStart w:id="1929" w:name="_Toc300934993"/>
      <w:bookmarkStart w:id="1930" w:name="_Toc296891237"/>
      <w:bookmarkStart w:id="1931" w:name="_Toc297216203"/>
      <w:bookmarkStart w:id="1932" w:name="_Toc296347196"/>
      <w:bookmarkStart w:id="1933" w:name="_Toc296891025"/>
      <w:bookmarkStart w:id="1934" w:name="_Toc292559907"/>
      <w:bookmarkStart w:id="1935" w:name="_Toc296346698"/>
      <w:bookmarkStart w:id="1936" w:name="_Toc312678029"/>
      <w:bookmarkStart w:id="1937" w:name="_Toc304295570"/>
      <w:bookmarkStart w:id="1938" w:name="_Toc312677503"/>
      <w:r>
        <w:rPr>
          <w:rFonts w:ascii="Times New Roman" w:hAnsi="Times New Roman" w:eastAsia="黑体" w:cs="宋体"/>
          <w:b/>
          <w:color w:val="auto"/>
          <w:sz w:val="24"/>
          <w:szCs w:val="20"/>
          <w:highlight w:val="none"/>
        </w:rPr>
        <w:t>0.5承</w:t>
      </w:r>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Start w:id="1939" w:name="_Toc297123545"/>
      <w:bookmarkStart w:id="1940" w:name="_Toc297048389"/>
      <w:bookmarkStart w:id="1941" w:name="_Toc296891031"/>
      <w:bookmarkStart w:id="1942" w:name="_Toc297216204"/>
      <w:bookmarkStart w:id="1943" w:name="_Toc296503203"/>
      <w:bookmarkStart w:id="1944" w:name="_Toc303539151"/>
      <w:bookmarkStart w:id="1945" w:name="_Toc297120503"/>
      <w:bookmarkStart w:id="1946" w:name="_Toc292559913"/>
      <w:bookmarkStart w:id="1947" w:name="_Toc300934994"/>
      <w:bookmarkStart w:id="1948" w:name="_Toc296346704"/>
      <w:bookmarkStart w:id="1949" w:name="_Toc292559408"/>
      <w:bookmarkStart w:id="1950" w:name="_Toc296944542"/>
      <w:bookmarkStart w:id="1951" w:name="_Toc296347202"/>
      <w:bookmarkStart w:id="1952" w:name="_Toc296891243"/>
      <w:r>
        <w:rPr>
          <w:rFonts w:ascii="Times New Roman" w:hAnsi="Times New Roman" w:eastAsia="黑体" w:cs="宋体"/>
          <w:b/>
          <w:color w:val="auto"/>
          <w:sz w:val="24"/>
          <w:szCs w:val="20"/>
          <w:highlight w:val="none"/>
        </w:rPr>
        <w:t>包人的合理化建议</w:t>
      </w:r>
      <w:bookmarkEnd w:id="1920"/>
      <w:bookmarkEnd w:id="1921"/>
    </w:p>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p w14:paraId="4D7C9E1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监理人审查承包人合理化建议的期限：</w:t>
      </w:r>
      <w:r>
        <w:rPr>
          <w:rFonts w:ascii="Times New Roman" w:hAnsi="Times New Roman"/>
          <w:color w:val="auto"/>
          <w:szCs w:val="24"/>
          <w:highlight w:val="none"/>
          <w:u w:val="single"/>
        </w:rPr>
        <w:t xml:space="preserve">  </w:t>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C7A5A7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发包人审批承包人合理化建议的期限：</w:t>
      </w:r>
      <w:r>
        <w:rPr>
          <w:rFonts w:ascii="Times New Roman" w:hAnsi="Times New Roman"/>
          <w:color w:val="auto"/>
          <w:szCs w:val="24"/>
          <w:highlight w:val="none"/>
          <w:u w:val="single"/>
        </w:rPr>
        <w:t xml:space="preserve"> </w:t>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B29E441">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w:t>
      </w:r>
      <w:bookmarkStart w:id="1953" w:name="_Toc296891032"/>
      <w:bookmarkStart w:id="1954" w:name="_Toc296944543"/>
      <w:bookmarkStart w:id="1955" w:name="_Toc296346705"/>
      <w:bookmarkStart w:id="1956" w:name="_Toc296503204"/>
      <w:bookmarkStart w:id="1957" w:name="_Toc297123546"/>
      <w:bookmarkStart w:id="1958" w:name="_Toc292559914"/>
      <w:bookmarkStart w:id="1959" w:name="_Toc304295571"/>
      <w:bookmarkStart w:id="1960" w:name="_Toc297216205"/>
      <w:bookmarkStart w:id="1961" w:name="_Toc300934995"/>
      <w:bookmarkStart w:id="1962" w:name="_Toc297120504"/>
      <w:bookmarkStart w:id="1963" w:name="_Toc312678030"/>
      <w:bookmarkStart w:id="1964" w:name="_Toc296891244"/>
      <w:bookmarkStart w:id="1965" w:name="_Toc297048390"/>
      <w:bookmarkStart w:id="1966" w:name="_Toc296347203"/>
      <w:bookmarkStart w:id="1967" w:name="_Toc312677504"/>
      <w:bookmarkStart w:id="1968" w:name="_Toc318581175"/>
      <w:bookmarkStart w:id="1969" w:name="_Toc292559409"/>
      <w:bookmarkStart w:id="1970" w:name="_Toc303539152"/>
      <w:r>
        <w:rPr>
          <w:rFonts w:ascii="Times New Roman" w:hAnsi="Times New Roman"/>
          <w:color w:val="auto"/>
          <w:szCs w:val="24"/>
          <w:highlight w:val="none"/>
        </w:rPr>
        <w:t>包人提出的合理化建议降低了合同价格或者提高了工程经济效益的奖励的方法和金额为：</w:t>
      </w:r>
    </w:p>
    <w:p w14:paraId="0B822931">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u w:val="single"/>
          <w:lang w:val="en-US" w:eastAsia="zh-CN"/>
        </w:rPr>
        <w:t>无</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p w14:paraId="6257ACDA">
      <w:pPr>
        <w:keepNext/>
        <w:keepLines/>
        <w:spacing w:line="400" w:lineRule="exact"/>
        <w:outlineLvl w:val="2"/>
        <w:rPr>
          <w:rFonts w:ascii="Times New Roman" w:hAnsi="Times New Roman" w:eastAsia="黑体" w:cs="宋体"/>
          <w:b/>
          <w:color w:val="auto"/>
          <w:sz w:val="24"/>
          <w:szCs w:val="20"/>
          <w:highlight w:val="none"/>
        </w:rPr>
      </w:pPr>
      <w:bookmarkStart w:id="1971" w:name="_Toc27676"/>
      <w:bookmarkStart w:id="1972" w:name="_Toc28532312"/>
      <w:r>
        <w:rPr>
          <w:rFonts w:ascii="Times New Roman" w:hAnsi="Times New Roman" w:eastAsia="黑体" w:cs="宋体"/>
          <w:b/>
          <w:color w:val="auto"/>
          <w:sz w:val="24"/>
          <w:szCs w:val="20"/>
          <w:highlight w:val="none"/>
        </w:rPr>
        <w:t>1</w:t>
      </w:r>
      <w:bookmarkStart w:id="1973" w:name="_Toc303539154"/>
      <w:bookmarkStart w:id="1974" w:name="_Toc297123548"/>
      <w:bookmarkStart w:id="1975" w:name="_Toc296347198"/>
      <w:bookmarkStart w:id="1976" w:name="_Toc312678033"/>
      <w:bookmarkStart w:id="1977" w:name="_Toc296503199"/>
      <w:bookmarkStart w:id="1978" w:name="_Toc296944538"/>
      <w:bookmarkStart w:id="1979" w:name="_Toc296891239"/>
      <w:bookmarkStart w:id="1980" w:name="_Toc312677507"/>
      <w:bookmarkStart w:id="1981" w:name="_Toc304295574"/>
      <w:bookmarkStart w:id="1982" w:name="_Toc292559404"/>
      <w:bookmarkStart w:id="1983" w:name="_Toc297216207"/>
      <w:bookmarkStart w:id="1984" w:name="_Toc297048385"/>
      <w:bookmarkStart w:id="1985" w:name="_Toc296346700"/>
      <w:bookmarkStart w:id="1986" w:name="_Toc297120499"/>
      <w:bookmarkStart w:id="1987" w:name="_Toc300934997"/>
      <w:bookmarkStart w:id="1988" w:name="_Toc292559909"/>
      <w:bookmarkStart w:id="1989" w:name="_Toc296891027"/>
      <w:r>
        <w:rPr>
          <w:rFonts w:ascii="Times New Roman" w:hAnsi="Times New Roman" w:eastAsia="黑体" w:cs="宋体"/>
          <w:b/>
          <w:color w:val="auto"/>
          <w:sz w:val="24"/>
          <w:szCs w:val="20"/>
          <w:highlight w:val="none"/>
        </w:rPr>
        <w:t>0.7 暂估价</w:t>
      </w:r>
      <w:bookmarkEnd w:id="1971"/>
      <w:bookmarkEnd w:id="1972"/>
    </w:p>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p w14:paraId="19FEEB8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暂</w:t>
      </w:r>
      <w:bookmarkStart w:id="1990" w:name="_Toc318581176"/>
      <w:bookmarkStart w:id="1991" w:name="_Toc312678034"/>
      <w:bookmarkStart w:id="1992" w:name="_Toc312677508"/>
      <w:r>
        <w:rPr>
          <w:rFonts w:ascii="Times New Roman" w:hAnsi="Times New Roman"/>
          <w:color w:val="auto"/>
          <w:szCs w:val="24"/>
          <w:highlight w:val="none"/>
        </w:rPr>
        <w:t>估价材料和工程设备的明细详见附件</w:t>
      </w:r>
      <w:r>
        <w:rPr>
          <w:rFonts w:hint="eastAsia" w:ascii="Times New Roman" w:hAnsi="Times New Roman"/>
          <w:color w:val="auto"/>
          <w:szCs w:val="24"/>
          <w:highlight w:val="none"/>
        </w:rPr>
        <w:t>11：《</w:t>
      </w:r>
      <w:r>
        <w:rPr>
          <w:rFonts w:ascii="Times New Roman" w:hAnsi="Times New Roman"/>
          <w:color w:val="auto"/>
          <w:szCs w:val="24"/>
          <w:highlight w:val="none"/>
        </w:rPr>
        <w:t>暂估价一览表</w:t>
      </w:r>
      <w:r>
        <w:rPr>
          <w:rFonts w:hint="eastAsia" w:ascii="Times New Roman" w:hAnsi="Times New Roman"/>
          <w:color w:val="auto"/>
          <w:szCs w:val="24"/>
          <w:highlight w:val="none"/>
        </w:rPr>
        <w:t>》。</w:t>
      </w:r>
    </w:p>
    <w:bookmarkEnd w:id="1990"/>
    <w:bookmarkEnd w:id="1991"/>
    <w:bookmarkEnd w:id="1992"/>
    <w:p w14:paraId="13132D0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bookmarkStart w:id="1993" w:name="_Toc318581177"/>
      <w:bookmarkStart w:id="1994" w:name="_Toc312677509"/>
      <w:bookmarkStart w:id="1995" w:name="_Toc312678035"/>
      <w:r>
        <w:rPr>
          <w:rFonts w:ascii="Times New Roman" w:hAnsi="Times New Roman"/>
          <w:color w:val="auto"/>
          <w:szCs w:val="24"/>
          <w:highlight w:val="none"/>
        </w:rPr>
        <w:t>0.7.1 依法必须招标的暂估价项目</w:t>
      </w:r>
    </w:p>
    <w:bookmarkEnd w:id="1993"/>
    <w:bookmarkEnd w:id="1994"/>
    <w:bookmarkEnd w:id="1995"/>
    <w:p w14:paraId="2EFDC20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对于依法必须招标的暂估价项目的确认和批准采取第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1</w:t>
      </w:r>
      <w:r>
        <w:rPr>
          <w:rFonts w:ascii="Times New Roman" w:hAnsi="Times New Roman"/>
          <w:color w:val="auto"/>
          <w:szCs w:val="24"/>
          <w:highlight w:val="none"/>
          <w:u w:val="single"/>
        </w:rPr>
        <w:t xml:space="preserve"> </w:t>
      </w:r>
      <w:r>
        <w:rPr>
          <w:rFonts w:ascii="Times New Roman" w:hAnsi="Times New Roman"/>
          <w:color w:val="auto"/>
          <w:szCs w:val="24"/>
          <w:highlight w:val="none"/>
        </w:rPr>
        <w:t>种方式确定。</w:t>
      </w:r>
    </w:p>
    <w:p w14:paraId="5B319A3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10.7.2 不属于依法必须招标的暂估价项目</w:t>
      </w:r>
    </w:p>
    <w:p w14:paraId="320517D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对于不属于依法必须招标的暂估价项目的确认和批准采取第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1</w:t>
      </w:r>
      <w:r>
        <w:rPr>
          <w:rFonts w:ascii="Times New Roman" w:hAnsi="Times New Roman"/>
          <w:color w:val="auto"/>
          <w:szCs w:val="24"/>
          <w:highlight w:val="none"/>
          <w:u w:val="single"/>
        </w:rPr>
        <w:t xml:space="preserve">  </w:t>
      </w:r>
      <w:r>
        <w:rPr>
          <w:rFonts w:ascii="Times New Roman" w:hAnsi="Times New Roman"/>
          <w:color w:val="auto"/>
          <w:szCs w:val="24"/>
          <w:highlight w:val="none"/>
        </w:rPr>
        <w:t>种方式确定。</w:t>
      </w:r>
    </w:p>
    <w:p w14:paraId="272315E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第3种方式：承包人直接实施的暂估价项目</w:t>
      </w:r>
    </w:p>
    <w:p w14:paraId="190423A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承包人直接实施的暂估价项目的约定：</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7065EBB">
      <w:pPr>
        <w:keepNext/>
        <w:keepLines/>
        <w:spacing w:line="400" w:lineRule="exact"/>
        <w:outlineLvl w:val="2"/>
        <w:rPr>
          <w:rFonts w:ascii="Times New Roman" w:hAnsi="Times New Roman" w:eastAsia="黑体" w:cs="宋体"/>
          <w:b/>
          <w:color w:val="auto"/>
          <w:sz w:val="24"/>
          <w:szCs w:val="20"/>
          <w:highlight w:val="none"/>
        </w:rPr>
      </w:pPr>
      <w:bookmarkStart w:id="1996" w:name="_Toc28532313"/>
      <w:bookmarkStart w:id="1997" w:name="_Toc30761"/>
      <w:r>
        <w:rPr>
          <w:rFonts w:ascii="Times New Roman" w:hAnsi="Times New Roman" w:eastAsia="黑体" w:cs="宋体"/>
          <w:b/>
          <w:color w:val="auto"/>
          <w:sz w:val="24"/>
          <w:szCs w:val="20"/>
          <w:highlight w:val="none"/>
        </w:rPr>
        <w:t>10.8 暂列金额</w:t>
      </w:r>
      <w:bookmarkEnd w:id="1996"/>
      <w:bookmarkEnd w:id="1997"/>
    </w:p>
    <w:p w14:paraId="348A47A9">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合同当事人关于暂列金额使用的约定：</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A99C544">
      <w:pPr>
        <w:keepNext/>
        <w:keepLines/>
        <w:spacing w:before="100" w:line="400" w:lineRule="exact"/>
        <w:outlineLvl w:val="1"/>
        <w:rPr>
          <w:rFonts w:ascii="Times New Roman" w:hAnsi="Times New Roman" w:eastAsia="黑体" w:cs="宋体"/>
          <w:b/>
          <w:color w:val="auto"/>
          <w:sz w:val="28"/>
          <w:szCs w:val="20"/>
          <w:highlight w:val="none"/>
        </w:rPr>
      </w:pPr>
      <w:bookmarkStart w:id="1998" w:name="_Toc2117"/>
      <w:bookmarkStart w:id="1999" w:name="_Toc351203643"/>
      <w:bookmarkStart w:id="2000" w:name="_Toc28532314"/>
      <w:r>
        <w:rPr>
          <w:rFonts w:ascii="Times New Roman" w:hAnsi="Times New Roman" w:eastAsia="黑体" w:cs="宋体"/>
          <w:b/>
          <w:color w:val="auto"/>
          <w:sz w:val="28"/>
          <w:szCs w:val="20"/>
          <w:highlight w:val="none"/>
        </w:rPr>
        <w:t>11. 价格调整</w:t>
      </w:r>
      <w:bookmarkEnd w:id="1998"/>
      <w:bookmarkEnd w:id="1999"/>
      <w:bookmarkEnd w:id="2000"/>
    </w:p>
    <w:p w14:paraId="1EC85A5B">
      <w:pPr>
        <w:keepNext/>
        <w:keepLines/>
        <w:spacing w:line="400" w:lineRule="exact"/>
        <w:outlineLvl w:val="2"/>
        <w:rPr>
          <w:rFonts w:ascii="Times New Roman" w:hAnsi="Times New Roman" w:eastAsia="黑体" w:cs="宋体"/>
          <w:b/>
          <w:color w:val="auto"/>
          <w:sz w:val="24"/>
          <w:szCs w:val="20"/>
          <w:highlight w:val="none"/>
        </w:rPr>
      </w:pPr>
      <w:bookmarkStart w:id="2001" w:name="_Toc28532315"/>
      <w:bookmarkStart w:id="2002" w:name="_Toc18581"/>
      <w:bookmarkStart w:id="2003" w:name="_Toc303539157"/>
      <w:bookmarkStart w:id="2004" w:name="_Toc300935000"/>
      <w:bookmarkStart w:id="2005" w:name="_Toc296347200"/>
      <w:bookmarkStart w:id="2006" w:name="_Toc297120501"/>
      <w:bookmarkStart w:id="2007" w:name="_Toc312678039"/>
      <w:bookmarkStart w:id="2008" w:name="_Toc292559911"/>
      <w:bookmarkStart w:id="2009" w:name="_Toc297123550"/>
      <w:bookmarkStart w:id="2010" w:name="_Toc296503201"/>
      <w:bookmarkStart w:id="2011" w:name="_Toc296891029"/>
      <w:bookmarkStart w:id="2012" w:name="_Toc297048387"/>
      <w:bookmarkStart w:id="2013" w:name="_Toc304295577"/>
      <w:bookmarkStart w:id="2014" w:name="_Toc292559406"/>
      <w:bookmarkStart w:id="2015" w:name="_Toc296944540"/>
      <w:bookmarkStart w:id="2016" w:name="_Toc296891241"/>
      <w:bookmarkStart w:id="2017" w:name="_Toc297216209"/>
      <w:bookmarkStart w:id="2018" w:name="_Toc296346702"/>
      <w:r>
        <w:rPr>
          <w:rFonts w:ascii="Times New Roman" w:hAnsi="Times New Roman" w:eastAsia="黑体" w:cs="宋体"/>
          <w:b/>
          <w:color w:val="auto"/>
          <w:sz w:val="24"/>
          <w:szCs w:val="20"/>
          <w:highlight w:val="none"/>
        </w:rPr>
        <w:t>11.1 市场价格波动引起的调整</w:t>
      </w:r>
      <w:bookmarkEnd w:id="2001"/>
      <w:bookmarkEnd w:id="2002"/>
    </w:p>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p w14:paraId="0047D19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市场价格波动是否调整合同价格的约定：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不予调整</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490D610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因市场价格波动调整合同价格，采用以下第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1</w:t>
      </w:r>
      <w:r>
        <w:rPr>
          <w:rFonts w:ascii="Times New Roman" w:hAnsi="Times New Roman"/>
          <w:color w:val="auto"/>
          <w:szCs w:val="24"/>
          <w:highlight w:val="none"/>
          <w:u w:val="single"/>
        </w:rPr>
        <w:t xml:space="preserve">  </w:t>
      </w:r>
      <w:r>
        <w:rPr>
          <w:rFonts w:ascii="Times New Roman" w:hAnsi="Times New Roman"/>
          <w:color w:val="auto"/>
          <w:szCs w:val="24"/>
          <w:highlight w:val="none"/>
        </w:rPr>
        <w:t>种方式对合同价格进行调整：</w:t>
      </w:r>
    </w:p>
    <w:p w14:paraId="4DF4B97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第1种方式：采用价格指数</w:t>
      </w:r>
      <w:r>
        <w:rPr>
          <w:rFonts w:hint="eastAsia" w:ascii="Times New Roman" w:hAnsi="Times New Roman"/>
          <w:color w:val="auto"/>
          <w:szCs w:val="24"/>
          <w:highlight w:val="none"/>
        </w:rPr>
        <w:t>进行价格</w:t>
      </w:r>
      <w:r>
        <w:rPr>
          <w:rFonts w:ascii="Times New Roman" w:hAnsi="Times New Roman"/>
          <w:color w:val="auto"/>
          <w:szCs w:val="24"/>
          <w:highlight w:val="none"/>
        </w:rPr>
        <w:t>调整。</w:t>
      </w:r>
    </w:p>
    <w:p w14:paraId="263E0B4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关于各可调因子、定值和变值权重，以及基本价格指数及其来源的约定：</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1B403EE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第2种方式：采用造价信息</w:t>
      </w:r>
      <w:r>
        <w:rPr>
          <w:rFonts w:hint="eastAsia" w:ascii="Times New Roman" w:hAnsi="Times New Roman"/>
          <w:color w:val="auto"/>
          <w:szCs w:val="24"/>
          <w:highlight w:val="none"/>
        </w:rPr>
        <w:t>进行价格</w:t>
      </w:r>
      <w:r>
        <w:rPr>
          <w:rFonts w:ascii="Times New Roman" w:hAnsi="Times New Roman"/>
          <w:color w:val="auto"/>
          <w:szCs w:val="24"/>
          <w:highlight w:val="none"/>
        </w:rPr>
        <w:t>调整。</w:t>
      </w:r>
    </w:p>
    <w:p w14:paraId="299017A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（2）关于基准价格的约定：</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39B1BBD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专用合同条款</w:t>
      </w:r>
      <w:r>
        <w:rPr>
          <w:rFonts w:hint="eastAsia" w:ascii="Times New Roman" w:hAnsi="Times New Roman"/>
          <w:color w:val="auto"/>
          <w:szCs w:val="24"/>
          <w:highlight w:val="none"/>
        </w:rPr>
        <w:t>①</w:t>
      </w:r>
      <w:r>
        <w:rPr>
          <w:rFonts w:ascii="Times New Roman" w:hAnsi="Times New Roman"/>
          <w:color w:val="auto"/>
          <w:szCs w:val="24"/>
          <w:highlight w:val="none"/>
        </w:rPr>
        <w:t>承包人在已标价工程量清单或预算书中载明的材料单价低于基准价格的：专用合同条款合同履行期间材料单价涨幅以基准价格为基础超过</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%时，或材料单价跌幅以已标价工程量清单或预算书中载明材料单价为基础超过</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%时，其超过部分据实调整。</w:t>
      </w:r>
    </w:p>
    <w:p w14:paraId="004D0E1E">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②</w:t>
      </w:r>
      <w:r>
        <w:rPr>
          <w:rFonts w:ascii="Times New Roman" w:hAnsi="Times New Roman"/>
          <w:color w:val="auto"/>
          <w:szCs w:val="24"/>
          <w:highlight w:val="none"/>
        </w:rPr>
        <w:t>承包人在已标价工程量清单或预算书中载明的材料单价高于基准价格的：专用合同条款合同履行期间材料单价跌幅以基准价格为基础超过</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%时，材料单价涨幅以已标价工程量清单或预算书中载明材料单价为基础超过</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%时，其超过部分据实调整。</w:t>
      </w:r>
    </w:p>
    <w:p w14:paraId="3FD61D54">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③</w:t>
      </w:r>
      <w:r>
        <w:rPr>
          <w:rFonts w:ascii="Times New Roman" w:hAnsi="Times New Roman"/>
          <w:color w:val="auto"/>
          <w:szCs w:val="24"/>
          <w:highlight w:val="none"/>
        </w:rPr>
        <w:t>承包人在已标价工程量清单或预算书中载明的材料单价等于基准单价的：专用合同条款合同履行期间材料单价涨跌幅以基准单价为基础超过±</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%时，其超过部分据实调整。</w:t>
      </w:r>
    </w:p>
    <w:p w14:paraId="3F3E7D8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第3种方式：其他价格调整方式：</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bookmarkEnd w:id="1892"/>
    <w:bookmarkEnd w:id="1893"/>
    <w:bookmarkEnd w:id="1894"/>
    <w:bookmarkEnd w:id="1895"/>
    <w:bookmarkEnd w:id="1896"/>
    <w:bookmarkEnd w:id="1897"/>
    <w:p w14:paraId="47469A7D">
      <w:pPr>
        <w:keepNext/>
        <w:keepLines/>
        <w:spacing w:before="100" w:line="400" w:lineRule="exact"/>
        <w:outlineLvl w:val="1"/>
        <w:rPr>
          <w:rFonts w:ascii="Times New Roman" w:hAnsi="Times New Roman" w:eastAsia="黑体" w:cs="宋体"/>
          <w:b/>
          <w:color w:val="auto"/>
          <w:sz w:val="28"/>
          <w:szCs w:val="20"/>
          <w:highlight w:val="none"/>
        </w:rPr>
      </w:pPr>
      <w:bookmarkStart w:id="2019" w:name="_Toc296503205"/>
      <w:bookmarkStart w:id="2020" w:name="_Toc297048391"/>
      <w:bookmarkStart w:id="2021" w:name="_Toc292559410"/>
      <w:bookmarkStart w:id="2022" w:name="_Toc296891245"/>
      <w:bookmarkStart w:id="2023" w:name="_Toc296891033"/>
      <w:bookmarkStart w:id="2024" w:name="_Toc296347204"/>
      <w:bookmarkStart w:id="2025" w:name="_Toc296944544"/>
      <w:bookmarkStart w:id="2026" w:name="_Toc296346706"/>
      <w:bookmarkStart w:id="2027" w:name="_Toc292559915"/>
      <w:bookmarkStart w:id="2028" w:name="_Toc297120505"/>
      <w:bookmarkStart w:id="2029" w:name="_Toc19823"/>
      <w:bookmarkStart w:id="2030" w:name="_Toc28532316"/>
      <w:bookmarkStart w:id="2031" w:name="_Toc351203644"/>
      <w:bookmarkStart w:id="2032" w:name="_Toc312678040"/>
      <w:bookmarkStart w:id="2033" w:name="_Toc303539159"/>
      <w:bookmarkStart w:id="2034" w:name="_Toc304295579"/>
      <w:bookmarkStart w:id="2035" w:name="_Toc297123552"/>
      <w:bookmarkStart w:id="2036" w:name="_Toc297216211"/>
      <w:bookmarkStart w:id="2037" w:name="_Toc300935002"/>
      <w:r>
        <w:rPr>
          <w:rFonts w:ascii="Times New Roman" w:hAnsi="Times New Roman" w:eastAsia="黑体" w:cs="宋体"/>
          <w:b/>
          <w:color w:val="auto"/>
          <w:sz w:val="28"/>
          <w:szCs w:val="20"/>
          <w:highlight w:val="none"/>
        </w:rPr>
        <w:t xml:space="preserve">12. </w:t>
      </w:r>
      <w:bookmarkEnd w:id="2019"/>
      <w:bookmarkEnd w:id="2020"/>
      <w:bookmarkEnd w:id="2021"/>
      <w:bookmarkEnd w:id="2022"/>
      <w:bookmarkEnd w:id="2023"/>
      <w:bookmarkEnd w:id="2024"/>
      <w:bookmarkEnd w:id="2025"/>
      <w:bookmarkEnd w:id="2026"/>
      <w:bookmarkEnd w:id="2027"/>
      <w:bookmarkEnd w:id="2028"/>
      <w:r>
        <w:rPr>
          <w:rFonts w:ascii="Times New Roman" w:hAnsi="Times New Roman" w:eastAsia="黑体" w:cs="宋体"/>
          <w:b/>
          <w:color w:val="auto"/>
          <w:sz w:val="28"/>
          <w:szCs w:val="20"/>
          <w:highlight w:val="none"/>
        </w:rPr>
        <w:t>合同价格、计量与支付</w:t>
      </w:r>
      <w:bookmarkEnd w:id="2029"/>
      <w:bookmarkEnd w:id="2030"/>
      <w:bookmarkEnd w:id="2031"/>
    </w:p>
    <w:bookmarkEnd w:id="2032"/>
    <w:bookmarkEnd w:id="2033"/>
    <w:bookmarkEnd w:id="2034"/>
    <w:bookmarkEnd w:id="2035"/>
    <w:bookmarkEnd w:id="2036"/>
    <w:bookmarkEnd w:id="2037"/>
    <w:p w14:paraId="72E3EC0F">
      <w:pPr>
        <w:keepNext/>
        <w:keepLines/>
        <w:spacing w:line="400" w:lineRule="exact"/>
        <w:outlineLvl w:val="2"/>
        <w:rPr>
          <w:rFonts w:ascii="Times New Roman" w:hAnsi="Times New Roman" w:eastAsia="黑体" w:cs="宋体"/>
          <w:b/>
          <w:color w:val="auto"/>
          <w:sz w:val="24"/>
          <w:szCs w:val="20"/>
          <w:highlight w:val="none"/>
        </w:rPr>
      </w:pPr>
      <w:bookmarkStart w:id="2038" w:name="_Toc267251461"/>
      <w:bookmarkStart w:id="2039" w:name="_Toc292559916"/>
      <w:bookmarkStart w:id="2040" w:name="_Toc292559411"/>
      <w:bookmarkStart w:id="2041" w:name="_Toc296891246"/>
      <w:bookmarkStart w:id="2042" w:name="_Toc297048392"/>
      <w:bookmarkStart w:id="2043" w:name="_Toc296503206"/>
      <w:bookmarkStart w:id="2044" w:name="_Toc296891034"/>
      <w:bookmarkStart w:id="2045" w:name="_Toc297120506"/>
      <w:bookmarkStart w:id="2046" w:name="_Toc296347205"/>
      <w:bookmarkStart w:id="2047" w:name="_Toc296944545"/>
      <w:bookmarkStart w:id="2048" w:name="_Toc296346707"/>
      <w:bookmarkStart w:id="2049" w:name="_Toc28532317"/>
      <w:bookmarkStart w:id="2050" w:name="_Toc26226"/>
      <w:bookmarkStart w:id="2051" w:name="_Toc297216212"/>
      <w:bookmarkStart w:id="2052" w:name="_Toc304295580"/>
      <w:bookmarkStart w:id="2053" w:name="_Toc312678041"/>
      <w:bookmarkStart w:id="2054" w:name="_Toc303539160"/>
      <w:bookmarkStart w:id="2055" w:name="_Toc300935003"/>
      <w:bookmarkStart w:id="2056" w:name="_Toc297123553"/>
      <w:r>
        <w:rPr>
          <w:rFonts w:ascii="Times New Roman" w:hAnsi="Times New Roman" w:eastAsia="黑体" w:cs="宋体"/>
          <w:b/>
          <w:color w:val="auto"/>
          <w:sz w:val="24"/>
          <w:szCs w:val="20"/>
          <w:highlight w:val="none"/>
        </w:rPr>
        <w:t>12.1 合</w:t>
      </w:r>
      <w:bookmarkEnd w:id="2038"/>
      <w:bookmarkEnd w:id="2039"/>
      <w:bookmarkEnd w:id="2040"/>
      <w:r>
        <w:rPr>
          <w:rFonts w:ascii="Times New Roman" w:hAnsi="Times New Roman" w:eastAsia="黑体" w:cs="宋体"/>
          <w:b/>
          <w:color w:val="auto"/>
          <w:sz w:val="24"/>
          <w:szCs w:val="20"/>
          <w:highlight w:val="none"/>
        </w:rPr>
        <w:t>同价</w:t>
      </w:r>
      <w:bookmarkEnd w:id="2041"/>
      <w:bookmarkEnd w:id="2042"/>
      <w:bookmarkEnd w:id="2043"/>
      <w:bookmarkEnd w:id="2044"/>
      <w:bookmarkEnd w:id="2045"/>
      <w:bookmarkEnd w:id="2046"/>
      <w:bookmarkEnd w:id="2047"/>
      <w:bookmarkEnd w:id="2048"/>
      <w:r>
        <w:rPr>
          <w:rFonts w:ascii="Times New Roman" w:hAnsi="Times New Roman" w:eastAsia="黑体" w:cs="宋体"/>
          <w:b/>
          <w:color w:val="auto"/>
          <w:sz w:val="24"/>
          <w:szCs w:val="20"/>
          <w:highlight w:val="none"/>
        </w:rPr>
        <w:t>格形式</w:t>
      </w:r>
      <w:bookmarkEnd w:id="2049"/>
      <w:bookmarkEnd w:id="2050"/>
    </w:p>
    <w:bookmarkEnd w:id="2051"/>
    <w:bookmarkEnd w:id="2052"/>
    <w:bookmarkEnd w:id="2053"/>
    <w:bookmarkEnd w:id="2054"/>
    <w:bookmarkEnd w:id="2055"/>
    <w:bookmarkEnd w:id="2056"/>
    <w:p w14:paraId="4F3A30B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1、单价合同。</w:t>
      </w:r>
    </w:p>
    <w:p w14:paraId="638CF83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综合单价包含的风险范围：</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技术风险、管理风险、市场风险、规章和政策变化风险等。（1）技术风险和管理风险由承包人承担；（2）市场风险由承包人承担；（3）由于承包人组织施工的技术方法、管理水平低下造成的管理费用超支或利润减少的风险全部由承包人承担；（4）承包人在投标过程中对图纸及工程量清单的任何错误理解或自身的任何疏忽而造成的错误或失误均由承包人承担；（5）工程变更部分（只适用于重新组价的子目）费用总额按照中标价与拦标价下浮率进行结算</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2C587CB">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风险费用的计算方法：</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0B7CDC0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风险范围以外合同价格的调整方法：</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10923CC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2、总价合同。</w:t>
      </w:r>
    </w:p>
    <w:p w14:paraId="24EF0F2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总价包含的风险范围：</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5BE8135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风险费用的计算方法：</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2D93EBFB">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风险范围以外合同价格的调整方法：</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3FDFADE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3、其他价格方式：</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42AAF233">
      <w:pPr>
        <w:keepNext/>
        <w:keepLines/>
        <w:spacing w:line="400" w:lineRule="exact"/>
        <w:outlineLvl w:val="2"/>
        <w:rPr>
          <w:rFonts w:ascii="Times New Roman" w:hAnsi="Times New Roman" w:eastAsia="黑体" w:cs="宋体"/>
          <w:b/>
          <w:color w:val="auto"/>
          <w:sz w:val="24"/>
          <w:szCs w:val="20"/>
          <w:highlight w:val="none"/>
        </w:rPr>
      </w:pPr>
      <w:bookmarkStart w:id="2057" w:name="_Toc28532318"/>
      <w:bookmarkStart w:id="2058" w:name="_Toc31199"/>
      <w:bookmarkStart w:id="2059" w:name="_Toc297216213"/>
      <w:bookmarkStart w:id="2060" w:name="_Toc304295581"/>
      <w:bookmarkStart w:id="2061" w:name="_Toc312678042"/>
      <w:bookmarkStart w:id="2062" w:name="_Toc303539161"/>
      <w:bookmarkStart w:id="2063" w:name="_Toc300935004"/>
      <w:bookmarkStart w:id="2064" w:name="_Toc297123554"/>
      <w:bookmarkStart w:id="2065" w:name="_Toc296347206"/>
      <w:bookmarkStart w:id="2066" w:name="_Toc296891035"/>
      <w:bookmarkStart w:id="2067" w:name="_Toc292559412"/>
      <w:bookmarkStart w:id="2068" w:name="_Toc296891247"/>
      <w:bookmarkStart w:id="2069" w:name="_Toc296503207"/>
      <w:bookmarkStart w:id="2070" w:name="_Toc292559917"/>
      <w:bookmarkStart w:id="2071" w:name="_Toc297120507"/>
      <w:bookmarkStart w:id="2072" w:name="_Toc297048393"/>
      <w:bookmarkStart w:id="2073" w:name="_Toc296944546"/>
      <w:bookmarkStart w:id="2074" w:name="_Toc296346708"/>
      <w:r>
        <w:rPr>
          <w:rFonts w:ascii="Times New Roman" w:hAnsi="Times New Roman" w:eastAsia="黑体" w:cs="宋体"/>
          <w:b/>
          <w:color w:val="auto"/>
          <w:sz w:val="24"/>
          <w:szCs w:val="20"/>
          <w:highlight w:val="none"/>
        </w:rPr>
        <w:t>12.2 预付款</w:t>
      </w:r>
      <w:bookmarkEnd w:id="2057"/>
      <w:bookmarkEnd w:id="2058"/>
    </w:p>
    <w:bookmarkEnd w:id="2059"/>
    <w:bookmarkEnd w:id="2060"/>
    <w:bookmarkEnd w:id="2061"/>
    <w:bookmarkEnd w:id="2062"/>
    <w:bookmarkEnd w:id="2063"/>
    <w:bookmarkEnd w:id="2064"/>
    <w:p w14:paraId="2990D53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12.2.1 预付款的支付</w:t>
      </w:r>
    </w:p>
    <w:p w14:paraId="44DD5C7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预付款支付比例或金额：</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EFDCCF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预付款支付期限：</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628C7D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预付款扣回的方式：</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18377E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12.2.2 预付款担保</w:t>
      </w:r>
    </w:p>
    <w:p w14:paraId="7D978B0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承包人提交预付款担保的期限：</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7939C9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预付款担保的形式为：</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bookmarkEnd w:id="2065"/>
    <w:bookmarkEnd w:id="2066"/>
    <w:bookmarkEnd w:id="2067"/>
    <w:bookmarkEnd w:id="2068"/>
    <w:bookmarkEnd w:id="2069"/>
    <w:bookmarkEnd w:id="2070"/>
    <w:bookmarkEnd w:id="2071"/>
    <w:bookmarkEnd w:id="2072"/>
    <w:bookmarkEnd w:id="2073"/>
    <w:bookmarkEnd w:id="2074"/>
    <w:p w14:paraId="238140E7">
      <w:pPr>
        <w:keepNext/>
        <w:keepLines/>
        <w:spacing w:line="400" w:lineRule="exact"/>
        <w:outlineLvl w:val="2"/>
        <w:rPr>
          <w:rFonts w:ascii="Times New Roman" w:hAnsi="Times New Roman" w:eastAsia="黑体" w:cs="宋体"/>
          <w:b/>
          <w:color w:val="auto"/>
          <w:sz w:val="24"/>
          <w:szCs w:val="20"/>
          <w:highlight w:val="none"/>
        </w:rPr>
      </w:pPr>
      <w:bookmarkStart w:id="2075" w:name="_Toc25770"/>
      <w:bookmarkStart w:id="2076" w:name="_Toc28532319"/>
      <w:r>
        <w:rPr>
          <w:rFonts w:ascii="Times New Roman" w:hAnsi="Times New Roman" w:eastAsia="黑体" w:cs="宋体"/>
          <w:b/>
          <w:color w:val="auto"/>
          <w:sz w:val="24"/>
          <w:szCs w:val="20"/>
          <w:highlight w:val="none"/>
        </w:rPr>
        <w:t>12.3 计量</w:t>
      </w:r>
      <w:bookmarkEnd w:id="2075"/>
      <w:bookmarkEnd w:id="2076"/>
    </w:p>
    <w:p w14:paraId="146566E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12.3.1 计量原则</w:t>
      </w:r>
    </w:p>
    <w:p w14:paraId="6ABC028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工程量计算规则：</w:t>
      </w:r>
      <w:r>
        <w:rPr>
          <w:rFonts w:ascii="Times New Roman" w:hAnsi="Times New Roman"/>
          <w:color w:val="auto"/>
          <w:szCs w:val="24"/>
          <w:highlight w:val="none"/>
          <w:u w:val="single"/>
        </w:rPr>
        <w:t xml:space="preserve"> </w:t>
      </w:r>
      <w:r>
        <w:rPr>
          <w:rFonts w:hint="eastAsia" w:ascii="Times New Roman" w:hAnsi="Times New Roman"/>
          <w:szCs w:val="24"/>
          <w:u w:val="single"/>
        </w:rPr>
        <w:t>执行国家标准《建设工程工程量清单计价规范》（BG50500-2013）、《湖北省房屋建筑与装饰工程消耗量定额及全费用基价表》（2018）、《湖北省通用安装工程消耗量定额及全费用基价表》（2018）、《湖北省建设工程公共专业消耗量定额及全费用基价表》（2018）、《湖北省建筑工程消耗量定额及全费用基价表》（2018）、《湖北省园林绿化工程消耗量定额及全费用基价表》（2018）、《湖北省装配式建筑工程消耗量定额及全费用基价表》（2018）、《湖北省施工机具使用费定额》（2018）、《湖北省建筑安装工程费用定额》（2018）</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ABECBE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12.3.2 计量周期</w:t>
      </w:r>
    </w:p>
    <w:p w14:paraId="4D283E1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关于计量周期的约定：</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C0F47E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12.3.3 单价合同的计量</w:t>
      </w:r>
    </w:p>
    <w:p w14:paraId="297D4E8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关于单价合同计量的约定：</w:t>
      </w:r>
      <w:r>
        <w:rPr>
          <w:rFonts w:ascii="Times New Roman" w:hAnsi="Times New Roman"/>
          <w:color w:val="auto"/>
          <w:szCs w:val="24"/>
          <w:highlight w:val="none"/>
          <w:u w:val="single"/>
        </w:rPr>
        <w:t xml:space="preserve"> </w:t>
      </w:r>
      <w:r>
        <w:rPr>
          <w:rFonts w:hint="eastAsia" w:ascii="Times New Roman" w:hAnsi="Times New Roman"/>
          <w:szCs w:val="24"/>
          <w:u w:val="single"/>
        </w:rPr>
        <w:t>按通用合同条款执行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23E7E9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12.3.4 总价合同的计量</w:t>
      </w:r>
    </w:p>
    <w:p w14:paraId="62287B1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关于总价合同计量的约定：</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D8A20A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12.3.5总价合同采用支付分解表计量支付的，是否适用第12.3.4 项</w:t>
      </w:r>
      <w:r>
        <w:rPr>
          <w:rFonts w:hint="eastAsia" w:ascii="Times New Roman" w:hAnsi="Times New Roman"/>
          <w:color w:val="auto"/>
          <w:szCs w:val="24"/>
          <w:highlight w:val="none"/>
        </w:rPr>
        <w:t>〔</w:t>
      </w:r>
      <w:r>
        <w:rPr>
          <w:rFonts w:ascii="Times New Roman" w:hAnsi="Times New Roman"/>
          <w:color w:val="auto"/>
          <w:szCs w:val="24"/>
          <w:highlight w:val="none"/>
        </w:rPr>
        <w:t>总价合同的计量</w:t>
      </w:r>
      <w:r>
        <w:rPr>
          <w:rFonts w:hint="eastAsia" w:ascii="Times New Roman" w:hAnsi="Times New Roman"/>
          <w:color w:val="auto"/>
          <w:szCs w:val="24"/>
          <w:highlight w:val="none"/>
        </w:rPr>
        <w:t>〕</w:t>
      </w:r>
      <w:r>
        <w:rPr>
          <w:rFonts w:ascii="Times New Roman" w:hAnsi="Times New Roman"/>
          <w:color w:val="auto"/>
          <w:szCs w:val="24"/>
          <w:highlight w:val="none"/>
        </w:rPr>
        <w:t>约定</w:t>
      </w:r>
      <w:r>
        <w:rPr>
          <w:rFonts w:hint="eastAsia" w:ascii="Times New Roman" w:hAnsi="Times New Roman"/>
          <w:color w:val="auto"/>
          <w:szCs w:val="24"/>
          <w:highlight w:val="none"/>
        </w:rPr>
        <w:t>进行计量：</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rPr>
        <w:t xml:space="preserve"> </w:t>
      </w:r>
      <w:r>
        <w:rPr>
          <w:rFonts w:ascii="Times New Roman" w:hAnsi="Times New Roman"/>
          <w:color w:val="auto"/>
          <w:szCs w:val="24"/>
          <w:highlight w:val="none"/>
        </w:rPr>
        <w:t>。</w:t>
      </w:r>
    </w:p>
    <w:p w14:paraId="259684D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12.3.6 其他价格形式合同的计量</w:t>
      </w:r>
    </w:p>
    <w:p w14:paraId="72040D3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其他价格形式的计量方式和程序：</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97C0C40">
      <w:pPr>
        <w:keepNext/>
        <w:keepLines/>
        <w:spacing w:line="400" w:lineRule="exact"/>
        <w:outlineLvl w:val="2"/>
        <w:rPr>
          <w:rFonts w:ascii="Times New Roman" w:hAnsi="Times New Roman" w:eastAsia="黑体" w:cs="宋体"/>
          <w:b/>
          <w:color w:val="auto"/>
          <w:sz w:val="24"/>
          <w:szCs w:val="20"/>
          <w:highlight w:val="none"/>
        </w:rPr>
      </w:pPr>
      <w:bookmarkStart w:id="2077" w:name="_Toc13257"/>
      <w:bookmarkStart w:id="2078" w:name="_Toc28532320"/>
      <w:r>
        <w:rPr>
          <w:rFonts w:ascii="Times New Roman" w:hAnsi="Times New Roman" w:eastAsia="黑体" w:cs="宋体"/>
          <w:b/>
          <w:color w:val="auto"/>
          <w:sz w:val="24"/>
          <w:szCs w:val="20"/>
          <w:highlight w:val="none"/>
        </w:rPr>
        <w:t>12.4 工程进度款支付</w:t>
      </w:r>
      <w:bookmarkEnd w:id="2077"/>
      <w:bookmarkEnd w:id="2078"/>
    </w:p>
    <w:p w14:paraId="67F6D662">
      <w:pPr>
        <w:spacing w:line="400" w:lineRule="exact"/>
        <w:ind w:firstLine="420" w:firstLineChars="200"/>
        <w:rPr>
          <w:rFonts w:ascii="Times New Roman" w:hAnsi="Times New Roman"/>
          <w:color w:val="auto"/>
          <w:szCs w:val="24"/>
          <w:highlight w:val="none"/>
        </w:rPr>
      </w:pPr>
      <w:bookmarkStart w:id="2079" w:name="_Toc292559416"/>
      <w:bookmarkStart w:id="2080" w:name="_Toc296891251"/>
      <w:bookmarkStart w:id="2081" w:name="_Toc303539163"/>
      <w:bookmarkStart w:id="2082" w:name="_Toc296346712"/>
      <w:bookmarkStart w:id="2083" w:name="_Toc296503211"/>
      <w:bookmarkStart w:id="2084" w:name="_Toc300935006"/>
      <w:bookmarkStart w:id="2085" w:name="_Toc297048397"/>
      <w:bookmarkStart w:id="2086" w:name="_Toc296891039"/>
      <w:bookmarkStart w:id="2087" w:name="_Toc297120511"/>
      <w:bookmarkStart w:id="2088" w:name="_Toc292559921"/>
      <w:bookmarkStart w:id="2089" w:name="_Toc296347210"/>
      <w:bookmarkStart w:id="2090" w:name="_Toc297123556"/>
      <w:bookmarkStart w:id="2091" w:name="_Toc296944550"/>
      <w:bookmarkStart w:id="2092" w:name="_Toc297216215"/>
      <w:r>
        <w:rPr>
          <w:rFonts w:ascii="Times New Roman" w:hAnsi="Times New Roman"/>
          <w:color w:val="auto"/>
          <w:szCs w:val="24"/>
          <w:highlight w:val="none"/>
        </w:rPr>
        <w:t>12.4.1 付款周期</w:t>
      </w:r>
    </w:p>
    <w:p w14:paraId="31B4F3F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关于付款周期的约定：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按进度付款，具体双方签订合同时协商</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932973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12.4.2 进度付款申请单的编制</w:t>
      </w:r>
    </w:p>
    <w:p w14:paraId="0D2E7C3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关于进度付款申请单编制的约定：</w:t>
      </w:r>
      <w:r>
        <w:rPr>
          <w:rFonts w:ascii="Times New Roman" w:hAnsi="Times New Roman"/>
          <w:color w:val="auto"/>
          <w:szCs w:val="24"/>
          <w:highlight w:val="none"/>
          <w:u w:val="single"/>
        </w:rPr>
        <w:sym w:font="Times New Roman" w:char="E5E5"/>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45BA71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w:t>
      </w:r>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r>
        <w:rPr>
          <w:rFonts w:ascii="Times New Roman" w:hAnsi="Times New Roman"/>
          <w:color w:val="auto"/>
          <w:szCs w:val="24"/>
          <w:highlight w:val="none"/>
        </w:rPr>
        <w:t>2.4.3 进度付款申请单的提交</w:t>
      </w:r>
    </w:p>
    <w:p w14:paraId="3EC2800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（1）单价合同进度付款申请单提交的约定</w:t>
      </w:r>
      <w:r>
        <w:rPr>
          <w:rFonts w:hint="eastAsia" w:ascii="Times New Roman" w:hAnsi="Times New Roman"/>
          <w:color w:val="auto"/>
          <w:szCs w:val="24"/>
          <w:highlight w:val="none"/>
        </w:rPr>
        <w:t>：</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3B2E700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（2）总价合同进度付款申请单提交的约定</w:t>
      </w:r>
      <w:r>
        <w:rPr>
          <w:rFonts w:hint="eastAsia" w:ascii="Times New Roman" w:hAnsi="Times New Roman"/>
          <w:color w:val="auto"/>
          <w:szCs w:val="24"/>
          <w:highlight w:val="none"/>
        </w:rPr>
        <w:t>：</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38FE42E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（3）其他价格形式合同进度付款申请单提交的约定：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1235CE8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12.4.4 进度款审核和支付</w:t>
      </w:r>
    </w:p>
    <w:p w14:paraId="7183D1C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（1）监理人审查并报送发包人的期限：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rPr>
        <w:t>。</w:t>
      </w:r>
    </w:p>
    <w:p w14:paraId="2E47A099">
      <w:pPr>
        <w:spacing w:line="400" w:lineRule="exact"/>
        <w:ind w:firstLine="420" w:firstLineChars="200"/>
        <w:rPr>
          <w:rFonts w:ascii="Times New Roman" w:hAnsi="Times New Roman"/>
          <w:color w:val="auto"/>
          <w:szCs w:val="24"/>
          <w:highlight w:val="none"/>
          <w:u w:val="single"/>
        </w:rPr>
      </w:pPr>
      <w:r>
        <w:rPr>
          <w:rFonts w:ascii="Times New Roman" w:hAnsi="Times New Roman"/>
          <w:color w:val="auto"/>
          <w:szCs w:val="24"/>
          <w:highlight w:val="none"/>
        </w:rPr>
        <w:t>发包人完成审批并签发进度款支付证书的期限：</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EF8C95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（2）发包人支付进度款的期限：</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A5BF0A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发包人逾期支付进度款的违约金的计算方式：</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55928B1F">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12.4.6 支付分解表的编制</w:t>
      </w:r>
    </w:p>
    <w:p w14:paraId="722CDE7E">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2、总价合同支付分解表的编制与审批：</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1FB5DE9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3、单价合同的总价项目支付分解表的编制与审批：</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bookmarkEnd w:id="1898"/>
    <w:p w14:paraId="46886E12">
      <w:pPr>
        <w:keepNext/>
        <w:keepLines/>
        <w:spacing w:before="100" w:line="400" w:lineRule="exact"/>
        <w:outlineLvl w:val="1"/>
        <w:rPr>
          <w:rFonts w:ascii="Times New Roman" w:hAnsi="Times New Roman" w:eastAsia="黑体" w:cs="宋体"/>
          <w:b/>
          <w:color w:val="auto"/>
          <w:sz w:val="28"/>
          <w:szCs w:val="20"/>
          <w:highlight w:val="none"/>
        </w:rPr>
      </w:pPr>
      <w:bookmarkStart w:id="2093" w:name="_Toc28532321"/>
      <w:bookmarkStart w:id="2094" w:name="_Toc351203645"/>
      <w:bookmarkStart w:id="2095" w:name="_Toc23515"/>
      <w:bookmarkStart w:id="2096" w:name="_Toc296944558"/>
      <w:bookmarkStart w:id="2097" w:name="_Toc296891047"/>
      <w:bookmarkStart w:id="2098" w:name="_Toc300935015"/>
      <w:bookmarkStart w:id="2099" w:name="_Toc304295593"/>
      <w:bookmarkStart w:id="2100" w:name="_Toc297123564"/>
      <w:bookmarkStart w:id="2101" w:name="_Toc297048405"/>
      <w:bookmarkStart w:id="2102" w:name="_Toc296503219"/>
      <w:bookmarkStart w:id="2103" w:name="_Toc296347218"/>
      <w:bookmarkStart w:id="2104" w:name="_Toc297216223"/>
      <w:bookmarkStart w:id="2105" w:name="_Toc297120519"/>
      <w:bookmarkStart w:id="2106" w:name="_Toc292559424"/>
      <w:bookmarkStart w:id="2107" w:name="_Toc296346720"/>
      <w:bookmarkStart w:id="2108" w:name="_Toc296891259"/>
      <w:bookmarkStart w:id="2109" w:name="_Toc312678053"/>
      <w:bookmarkStart w:id="2110" w:name="_Toc303539172"/>
      <w:bookmarkStart w:id="2111" w:name="_Toc292559929"/>
      <w:r>
        <w:rPr>
          <w:rFonts w:ascii="Times New Roman" w:hAnsi="Times New Roman" w:eastAsia="黑体" w:cs="宋体"/>
          <w:b/>
          <w:color w:val="auto"/>
          <w:sz w:val="28"/>
          <w:szCs w:val="20"/>
          <w:highlight w:val="none"/>
        </w:rPr>
        <w:t>13.</w:t>
      </w:r>
      <w:r>
        <w:rPr>
          <w:rFonts w:hint="eastAsia" w:ascii="Times New Roman" w:hAnsi="Times New Roman" w:eastAsia="黑体" w:cs="宋体"/>
          <w:b/>
          <w:color w:val="auto"/>
          <w:sz w:val="28"/>
          <w:szCs w:val="20"/>
          <w:highlight w:val="none"/>
        </w:rPr>
        <w:t xml:space="preserve"> </w:t>
      </w:r>
      <w:r>
        <w:rPr>
          <w:rFonts w:ascii="Times New Roman" w:hAnsi="Times New Roman" w:eastAsia="黑体" w:cs="宋体"/>
          <w:b/>
          <w:color w:val="auto"/>
          <w:sz w:val="28"/>
          <w:szCs w:val="20"/>
          <w:highlight w:val="none"/>
        </w:rPr>
        <w:t>验收和工程试车</w:t>
      </w:r>
      <w:bookmarkEnd w:id="2093"/>
      <w:bookmarkEnd w:id="2094"/>
      <w:bookmarkEnd w:id="2095"/>
    </w:p>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p w14:paraId="460E564F">
      <w:pPr>
        <w:keepNext/>
        <w:keepLines/>
        <w:spacing w:line="400" w:lineRule="exact"/>
        <w:outlineLvl w:val="2"/>
        <w:rPr>
          <w:rFonts w:ascii="Times New Roman" w:hAnsi="Times New Roman" w:eastAsia="黑体" w:cs="宋体"/>
          <w:b/>
          <w:color w:val="auto"/>
          <w:sz w:val="24"/>
          <w:szCs w:val="20"/>
          <w:highlight w:val="none"/>
        </w:rPr>
      </w:pPr>
      <w:bookmarkStart w:id="2112" w:name="_Toc6023"/>
      <w:bookmarkStart w:id="2113" w:name="_Toc28532322"/>
      <w:r>
        <w:rPr>
          <w:rFonts w:ascii="Times New Roman" w:hAnsi="Times New Roman" w:eastAsia="黑体" w:cs="宋体"/>
          <w:b/>
          <w:color w:val="auto"/>
          <w:sz w:val="24"/>
          <w:szCs w:val="20"/>
          <w:highlight w:val="none"/>
        </w:rPr>
        <w:t>13.1 分部分项工程验收</w:t>
      </w:r>
      <w:bookmarkEnd w:id="2112"/>
      <w:bookmarkEnd w:id="2113"/>
    </w:p>
    <w:p w14:paraId="7D9BCDC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13.1.2监理人不能按时进行验收时，应提前</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24</w:t>
      </w:r>
      <w:r>
        <w:rPr>
          <w:rFonts w:ascii="Times New Roman" w:hAnsi="Times New Roman"/>
          <w:color w:val="auto"/>
          <w:szCs w:val="24"/>
          <w:highlight w:val="none"/>
          <w:u w:val="single"/>
        </w:rPr>
        <w:t xml:space="preserve">  </w:t>
      </w:r>
      <w:r>
        <w:rPr>
          <w:rFonts w:ascii="Times New Roman" w:hAnsi="Times New Roman"/>
          <w:color w:val="auto"/>
          <w:szCs w:val="24"/>
          <w:highlight w:val="none"/>
        </w:rPr>
        <w:t>小时提交书面延期要求。</w:t>
      </w:r>
    </w:p>
    <w:p w14:paraId="6E0D5A0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关于延期最长不得超过：</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48</w:t>
      </w:r>
      <w:r>
        <w:rPr>
          <w:rFonts w:ascii="Times New Roman" w:hAnsi="Times New Roman"/>
          <w:color w:val="auto"/>
          <w:szCs w:val="24"/>
          <w:highlight w:val="none"/>
          <w:u w:val="single"/>
        </w:rPr>
        <w:t xml:space="preserve">  </w:t>
      </w:r>
      <w:r>
        <w:rPr>
          <w:rFonts w:ascii="Times New Roman" w:hAnsi="Times New Roman"/>
          <w:color w:val="auto"/>
          <w:szCs w:val="24"/>
          <w:highlight w:val="none"/>
        </w:rPr>
        <w:t>小时。</w:t>
      </w:r>
    </w:p>
    <w:p w14:paraId="4613CCF0">
      <w:pPr>
        <w:keepNext/>
        <w:keepLines/>
        <w:spacing w:line="400" w:lineRule="exact"/>
        <w:outlineLvl w:val="2"/>
        <w:rPr>
          <w:rFonts w:ascii="Times New Roman" w:hAnsi="Times New Roman" w:eastAsia="黑体" w:cs="宋体"/>
          <w:b/>
          <w:color w:val="auto"/>
          <w:sz w:val="24"/>
          <w:szCs w:val="20"/>
          <w:highlight w:val="none"/>
        </w:rPr>
      </w:pPr>
      <w:bookmarkStart w:id="2114" w:name="_Toc11340"/>
      <w:bookmarkStart w:id="2115" w:name="_Toc28532323"/>
      <w:bookmarkStart w:id="2116" w:name="_Toc297123565"/>
      <w:bookmarkStart w:id="2117" w:name="_Toc312678056"/>
      <w:bookmarkStart w:id="2118" w:name="_Toc292559428"/>
      <w:bookmarkStart w:id="2119" w:name="_Toc296944562"/>
      <w:bookmarkStart w:id="2120" w:name="_Toc297120523"/>
      <w:bookmarkStart w:id="2121" w:name="_Toc296347222"/>
      <w:bookmarkStart w:id="2122" w:name="_Toc296503223"/>
      <w:bookmarkStart w:id="2123" w:name="_Toc297216224"/>
      <w:bookmarkStart w:id="2124" w:name="_Toc300935016"/>
      <w:bookmarkStart w:id="2125" w:name="_Toc292559933"/>
      <w:bookmarkStart w:id="2126" w:name="_Toc296891263"/>
      <w:bookmarkStart w:id="2127" w:name="_Toc296891051"/>
      <w:bookmarkStart w:id="2128" w:name="_Toc303539173"/>
      <w:bookmarkStart w:id="2129" w:name="_Toc304295596"/>
      <w:bookmarkStart w:id="2130" w:name="_Toc297048409"/>
      <w:bookmarkStart w:id="2131" w:name="_Toc296346724"/>
      <w:bookmarkStart w:id="2132" w:name="_Toc267251470"/>
      <w:bookmarkStart w:id="2133" w:name="_Toc267251475"/>
      <w:bookmarkStart w:id="2134" w:name="_Toc267251471"/>
      <w:bookmarkStart w:id="2135" w:name="_Toc267251473"/>
      <w:bookmarkStart w:id="2136" w:name="_Toc267251474"/>
      <w:bookmarkStart w:id="2137" w:name="_Toc267251472"/>
      <w:bookmarkStart w:id="2138" w:name="_Toc267251476"/>
      <w:r>
        <w:rPr>
          <w:rFonts w:ascii="Times New Roman" w:hAnsi="Times New Roman" w:eastAsia="黑体" w:cs="宋体"/>
          <w:b/>
          <w:color w:val="auto"/>
          <w:sz w:val="24"/>
          <w:szCs w:val="20"/>
          <w:highlight w:val="none"/>
        </w:rPr>
        <w:t>13.2 竣工验收</w:t>
      </w:r>
      <w:bookmarkEnd w:id="2114"/>
      <w:bookmarkEnd w:id="2115"/>
    </w:p>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p w14:paraId="19ED1364">
      <w:pPr>
        <w:spacing w:line="400" w:lineRule="exact"/>
        <w:ind w:firstLine="420" w:firstLineChars="200"/>
        <w:rPr>
          <w:rFonts w:ascii="Times New Roman" w:hAnsi="Times New Roman"/>
          <w:color w:val="auto"/>
          <w:szCs w:val="24"/>
          <w:highlight w:val="none"/>
        </w:rPr>
      </w:pPr>
      <w:bookmarkStart w:id="2139" w:name="_Toc280868704"/>
      <w:bookmarkStart w:id="2140" w:name="_Toc280868705"/>
      <w:bookmarkStart w:id="2141" w:name="_Toc280868706"/>
      <w:bookmarkStart w:id="2142" w:name="_Toc280868707"/>
      <w:bookmarkStart w:id="2143" w:name="_Toc280868708"/>
      <w:bookmarkStart w:id="2144" w:name="_Toc280868709"/>
      <w:r>
        <w:rPr>
          <w:rFonts w:ascii="Times New Roman" w:hAnsi="Times New Roman"/>
          <w:color w:val="auto"/>
          <w:szCs w:val="24"/>
          <w:highlight w:val="none"/>
        </w:rPr>
        <w:t>13.2.2竣工验收程序</w:t>
      </w:r>
    </w:p>
    <w:bookmarkEnd w:id="2139"/>
    <w:p w14:paraId="58A9108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关于竣工验收程序的约定：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按合同通用条款执行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B6EC5BA">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发包人不按照本项约定组织竣工验收、颁发工程接收证书的违约金的计算方法：</w:t>
      </w:r>
      <w:bookmarkEnd w:id="2140"/>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5E5AD5C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13.2.5移交、接收全部与部分工程</w:t>
      </w:r>
    </w:p>
    <w:bookmarkEnd w:id="2141"/>
    <w:p w14:paraId="3DBF3BB5">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承包人向发包人移交工程的期限：</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按合同通用条款执行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32BB1E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发包人未按本合同约定接收全部或部分工程的，违约金的计算方法为：</w:t>
      </w:r>
      <w:bookmarkEnd w:id="2142"/>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2B026B7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承包人未按时移交工程的，违约金的计算方法为：</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1AA0DF0B">
      <w:pPr>
        <w:keepNext/>
        <w:keepLines/>
        <w:spacing w:line="400" w:lineRule="exact"/>
        <w:outlineLvl w:val="2"/>
        <w:rPr>
          <w:rFonts w:ascii="Times New Roman" w:hAnsi="Times New Roman" w:eastAsia="黑体" w:cs="宋体"/>
          <w:color w:val="auto"/>
          <w:sz w:val="24"/>
          <w:szCs w:val="20"/>
          <w:highlight w:val="none"/>
        </w:rPr>
      </w:pPr>
      <w:bookmarkStart w:id="2145" w:name="_Toc28532324"/>
      <w:bookmarkStart w:id="2146" w:name="_Toc11344"/>
      <w:r>
        <w:rPr>
          <w:rFonts w:ascii="Times New Roman" w:hAnsi="Times New Roman" w:eastAsia="黑体" w:cs="宋体"/>
          <w:b/>
          <w:color w:val="auto"/>
          <w:sz w:val="24"/>
          <w:szCs w:val="20"/>
          <w:highlight w:val="none"/>
        </w:rPr>
        <w:t>13.3 工程试车</w:t>
      </w:r>
      <w:bookmarkEnd w:id="2145"/>
      <w:bookmarkEnd w:id="2146"/>
    </w:p>
    <w:bookmarkEnd w:id="2143"/>
    <w:p w14:paraId="47B9169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13.3.1 试车程序</w:t>
      </w:r>
    </w:p>
    <w:p w14:paraId="5DCFDAB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 xml:space="preserve">工程试车内容： </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按合同通用条款执行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56FCC2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（1）单机无负荷试车费用由 </w:t>
      </w:r>
      <w:r>
        <w:rPr>
          <w:rFonts w:ascii="Times New Roman" w:hAnsi="Times New Roman"/>
          <w:color w:val="auto"/>
          <w:szCs w:val="24"/>
          <w:highlight w:val="none"/>
          <w:u w:val="single"/>
        </w:rPr>
        <w:t xml:space="preserve">  </w:t>
      </w:r>
      <w:r>
        <w:rPr>
          <w:rFonts w:hint="eastAsia" w:ascii="Times New Roman" w:hAnsi="Times New Roman"/>
          <w:szCs w:val="24"/>
          <w:u w:val="single"/>
        </w:rPr>
        <w:t>承包人</w:t>
      </w:r>
      <w:r>
        <w:rPr>
          <w:rFonts w:ascii="Times New Roman" w:hAnsi="Times New Roman"/>
          <w:color w:val="auto"/>
          <w:szCs w:val="24"/>
          <w:highlight w:val="none"/>
          <w:u w:val="single"/>
        </w:rPr>
        <w:t xml:space="preserve"> </w:t>
      </w:r>
      <w:r>
        <w:rPr>
          <w:rFonts w:ascii="Times New Roman" w:hAnsi="Times New Roman"/>
          <w:color w:val="auto"/>
          <w:szCs w:val="24"/>
          <w:highlight w:val="none"/>
        </w:rPr>
        <w:t>承担；</w:t>
      </w:r>
    </w:p>
    <w:p w14:paraId="7CC30F42">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（2）无负荷联动试车费用由</w:t>
      </w:r>
      <w:r>
        <w:rPr>
          <w:rFonts w:ascii="Times New Roman" w:hAnsi="Times New Roman"/>
          <w:color w:val="auto"/>
          <w:szCs w:val="24"/>
          <w:highlight w:val="none"/>
          <w:u w:val="single"/>
        </w:rPr>
        <w:t xml:space="preserve"> </w:t>
      </w:r>
      <w:r>
        <w:rPr>
          <w:rFonts w:hint="eastAsia" w:ascii="Times New Roman" w:hAnsi="Times New Roman"/>
          <w:szCs w:val="24"/>
          <w:u w:val="single"/>
        </w:rPr>
        <w:t>发包人</w:t>
      </w:r>
      <w:r>
        <w:rPr>
          <w:rFonts w:ascii="Times New Roman" w:hAnsi="Times New Roman"/>
          <w:color w:val="auto"/>
          <w:szCs w:val="24"/>
          <w:highlight w:val="none"/>
          <w:u w:val="single"/>
        </w:rPr>
        <w:t xml:space="preserve"> </w:t>
      </w:r>
      <w:r>
        <w:rPr>
          <w:rFonts w:ascii="Times New Roman" w:hAnsi="Times New Roman"/>
          <w:color w:val="auto"/>
          <w:szCs w:val="24"/>
          <w:highlight w:val="none"/>
        </w:rPr>
        <w:t>承担。</w:t>
      </w:r>
    </w:p>
    <w:p w14:paraId="7CA1F9B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13.3.3 投料试车</w:t>
      </w:r>
    </w:p>
    <w:p w14:paraId="37B4C339">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关于投料试车相关事项的约定：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1C90B1B7">
      <w:pPr>
        <w:keepNext/>
        <w:keepLines/>
        <w:spacing w:line="400" w:lineRule="exact"/>
        <w:outlineLvl w:val="2"/>
        <w:rPr>
          <w:rFonts w:ascii="Times New Roman" w:hAnsi="Times New Roman" w:eastAsia="黑体" w:cs="宋体"/>
          <w:b/>
          <w:color w:val="auto"/>
          <w:sz w:val="24"/>
          <w:szCs w:val="20"/>
          <w:highlight w:val="none"/>
        </w:rPr>
      </w:pPr>
      <w:bookmarkStart w:id="2147" w:name="_Toc28732"/>
      <w:bookmarkStart w:id="2148" w:name="_Toc28532325"/>
      <w:r>
        <w:rPr>
          <w:rFonts w:ascii="Times New Roman" w:hAnsi="Times New Roman" w:eastAsia="黑体" w:cs="宋体"/>
          <w:b/>
          <w:color w:val="auto"/>
          <w:sz w:val="24"/>
          <w:szCs w:val="20"/>
          <w:highlight w:val="none"/>
        </w:rPr>
        <w:t>13.6 竣工退场</w:t>
      </w:r>
      <w:bookmarkEnd w:id="2147"/>
      <w:bookmarkEnd w:id="2148"/>
    </w:p>
    <w:p w14:paraId="1CCADB0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13.6.1 竣工退场</w:t>
      </w:r>
    </w:p>
    <w:p w14:paraId="6C626A8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承包人完成竣工退场的期限：</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F8B584A">
      <w:pPr>
        <w:keepNext/>
        <w:keepLines/>
        <w:spacing w:before="100" w:line="400" w:lineRule="exact"/>
        <w:outlineLvl w:val="1"/>
        <w:rPr>
          <w:rFonts w:ascii="Times New Roman" w:hAnsi="Times New Roman" w:eastAsia="黑体" w:cs="宋体"/>
          <w:b/>
          <w:color w:val="auto"/>
          <w:sz w:val="28"/>
          <w:szCs w:val="20"/>
          <w:highlight w:val="none"/>
        </w:rPr>
      </w:pPr>
      <w:bookmarkStart w:id="2149" w:name="_Toc7106"/>
      <w:bookmarkStart w:id="2150" w:name="_Toc28532326"/>
      <w:bookmarkStart w:id="2151" w:name="_Toc351203646"/>
      <w:r>
        <w:rPr>
          <w:rFonts w:ascii="Times New Roman" w:hAnsi="Times New Roman" w:eastAsia="黑体" w:cs="宋体"/>
          <w:b/>
          <w:color w:val="auto"/>
          <w:sz w:val="28"/>
          <w:szCs w:val="20"/>
          <w:highlight w:val="none"/>
        </w:rPr>
        <w:t>14. 竣工结算</w:t>
      </w:r>
      <w:bookmarkEnd w:id="2149"/>
      <w:bookmarkEnd w:id="2150"/>
      <w:bookmarkEnd w:id="2151"/>
    </w:p>
    <w:p w14:paraId="36F3A209">
      <w:pPr>
        <w:keepNext/>
        <w:keepLines/>
        <w:spacing w:line="400" w:lineRule="exact"/>
        <w:outlineLvl w:val="2"/>
        <w:rPr>
          <w:rFonts w:ascii="Times New Roman" w:hAnsi="Times New Roman" w:eastAsia="黑体" w:cs="宋体"/>
          <w:b/>
          <w:color w:val="auto"/>
          <w:sz w:val="24"/>
          <w:szCs w:val="20"/>
          <w:highlight w:val="none"/>
        </w:rPr>
      </w:pPr>
      <w:bookmarkStart w:id="2152" w:name="_Toc28532327"/>
      <w:bookmarkStart w:id="2153" w:name="_Toc10687"/>
      <w:r>
        <w:rPr>
          <w:rFonts w:ascii="Times New Roman" w:hAnsi="Times New Roman" w:eastAsia="黑体" w:cs="宋体"/>
          <w:b/>
          <w:color w:val="auto"/>
          <w:sz w:val="24"/>
          <w:szCs w:val="20"/>
          <w:highlight w:val="none"/>
        </w:rPr>
        <w:t>14.1 竣工</w:t>
      </w:r>
      <w:r>
        <w:rPr>
          <w:rFonts w:hint="eastAsia" w:ascii="Times New Roman" w:hAnsi="Times New Roman" w:eastAsia="黑体" w:cs="宋体"/>
          <w:b/>
          <w:color w:val="auto"/>
          <w:sz w:val="24"/>
          <w:szCs w:val="20"/>
          <w:highlight w:val="none"/>
        </w:rPr>
        <w:t>结算</w:t>
      </w:r>
      <w:r>
        <w:rPr>
          <w:rFonts w:ascii="Times New Roman" w:hAnsi="Times New Roman" w:eastAsia="黑体" w:cs="宋体"/>
          <w:b/>
          <w:color w:val="auto"/>
          <w:sz w:val="24"/>
          <w:szCs w:val="20"/>
          <w:highlight w:val="none"/>
        </w:rPr>
        <w:t>申请</w:t>
      </w:r>
      <w:bookmarkEnd w:id="2152"/>
      <w:bookmarkEnd w:id="2153"/>
    </w:p>
    <w:p w14:paraId="3EAC21F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承包人提交竣工</w:t>
      </w:r>
      <w:r>
        <w:rPr>
          <w:rFonts w:hint="eastAsia" w:ascii="Times New Roman" w:hAnsi="Times New Roman"/>
          <w:color w:val="auto"/>
          <w:szCs w:val="24"/>
          <w:highlight w:val="none"/>
        </w:rPr>
        <w:t>结算</w:t>
      </w:r>
      <w:r>
        <w:rPr>
          <w:rFonts w:ascii="Times New Roman" w:hAnsi="Times New Roman"/>
          <w:color w:val="auto"/>
          <w:szCs w:val="24"/>
          <w:highlight w:val="none"/>
        </w:rPr>
        <w:t>申请单的期限：</w:t>
      </w:r>
      <w:r>
        <w:rPr>
          <w:rFonts w:ascii="Times New Roman" w:hAnsi="Times New Roman"/>
          <w:color w:val="auto"/>
          <w:szCs w:val="24"/>
          <w:highlight w:val="none"/>
          <w:u w:val="single"/>
        </w:rPr>
        <w:t xml:space="preserve">  </w:t>
      </w:r>
      <w:r>
        <w:rPr>
          <w:rFonts w:hint="eastAsia" w:ascii="Times New Roman" w:hAnsi="Times New Roman"/>
          <w:szCs w:val="24"/>
          <w:u w:val="single"/>
        </w:rPr>
        <w:t>按合同通用条款执行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545853D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竣工</w:t>
      </w:r>
      <w:r>
        <w:rPr>
          <w:rFonts w:hint="eastAsia" w:ascii="Times New Roman" w:hAnsi="Times New Roman"/>
          <w:color w:val="auto"/>
          <w:szCs w:val="24"/>
          <w:highlight w:val="none"/>
        </w:rPr>
        <w:t>结算</w:t>
      </w:r>
      <w:r>
        <w:rPr>
          <w:rFonts w:ascii="Times New Roman" w:hAnsi="Times New Roman"/>
          <w:color w:val="auto"/>
          <w:szCs w:val="24"/>
          <w:highlight w:val="none"/>
        </w:rPr>
        <w:t>申请单应包括的内容：</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按合同通用条款执行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CE4895C">
      <w:pPr>
        <w:keepNext/>
        <w:keepLines/>
        <w:spacing w:line="400" w:lineRule="exact"/>
        <w:outlineLvl w:val="2"/>
        <w:rPr>
          <w:rFonts w:ascii="Times New Roman" w:hAnsi="Times New Roman" w:eastAsia="黑体" w:cs="宋体"/>
          <w:b/>
          <w:color w:val="auto"/>
          <w:sz w:val="24"/>
          <w:szCs w:val="20"/>
          <w:highlight w:val="none"/>
        </w:rPr>
      </w:pPr>
      <w:bookmarkStart w:id="2154" w:name="_Toc28532328"/>
      <w:bookmarkStart w:id="2155" w:name="_Toc10954"/>
      <w:r>
        <w:rPr>
          <w:rFonts w:ascii="Times New Roman" w:hAnsi="Times New Roman" w:eastAsia="黑体" w:cs="宋体"/>
          <w:b/>
          <w:color w:val="auto"/>
          <w:sz w:val="24"/>
          <w:szCs w:val="20"/>
          <w:highlight w:val="none"/>
        </w:rPr>
        <w:t>14.2 竣工结算审核</w:t>
      </w:r>
      <w:bookmarkEnd w:id="2154"/>
      <w:bookmarkEnd w:id="2155"/>
    </w:p>
    <w:p w14:paraId="178D66B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w:t>
      </w:r>
      <w:r>
        <w:rPr>
          <w:rFonts w:hint="eastAsia" w:ascii="Times New Roman" w:hAnsi="Times New Roman"/>
          <w:color w:val="auto"/>
          <w:szCs w:val="24"/>
          <w:highlight w:val="none"/>
        </w:rPr>
        <w:t>审批</w:t>
      </w:r>
      <w:r>
        <w:rPr>
          <w:rFonts w:ascii="Times New Roman" w:hAnsi="Times New Roman"/>
          <w:color w:val="auto"/>
          <w:szCs w:val="24"/>
          <w:highlight w:val="none"/>
        </w:rPr>
        <w:t>竣工付款申请单的期限：</w:t>
      </w:r>
      <w:r>
        <w:rPr>
          <w:rFonts w:ascii="Times New Roman" w:hAnsi="Times New Roman"/>
          <w:color w:val="auto"/>
          <w:szCs w:val="24"/>
          <w:highlight w:val="none"/>
          <w:u w:val="single"/>
        </w:rPr>
        <w:t xml:space="preserve"> </w:t>
      </w:r>
      <w:r>
        <w:rPr>
          <w:rFonts w:hint="eastAsia" w:ascii="Times New Roman" w:hAnsi="Times New Roman"/>
          <w:szCs w:val="24"/>
          <w:u w:val="single"/>
        </w:rPr>
        <w:t>按工程审计程序执行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ADEB4B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发包人完成竣工付款的期限：</w:t>
      </w:r>
      <w:r>
        <w:rPr>
          <w:rFonts w:ascii="Times New Roman" w:hAnsi="Times New Roman"/>
          <w:color w:val="auto"/>
          <w:szCs w:val="24"/>
          <w:highlight w:val="none"/>
          <w:u w:val="single"/>
        </w:rPr>
        <w:t xml:space="preserve"> </w:t>
      </w:r>
      <w:r>
        <w:rPr>
          <w:rFonts w:hint="eastAsia" w:ascii="Times New Roman" w:hAnsi="Times New Roman"/>
          <w:szCs w:val="24"/>
          <w:u w:val="single"/>
        </w:rPr>
        <w:t>按工程审计程序执行</w:t>
      </w:r>
      <w:r>
        <w:rPr>
          <w:rFonts w:ascii="Times New Roman" w:hAnsi="Times New Roman"/>
          <w:color w:val="auto"/>
          <w:szCs w:val="24"/>
          <w:highlight w:val="none"/>
        </w:rPr>
        <w:t>。</w:t>
      </w:r>
    </w:p>
    <w:p w14:paraId="2BB08A00">
      <w:pPr>
        <w:spacing w:line="400" w:lineRule="exact"/>
        <w:ind w:firstLine="420" w:firstLineChars="200"/>
        <w:rPr>
          <w:rFonts w:ascii="Times New Roman" w:hAnsi="Times New Roman"/>
          <w:color w:val="auto"/>
          <w:szCs w:val="24"/>
          <w:highlight w:val="none"/>
        </w:rPr>
      </w:pPr>
      <w:r>
        <w:rPr>
          <w:rFonts w:hint="eastAsia" w:ascii="Times New Roman" w:hAnsi="Times New Roman"/>
          <w:color w:val="auto"/>
          <w:szCs w:val="24"/>
          <w:highlight w:val="none"/>
        </w:rPr>
        <w:t>关于竣工付款证书异议部分复核的方式和程序：</w:t>
      </w:r>
      <w:r>
        <w:rPr>
          <w:rFonts w:hint="eastAsia" w:ascii="Times New Roman" w:hAnsi="Times New Roman"/>
          <w:szCs w:val="24"/>
          <w:u w:val="single"/>
        </w:rPr>
        <w:t>按合同通用条款执行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A5EB137">
      <w:pPr>
        <w:keepNext/>
        <w:keepLines/>
        <w:spacing w:line="400" w:lineRule="exact"/>
        <w:outlineLvl w:val="2"/>
        <w:rPr>
          <w:rFonts w:ascii="Times New Roman" w:hAnsi="Times New Roman" w:eastAsia="黑体" w:cs="宋体"/>
          <w:b/>
          <w:color w:val="auto"/>
          <w:sz w:val="24"/>
          <w:szCs w:val="20"/>
          <w:highlight w:val="none"/>
        </w:rPr>
      </w:pPr>
      <w:bookmarkStart w:id="2156" w:name="_Toc20628"/>
      <w:bookmarkStart w:id="2157" w:name="_Toc28532329"/>
      <w:r>
        <w:rPr>
          <w:rFonts w:ascii="Times New Roman" w:hAnsi="Times New Roman" w:eastAsia="黑体" w:cs="宋体"/>
          <w:b/>
          <w:color w:val="auto"/>
          <w:sz w:val="24"/>
          <w:szCs w:val="20"/>
          <w:highlight w:val="none"/>
        </w:rPr>
        <w:t>14.4 最终结清</w:t>
      </w:r>
      <w:bookmarkEnd w:id="2156"/>
      <w:bookmarkEnd w:id="2157"/>
    </w:p>
    <w:p w14:paraId="3F2241F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14.4.1 最终结清申请单</w:t>
      </w:r>
    </w:p>
    <w:p w14:paraId="5CCAA33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承包人提交最终结清申请单的份数：</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4</w:t>
      </w:r>
      <w:r>
        <w:rPr>
          <w:rFonts w:ascii="Times New Roman" w:hAnsi="Times New Roman"/>
          <w:color w:val="auto"/>
          <w:szCs w:val="24"/>
          <w:highlight w:val="none"/>
        </w:rPr>
        <w:t>。</w:t>
      </w:r>
    </w:p>
    <w:p w14:paraId="2F3D9D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承包人提交最终结算申请单的期限：</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 xml:space="preserve">。 </w:t>
      </w:r>
    </w:p>
    <w:p w14:paraId="695673E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14.4.2 最终结清证书和支付</w:t>
      </w:r>
    </w:p>
    <w:p w14:paraId="70AEBAD0">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（1）发包人完成最终结清申请单的</w:t>
      </w:r>
      <w:r>
        <w:rPr>
          <w:rFonts w:hint="eastAsia" w:ascii="Times New Roman" w:hAnsi="Times New Roman"/>
          <w:color w:val="auto"/>
          <w:szCs w:val="24"/>
          <w:highlight w:val="none"/>
        </w:rPr>
        <w:t>审批</w:t>
      </w:r>
      <w:r>
        <w:rPr>
          <w:rFonts w:ascii="Times New Roman" w:hAnsi="Times New Roman"/>
          <w:color w:val="auto"/>
          <w:szCs w:val="24"/>
          <w:highlight w:val="none"/>
        </w:rPr>
        <w:t>并颁发最终结清证书的期限：</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4E30A12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（2）发包人完成支付的期限：</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bookmarkEnd w:id="2132"/>
    <w:bookmarkEnd w:id="2133"/>
    <w:bookmarkEnd w:id="2134"/>
    <w:bookmarkEnd w:id="2135"/>
    <w:bookmarkEnd w:id="2136"/>
    <w:bookmarkEnd w:id="2137"/>
    <w:bookmarkEnd w:id="2138"/>
    <w:bookmarkEnd w:id="2144"/>
    <w:p w14:paraId="4CC20BE4">
      <w:pPr>
        <w:keepNext/>
        <w:keepLines/>
        <w:spacing w:before="100" w:line="400" w:lineRule="exact"/>
        <w:outlineLvl w:val="1"/>
        <w:rPr>
          <w:rFonts w:ascii="Times New Roman" w:hAnsi="Times New Roman" w:eastAsia="黑体" w:cs="宋体"/>
          <w:b/>
          <w:color w:val="auto"/>
          <w:sz w:val="28"/>
          <w:szCs w:val="20"/>
          <w:highlight w:val="none"/>
        </w:rPr>
      </w:pPr>
      <w:bookmarkStart w:id="2158" w:name="_Toc28532330"/>
      <w:bookmarkStart w:id="2159" w:name="_Toc351203647"/>
      <w:bookmarkStart w:id="2160" w:name="_Toc9892"/>
      <w:bookmarkStart w:id="2161" w:name="_Toc267251483"/>
      <w:bookmarkStart w:id="2162" w:name="_Toc267251482"/>
      <w:bookmarkStart w:id="2163" w:name="_Toc267251484"/>
      <w:bookmarkStart w:id="2164" w:name="_Toc267251485"/>
      <w:bookmarkStart w:id="2165" w:name="_Toc267251490"/>
      <w:bookmarkStart w:id="2166" w:name="_Toc267251486"/>
      <w:bookmarkStart w:id="2167" w:name="_Toc267251488"/>
      <w:bookmarkStart w:id="2168" w:name="_Toc267251489"/>
      <w:bookmarkStart w:id="2169" w:name="_Toc267251503"/>
      <w:bookmarkStart w:id="2170" w:name="_Toc267251498"/>
      <w:bookmarkStart w:id="2171" w:name="_Toc267251495"/>
      <w:bookmarkStart w:id="2172" w:name="_Toc267251499"/>
      <w:bookmarkStart w:id="2173" w:name="_Toc267251496"/>
      <w:bookmarkStart w:id="2174" w:name="_Toc267251492"/>
      <w:bookmarkStart w:id="2175" w:name="_Toc267251497"/>
      <w:bookmarkStart w:id="2176" w:name="_Toc267251501"/>
      <w:bookmarkStart w:id="2177" w:name="_Toc267251502"/>
      <w:bookmarkStart w:id="2178" w:name="_Toc267251494"/>
      <w:bookmarkStart w:id="2179" w:name="_Toc267251491"/>
      <w:bookmarkStart w:id="2180" w:name="_Toc267251493"/>
      <w:bookmarkStart w:id="2181" w:name="_Toc267251504"/>
      <w:bookmarkStart w:id="2182" w:name="_Toc267251506"/>
      <w:bookmarkStart w:id="2183" w:name="_Toc267251507"/>
      <w:bookmarkStart w:id="2184" w:name="_Toc267251508"/>
      <w:bookmarkStart w:id="2185" w:name="_Toc267251513"/>
      <w:bookmarkStart w:id="2186" w:name="_Toc267251509"/>
      <w:bookmarkStart w:id="2187" w:name="_Toc267251511"/>
      <w:bookmarkStart w:id="2188" w:name="_Toc267251515"/>
      <w:bookmarkStart w:id="2189" w:name="_Toc267251510"/>
      <w:bookmarkStart w:id="2190" w:name="_Toc267251514"/>
      <w:r>
        <w:rPr>
          <w:rFonts w:ascii="Times New Roman" w:hAnsi="Times New Roman" w:eastAsia="黑体" w:cs="宋体"/>
          <w:b/>
          <w:color w:val="auto"/>
          <w:sz w:val="28"/>
          <w:szCs w:val="20"/>
          <w:highlight w:val="none"/>
        </w:rPr>
        <w:t>15. 缺陷责任期与保修</w:t>
      </w:r>
      <w:bookmarkEnd w:id="2158"/>
      <w:bookmarkEnd w:id="2159"/>
      <w:bookmarkEnd w:id="2160"/>
    </w:p>
    <w:p w14:paraId="3D997C19">
      <w:pPr>
        <w:keepNext/>
        <w:keepLines/>
        <w:spacing w:line="400" w:lineRule="exact"/>
        <w:outlineLvl w:val="2"/>
        <w:rPr>
          <w:rFonts w:ascii="Times New Roman" w:hAnsi="Times New Roman" w:eastAsia="黑体" w:cs="宋体"/>
          <w:b/>
          <w:color w:val="auto"/>
          <w:sz w:val="24"/>
          <w:szCs w:val="20"/>
          <w:highlight w:val="none"/>
        </w:rPr>
      </w:pPr>
      <w:bookmarkStart w:id="2191" w:name="_Toc18325"/>
      <w:bookmarkStart w:id="2192" w:name="_Toc28532331"/>
      <w:r>
        <w:rPr>
          <w:rFonts w:ascii="Times New Roman" w:hAnsi="Times New Roman" w:eastAsia="黑体" w:cs="宋体"/>
          <w:b/>
          <w:color w:val="auto"/>
          <w:sz w:val="24"/>
          <w:szCs w:val="20"/>
          <w:highlight w:val="none"/>
        </w:rPr>
        <w:t>15.2缺陷责任期</w:t>
      </w:r>
      <w:bookmarkEnd w:id="2161"/>
      <w:bookmarkEnd w:id="2191"/>
      <w:bookmarkEnd w:id="2192"/>
    </w:p>
    <w:p w14:paraId="0171E07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缺陷责任期的具体期限：</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24个月</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4E5A51D7">
      <w:pPr>
        <w:keepNext/>
        <w:keepLines/>
        <w:spacing w:line="400" w:lineRule="exact"/>
        <w:outlineLvl w:val="2"/>
        <w:rPr>
          <w:rFonts w:ascii="Times New Roman" w:hAnsi="Times New Roman" w:eastAsia="黑体" w:cs="宋体"/>
          <w:b/>
          <w:color w:val="auto"/>
          <w:sz w:val="24"/>
          <w:szCs w:val="20"/>
          <w:highlight w:val="none"/>
        </w:rPr>
      </w:pPr>
      <w:bookmarkStart w:id="2193" w:name="_Toc28532332"/>
      <w:bookmarkStart w:id="2194" w:name="_Toc20239"/>
      <w:r>
        <w:rPr>
          <w:rFonts w:ascii="Times New Roman" w:hAnsi="Times New Roman" w:eastAsia="黑体" w:cs="宋体"/>
          <w:b/>
          <w:color w:val="auto"/>
          <w:sz w:val="24"/>
          <w:szCs w:val="20"/>
          <w:highlight w:val="none"/>
        </w:rPr>
        <w:t>15.3 质量保证金</w:t>
      </w:r>
      <w:bookmarkEnd w:id="2193"/>
      <w:bookmarkEnd w:id="2194"/>
    </w:p>
    <w:p w14:paraId="1859E258">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关于是否扣留质量保证金的约定：</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工程竣工验收合格经审计后拨付工程款时留1.5%质保金</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09F4203C">
      <w:pPr>
        <w:spacing w:line="400" w:lineRule="exact"/>
        <w:ind w:firstLine="420" w:firstLineChars="200"/>
        <w:rPr>
          <w:rFonts w:hint="eastAsia" w:ascii="Times New Roman" w:hAnsi="Times New Roman"/>
          <w:color w:val="auto"/>
          <w:szCs w:val="24"/>
          <w:highlight w:val="none"/>
        </w:rPr>
      </w:pPr>
      <w:r>
        <w:rPr>
          <w:rFonts w:hint="eastAsia" w:ascii="Times New Roman" w:hAnsi="Times New Roman"/>
          <w:color w:val="auto"/>
          <w:szCs w:val="24"/>
          <w:highlight w:val="none"/>
        </w:rPr>
        <w:t>在工程项目竣工前，承包人按专用合同条款第3.7条提供履约担保的，发包人不得同时预留工程质量保证金。</w:t>
      </w:r>
    </w:p>
    <w:p w14:paraId="3597B16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15.3.1 </w:t>
      </w:r>
      <w:r>
        <w:rPr>
          <w:rFonts w:hint="eastAsia" w:ascii="Times New Roman" w:hAnsi="Times New Roman"/>
          <w:color w:val="auto"/>
          <w:szCs w:val="24"/>
          <w:highlight w:val="none"/>
        </w:rPr>
        <w:t>承包人提供</w:t>
      </w:r>
      <w:r>
        <w:rPr>
          <w:rFonts w:ascii="Times New Roman" w:hAnsi="Times New Roman"/>
          <w:color w:val="auto"/>
          <w:szCs w:val="24"/>
          <w:highlight w:val="none"/>
        </w:rPr>
        <w:t>质量保证金的</w:t>
      </w:r>
      <w:r>
        <w:rPr>
          <w:rFonts w:hint="eastAsia" w:ascii="Times New Roman" w:hAnsi="Times New Roman"/>
          <w:color w:val="auto"/>
          <w:szCs w:val="24"/>
          <w:highlight w:val="none"/>
        </w:rPr>
        <w:t>方</w:t>
      </w:r>
      <w:r>
        <w:rPr>
          <w:rFonts w:ascii="Times New Roman" w:hAnsi="Times New Roman"/>
          <w:color w:val="auto"/>
          <w:szCs w:val="24"/>
          <w:highlight w:val="none"/>
        </w:rPr>
        <w:t>式</w:t>
      </w:r>
    </w:p>
    <w:p w14:paraId="64E84D2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质量保证金采用以下第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eastAsia="zh-CN"/>
        </w:rPr>
        <w:t>（</w:t>
      </w:r>
      <w:r>
        <w:rPr>
          <w:rFonts w:hint="eastAsia" w:ascii="Times New Roman" w:hAnsi="Times New Roman"/>
          <w:color w:val="auto"/>
          <w:szCs w:val="24"/>
          <w:highlight w:val="none"/>
          <w:u w:val="single"/>
          <w:lang w:val="en-US" w:eastAsia="zh-CN"/>
        </w:rPr>
        <w:t>2</w:t>
      </w:r>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eastAsia="zh-CN"/>
        </w:rPr>
        <w:t>）</w:t>
      </w:r>
      <w:r>
        <w:rPr>
          <w:rFonts w:ascii="Times New Roman" w:hAnsi="Times New Roman"/>
          <w:color w:val="auto"/>
          <w:szCs w:val="24"/>
          <w:highlight w:val="none"/>
        </w:rPr>
        <w:t>种方式：</w:t>
      </w:r>
    </w:p>
    <w:p w14:paraId="7A59086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（1）质量保证金保函，保证金额为：</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 xml:space="preserve">； </w:t>
      </w:r>
    </w:p>
    <w:p w14:paraId="3E29454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w:t>
      </w:r>
      <w:r>
        <w:rPr>
          <w:rFonts w:hint="eastAsia" w:ascii="Times New Roman" w:hAnsi="Times New Roman"/>
          <w:color w:val="auto"/>
          <w:szCs w:val="24"/>
          <w:highlight w:val="none"/>
          <w:u w:val="single"/>
        </w:rPr>
        <w:t>1.5</w:t>
      </w:r>
      <w:r>
        <w:rPr>
          <w:rFonts w:ascii="Times New Roman" w:hAnsi="Times New Roman"/>
          <w:color w:val="auto"/>
          <w:szCs w:val="24"/>
          <w:highlight w:val="none"/>
          <w:u w:val="single"/>
        </w:rPr>
        <w:t xml:space="preserve"> </w:t>
      </w:r>
      <w:r>
        <w:rPr>
          <w:rFonts w:ascii="Times New Roman" w:hAnsi="Times New Roman"/>
          <w:color w:val="auto"/>
          <w:szCs w:val="24"/>
          <w:highlight w:val="none"/>
        </w:rPr>
        <w:t>%的工程款；</w:t>
      </w:r>
    </w:p>
    <w:p w14:paraId="54B61439">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（3）其他</w:t>
      </w:r>
      <w:r>
        <w:rPr>
          <w:rFonts w:hint="eastAsia" w:ascii="Times New Roman" w:hAnsi="Times New Roman"/>
          <w:color w:val="auto"/>
          <w:szCs w:val="24"/>
          <w:highlight w:val="none"/>
        </w:rPr>
        <w:t>方</w:t>
      </w:r>
      <w:r>
        <w:rPr>
          <w:rFonts w:ascii="Times New Roman" w:hAnsi="Times New Roman"/>
          <w:color w:val="auto"/>
          <w:szCs w:val="24"/>
          <w:highlight w:val="none"/>
        </w:rPr>
        <w:t xml:space="preserve">式: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22C619A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15.3.2 质量保证金的扣留 </w:t>
      </w:r>
    </w:p>
    <w:p w14:paraId="60A0009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质量保证金的扣留采取以下第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eastAsia="zh-CN"/>
        </w:rPr>
        <w:t>（</w:t>
      </w:r>
      <w:r>
        <w:rPr>
          <w:rFonts w:hint="eastAsia" w:ascii="Times New Roman" w:hAnsi="Times New Roman"/>
          <w:color w:val="auto"/>
          <w:szCs w:val="24"/>
          <w:highlight w:val="none"/>
          <w:u w:val="single"/>
          <w:lang w:val="en-US" w:eastAsia="zh-CN"/>
        </w:rPr>
        <w:t>3）</w:t>
      </w:r>
      <w:r>
        <w:rPr>
          <w:rFonts w:ascii="Times New Roman" w:hAnsi="Times New Roman"/>
          <w:color w:val="auto"/>
          <w:szCs w:val="24"/>
          <w:highlight w:val="none"/>
          <w:u w:val="single"/>
        </w:rPr>
        <w:t xml:space="preserve"> </w:t>
      </w:r>
      <w:r>
        <w:rPr>
          <w:rFonts w:ascii="Times New Roman" w:hAnsi="Times New Roman"/>
          <w:color w:val="auto"/>
          <w:szCs w:val="24"/>
          <w:highlight w:val="none"/>
        </w:rPr>
        <w:t>种方式：</w:t>
      </w:r>
    </w:p>
    <w:p w14:paraId="7BE7160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（1）在支付工程进度款时逐次扣留，在此情形下，质量保证金的计算基数不包括预付款的支付、扣回以及价格调整的金额；</w:t>
      </w:r>
    </w:p>
    <w:p w14:paraId="14F328D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（2）工程竣工结算时一次性扣留质量保证金；</w:t>
      </w:r>
    </w:p>
    <w:p w14:paraId="70F3DB7E">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（3）其他扣留方式: </w:t>
      </w:r>
      <w:r>
        <w:rPr>
          <w:rFonts w:ascii="Times New Roman" w:hAnsi="Times New Roman"/>
          <w:color w:val="auto"/>
          <w:szCs w:val="24"/>
          <w:highlight w:val="none"/>
          <w:u w:val="single"/>
        </w:rPr>
        <w:t xml:space="preserve">  </w:t>
      </w:r>
      <w:r>
        <w:rPr>
          <w:rFonts w:hint="eastAsia" w:ascii="Times New Roman" w:hAnsi="Times New Roman"/>
          <w:szCs w:val="24"/>
          <w:u w:val="single"/>
        </w:rPr>
        <w:t>工程竣工验收合格经审计后拨付工程款时留1.5%质保金</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ED2E3E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关于质量保证金的补充约定：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bookmarkEnd w:id="2162"/>
    <w:bookmarkEnd w:id="2163"/>
    <w:p w14:paraId="5627F306">
      <w:pPr>
        <w:keepNext/>
        <w:keepLines/>
        <w:spacing w:line="400" w:lineRule="exact"/>
        <w:outlineLvl w:val="2"/>
        <w:rPr>
          <w:rFonts w:ascii="Times New Roman" w:hAnsi="Times New Roman" w:eastAsia="黑体" w:cs="宋体"/>
          <w:b/>
          <w:color w:val="auto"/>
          <w:sz w:val="24"/>
          <w:szCs w:val="20"/>
          <w:highlight w:val="none"/>
        </w:rPr>
      </w:pPr>
      <w:bookmarkStart w:id="2195" w:name="_Toc16044"/>
      <w:bookmarkStart w:id="2196" w:name="_Toc28532333"/>
      <w:r>
        <w:rPr>
          <w:rFonts w:ascii="Times New Roman" w:hAnsi="Times New Roman" w:eastAsia="黑体" w:cs="宋体"/>
          <w:b/>
          <w:color w:val="auto"/>
          <w:sz w:val="24"/>
          <w:szCs w:val="20"/>
          <w:highlight w:val="none"/>
        </w:rPr>
        <w:t>15.4保修</w:t>
      </w:r>
      <w:bookmarkEnd w:id="2195"/>
      <w:bookmarkEnd w:id="2196"/>
    </w:p>
    <w:bookmarkEnd w:id="2164"/>
    <w:p w14:paraId="28DBD6E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15.4.1 保修责任</w:t>
      </w:r>
    </w:p>
    <w:p w14:paraId="32FAFF5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工程保修期为：</w:t>
      </w:r>
      <w:r>
        <w:rPr>
          <w:rFonts w:hint="eastAsia" w:ascii="Times New Roman" w:hAnsi="Times New Roman"/>
          <w:szCs w:val="24"/>
          <w:u w:val="single"/>
        </w:rPr>
        <w:t>按国家规定要求执行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775851A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15.4.3 修复通知</w:t>
      </w:r>
    </w:p>
    <w:p w14:paraId="1543EC5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承包人收到保修通知并到达工程现场的合理时间：</w:t>
      </w:r>
      <w:r>
        <w:rPr>
          <w:rFonts w:ascii="Times New Roman" w:hAnsi="Times New Roman"/>
          <w:color w:val="auto"/>
          <w:szCs w:val="24"/>
          <w:highlight w:val="none"/>
          <w:u w:val="single"/>
        </w:rPr>
        <w:sym w:font="Times New Roman" w:char="E5E5"/>
      </w:r>
      <w:r>
        <w:rPr>
          <w:rFonts w:hint="eastAsia" w:ascii="Times New Roman" w:hAnsi="Times New Roman"/>
          <w:szCs w:val="24"/>
          <w:u w:val="single"/>
        </w:rPr>
        <w:t>按合同通用条款执行</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bookmarkEnd w:id="2165"/>
    <w:bookmarkEnd w:id="2166"/>
    <w:bookmarkEnd w:id="2167"/>
    <w:bookmarkEnd w:id="2168"/>
    <w:p w14:paraId="17264F94">
      <w:pPr>
        <w:keepNext/>
        <w:keepLines/>
        <w:spacing w:before="100" w:line="400" w:lineRule="exact"/>
        <w:outlineLvl w:val="1"/>
        <w:rPr>
          <w:rFonts w:ascii="Times New Roman" w:hAnsi="Times New Roman" w:eastAsia="黑体" w:cs="宋体"/>
          <w:b/>
          <w:color w:val="auto"/>
          <w:sz w:val="28"/>
          <w:szCs w:val="20"/>
          <w:highlight w:val="none"/>
        </w:rPr>
      </w:pPr>
      <w:bookmarkStart w:id="2197" w:name="_Toc20199"/>
      <w:bookmarkStart w:id="2198" w:name="_Toc28532334"/>
      <w:bookmarkStart w:id="2199" w:name="_Toc351203648"/>
      <w:bookmarkStart w:id="2200" w:name="_Toc280868717"/>
      <w:bookmarkStart w:id="2201" w:name="_Toc280868718"/>
      <w:r>
        <w:rPr>
          <w:rFonts w:ascii="Times New Roman" w:hAnsi="Times New Roman" w:eastAsia="黑体" w:cs="宋体"/>
          <w:b/>
          <w:color w:val="auto"/>
          <w:sz w:val="28"/>
          <w:szCs w:val="20"/>
          <w:highlight w:val="none"/>
        </w:rPr>
        <w:t>16. 违约</w:t>
      </w:r>
      <w:bookmarkEnd w:id="2197"/>
      <w:bookmarkEnd w:id="2198"/>
      <w:bookmarkEnd w:id="2199"/>
    </w:p>
    <w:p w14:paraId="0E5ACE08">
      <w:pPr>
        <w:keepNext/>
        <w:keepLines/>
        <w:spacing w:line="400" w:lineRule="exact"/>
        <w:outlineLvl w:val="2"/>
        <w:rPr>
          <w:rFonts w:ascii="Times New Roman" w:hAnsi="Times New Roman" w:eastAsia="黑体" w:cs="宋体"/>
          <w:b/>
          <w:color w:val="auto"/>
          <w:sz w:val="24"/>
          <w:szCs w:val="20"/>
          <w:highlight w:val="none"/>
        </w:rPr>
      </w:pPr>
      <w:bookmarkStart w:id="2202" w:name="_Toc28021"/>
      <w:bookmarkStart w:id="2203" w:name="_Toc28532335"/>
      <w:r>
        <w:rPr>
          <w:rFonts w:ascii="Times New Roman" w:hAnsi="Times New Roman" w:eastAsia="黑体" w:cs="宋体"/>
          <w:b/>
          <w:color w:val="auto"/>
          <w:sz w:val="24"/>
          <w:szCs w:val="20"/>
          <w:highlight w:val="none"/>
        </w:rPr>
        <w:t>16.1 发包人违约</w:t>
      </w:r>
      <w:bookmarkEnd w:id="2202"/>
      <w:bookmarkEnd w:id="2203"/>
    </w:p>
    <w:p w14:paraId="1B53A13F">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16.1.1发包人违约的情形</w:t>
      </w:r>
    </w:p>
    <w:p w14:paraId="7919A231">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发包人违约的其他情形：</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3E3AEB86">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16.1.2 发包人违约的责任</w:t>
      </w:r>
    </w:p>
    <w:p w14:paraId="7C8729D9">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发包人违约责任的承担方式和计算方法：</w:t>
      </w:r>
    </w:p>
    <w:p w14:paraId="67DECF1C">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 xml:space="preserve">（1）因发包人原因未能在计划开工日期前7天内下达开工通知的违约责任： </w:t>
      </w:r>
      <w:r>
        <w:rPr>
          <w:rFonts w:hint="eastAsia" w:ascii="Times New Roman" w:hAnsi="Times New Roman"/>
          <w:szCs w:val="24"/>
          <w:u w:val="single"/>
        </w:rPr>
        <w:t>工期顺延</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61410CC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（2）因发包人原因未能按合同约定支付合同价款的违约责任：</w:t>
      </w:r>
      <w:r>
        <w:rPr>
          <w:rFonts w:hint="eastAsia" w:ascii="Times New Roman" w:hAnsi="Times New Roman"/>
          <w:szCs w:val="24"/>
          <w:u w:val="single"/>
        </w:rPr>
        <w:t>工期顺延</w:t>
      </w:r>
      <w:r>
        <w:rPr>
          <w:rFonts w:ascii="Times New Roman" w:hAnsi="Times New Roman"/>
          <w:color w:val="auto"/>
          <w:szCs w:val="24"/>
          <w:highlight w:val="none"/>
        </w:rPr>
        <w:t>。</w:t>
      </w:r>
    </w:p>
    <w:p w14:paraId="4500D8C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（3）发包人违反第10.1款</w:t>
      </w:r>
      <w:r>
        <w:rPr>
          <w:rFonts w:hint="eastAsia" w:ascii="Times New Roman" w:hAnsi="Times New Roman"/>
          <w:color w:val="auto"/>
          <w:szCs w:val="24"/>
          <w:highlight w:val="none"/>
        </w:rPr>
        <w:t>〔</w:t>
      </w:r>
      <w:r>
        <w:rPr>
          <w:rFonts w:ascii="Times New Roman" w:hAnsi="Times New Roman"/>
          <w:color w:val="auto"/>
          <w:szCs w:val="24"/>
          <w:highlight w:val="none"/>
        </w:rPr>
        <w:t>变更的范围</w:t>
      </w:r>
      <w:r>
        <w:rPr>
          <w:rFonts w:hint="eastAsia" w:ascii="Times New Roman" w:hAnsi="Times New Roman"/>
          <w:color w:val="auto"/>
          <w:szCs w:val="24"/>
          <w:highlight w:val="none"/>
        </w:rPr>
        <w:t>〕</w:t>
      </w:r>
      <w:r>
        <w:rPr>
          <w:rFonts w:ascii="Times New Roman" w:hAnsi="Times New Roman"/>
          <w:color w:val="auto"/>
          <w:szCs w:val="24"/>
          <w:highlight w:val="none"/>
        </w:rPr>
        <w:t xml:space="preserve">第（2）项约定，自行实施被取消的工作或转由他人实施的违约责任： </w:t>
      </w:r>
      <w:r>
        <w:rPr>
          <w:rFonts w:hint="eastAsia" w:ascii="Times New Roman" w:hAnsi="Times New Roman"/>
          <w:szCs w:val="24"/>
          <w:u w:val="single"/>
        </w:rPr>
        <w:t>工期顺延</w:t>
      </w:r>
      <w:r>
        <w:rPr>
          <w:rFonts w:ascii="Times New Roman" w:hAnsi="Times New Roman"/>
          <w:color w:val="auto"/>
          <w:szCs w:val="24"/>
          <w:highlight w:val="none"/>
        </w:rPr>
        <w:t>。</w:t>
      </w:r>
    </w:p>
    <w:p w14:paraId="442F1031">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 xml:space="preserve">（4）发包人提供的材料、工程设备的规格、数量或质量不符合合同约定，或因发包人原因导致交货日期延误或交货地点变更等情况的违约责任： </w:t>
      </w:r>
      <w:r>
        <w:rPr>
          <w:rFonts w:hint="eastAsia" w:ascii="Times New Roman" w:hAnsi="Times New Roman"/>
          <w:szCs w:val="24"/>
          <w:u w:val="single"/>
        </w:rPr>
        <w:t>工期顺延</w:t>
      </w:r>
      <w:r>
        <w:rPr>
          <w:rFonts w:ascii="Times New Roman" w:hAnsi="Times New Roman"/>
          <w:color w:val="auto"/>
          <w:szCs w:val="24"/>
          <w:highlight w:val="none"/>
        </w:rPr>
        <w:t>。</w:t>
      </w:r>
    </w:p>
    <w:p w14:paraId="6F176AE5">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（5）因发包人违反合同约定造成暂停施工的违约责任：</w:t>
      </w:r>
      <w:r>
        <w:rPr>
          <w:rFonts w:hint="eastAsia" w:ascii="Times New Roman" w:hAnsi="Times New Roman"/>
          <w:szCs w:val="24"/>
          <w:u w:val="single"/>
        </w:rPr>
        <w:t>工期顺延</w:t>
      </w:r>
      <w:r>
        <w:rPr>
          <w:rFonts w:ascii="Times New Roman" w:hAnsi="Times New Roman"/>
          <w:color w:val="auto"/>
          <w:szCs w:val="24"/>
          <w:highlight w:val="none"/>
        </w:rPr>
        <w:t>。</w:t>
      </w:r>
    </w:p>
    <w:p w14:paraId="1C200776">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 xml:space="preserve">（6）发包人无正当理由没有在约定期限内发出复工指示，导致承包人无法复工的违约责任： </w:t>
      </w:r>
    </w:p>
    <w:p w14:paraId="47118D7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 xml:space="preserve"> </w:t>
      </w:r>
      <w:r>
        <w:rPr>
          <w:rFonts w:hint="eastAsia" w:ascii="Times New Roman" w:hAnsi="Times New Roman"/>
          <w:szCs w:val="24"/>
          <w:u w:val="single"/>
        </w:rPr>
        <w:t>工期顺延</w:t>
      </w:r>
      <w:r>
        <w:rPr>
          <w:rFonts w:ascii="Times New Roman" w:hAnsi="Times New Roman"/>
          <w:color w:val="auto"/>
          <w:szCs w:val="24"/>
          <w:highlight w:val="none"/>
        </w:rPr>
        <w:t>。</w:t>
      </w:r>
    </w:p>
    <w:p w14:paraId="43953CFF">
      <w:pPr>
        <w:spacing w:line="400" w:lineRule="exact"/>
        <w:ind w:firstLine="525" w:firstLineChars="250"/>
        <w:rPr>
          <w:rFonts w:hint="eastAsia" w:ascii="Times New Roman" w:hAnsi="Times New Roman"/>
          <w:color w:val="auto"/>
          <w:szCs w:val="24"/>
          <w:highlight w:val="none"/>
        </w:rPr>
      </w:pPr>
      <w:r>
        <w:rPr>
          <w:rFonts w:ascii="Times New Roman" w:hAnsi="Times New Roman"/>
          <w:color w:val="auto"/>
          <w:szCs w:val="24"/>
          <w:highlight w:val="none"/>
        </w:rPr>
        <w:t>（7）</w:t>
      </w:r>
      <w:r>
        <w:rPr>
          <w:rFonts w:hint="eastAsia" w:ascii="Times New Roman" w:hAnsi="Times New Roman"/>
          <w:color w:val="auto"/>
          <w:szCs w:val="24"/>
          <w:highlight w:val="none"/>
        </w:rPr>
        <w:t>其他：</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693D496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16.1.3 因发包人违约解除合同</w:t>
      </w:r>
    </w:p>
    <w:p w14:paraId="7CC70878">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承包人按16.1.1项</w:t>
      </w:r>
      <w:r>
        <w:rPr>
          <w:rFonts w:hint="eastAsia" w:ascii="Times New Roman" w:hAnsi="Times New Roman"/>
          <w:color w:val="auto"/>
          <w:szCs w:val="24"/>
          <w:highlight w:val="none"/>
        </w:rPr>
        <w:t>〔</w:t>
      </w:r>
      <w:r>
        <w:rPr>
          <w:rFonts w:ascii="Times New Roman" w:hAnsi="Times New Roman"/>
          <w:color w:val="auto"/>
          <w:szCs w:val="24"/>
          <w:highlight w:val="none"/>
        </w:rPr>
        <w:t>发包人违约的情形</w:t>
      </w:r>
      <w:r>
        <w:rPr>
          <w:rFonts w:hint="eastAsia" w:ascii="Times New Roman" w:hAnsi="Times New Roman"/>
          <w:color w:val="auto"/>
          <w:szCs w:val="24"/>
          <w:highlight w:val="none"/>
        </w:rPr>
        <w:t>〕</w:t>
      </w:r>
      <w:r>
        <w:rPr>
          <w:rFonts w:ascii="Times New Roman" w:hAnsi="Times New Roman"/>
          <w:color w:val="auto"/>
          <w:szCs w:val="24"/>
          <w:highlight w:val="none"/>
        </w:rPr>
        <w:t>约定暂停施工满</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60</w:t>
      </w:r>
      <w:r>
        <w:rPr>
          <w:rFonts w:ascii="Times New Roman" w:hAnsi="Times New Roman"/>
          <w:color w:val="auto"/>
          <w:szCs w:val="24"/>
          <w:highlight w:val="none"/>
          <w:u w:val="single"/>
        </w:rPr>
        <w:t xml:space="preserve"> </w:t>
      </w:r>
      <w:r>
        <w:rPr>
          <w:rFonts w:ascii="Times New Roman" w:hAnsi="Times New Roman"/>
          <w:color w:val="auto"/>
          <w:szCs w:val="24"/>
          <w:highlight w:val="none"/>
        </w:rPr>
        <w:t>天后发包人仍不纠正其违约行为并致使合同目的不能实现的，承包人有权解除合同。</w:t>
      </w:r>
    </w:p>
    <w:p w14:paraId="6C1D6498">
      <w:pPr>
        <w:keepNext/>
        <w:keepLines/>
        <w:spacing w:line="400" w:lineRule="exact"/>
        <w:outlineLvl w:val="2"/>
        <w:rPr>
          <w:rFonts w:ascii="Times New Roman" w:hAnsi="Times New Roman" w:eastAsia="黑体" w:cs="宋体"/>
          <w:b/>
          <w:color w:val="auto"/>
          <w:sz w:val="24"/>
          <w:szCs w:val="20"/>
          <w:highlight w:val="none"/>
        </w:rPr>
      </w:pPr>
      <w:bookmarkStart w:id="2204" w:name="_Toc7870"/>
      <w:bookmarkStart w:id="2205" w:name="_Toc28532336"/>
      <w:r>
        <w:rPr>
          <w:rFonts w:ascii="Times New Roman" w:hAnsi="Times New Roman" w:eastAsia="黑体" w:cs="宋体"/>
          <w:b/>
          <w:color w:val="auto"/>
          <w:sz w:val="24"/>
          <w:szCs w:val="20"/>
          <w:highlight w:val="none"/>
        </w:rPr>
        <w:t>16.2 承包人违约</w:t>
      </w:r>
      <w:bookmarkEnd w:id="2204"/>
      <w:bookmarkEnd w:id="2205"/>
    </w:p>
    <w:p w14:paraId="2FCA742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16.2.1 承包人违约的情形</w:t>
      </w:r>
    </w:p>
    <w:p w14:paraId="3F6124CD">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承包人违约的其他情形：</w:t>
      </w:r>
      <w:r>
        <w:rPr>
          <w:rFonts w:hint="eastAsia" w:ascii="Times New Roman" w:hAnsi="Times New Roman"/>
          <w:szCs w:val="24"/>
          <w:u w:val="single"/>
        </w:rPr>
        <w:t>结算资料和竣工验收资料不全；不及时、不按约定清场；不配合分包管理等其他事项</w:t>
      </w:r>
      <w:r>
        <w:rPr>
          <w:rFonts w:ascii="Times New Roman" w:hAnsi="Times New Roman"/>
          <w:color w:val="auto"/>
          <w:szCs w:val="24"/>
          <w:highlight w:val="none"/>
        </w:rPr>
        <w:t>。</w:t>
      </w:r>
    </w:p>
    <w:p w14:paraId="2D849DF0">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16.2.2承包人违约的责任</w:t>
      </w:r>
    </w:p>
    <w:p w14:paraId="0C9D032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承包人违约责任的承担方式和计算方法：</w:t>
      </w:r>
      <w:r>
        <w:rPr>
          <w:rFonts w:hint="eastAsia" w:ascii="Times New Roman" w:hAnsi="Times New Roman"/>
          <w:szCs w:val="24"/>
          <w:u w:val="single"/>
        </w:rPr>
        <w:t>按合同价款的2%-5%支付违约金；承担由此给发包人造成的一切损失；缺陷责任期相应延长；发包人有权单方解除合同；造成质量和安全事故的，由承包人承担一切民事赔偿责任和可能发生的刑事责任</w:t>
      </w:r>
      <w:r>
        <w:rPr>
          <w:rFonts w:ascii="Times New Roman" w:hAnsi="Times New Roman"/>
          <w:color w:val="auto"/>
          <w:szCs w:val="24"/>
          <w:highlight w:val="none"/>
        </w:rPr>
        <w:t xml:space="preserve">。    </w:t>
      </w:r>
    </w:p>
    <w:p w14:paraId="69A6925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16.2.3 因承包人违约解除合同</w:t>
      </w:r>
    </w:p>
    <w:p w14:paraId="36C95C83">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关于承包人违约解除合同的特别约定：</w:t>
      </w:r>
      <w:r>
        <w:rPr>
          <w:rFonts w:hint="eastAsia" w:ascii="Times New Roman" w:hAnsi="Times New Roman"/>
          <w:szCs w:val="24"/>
          <w:u w:val="single"/>
        </w:rPr>
        <w:t>按合同通用条款执行</w:t>
      </w:r>
      <w:r>
        <w:rPr>
          <w:rFonts w:ascii="Times New Roman" w:hAnsi="Times New Roman"/>
          <w:color w:val="auto"/>
          <w:szCs w:val="24"/>
          <w:highlight w:val="none"/>
        </w:rPr>
        <w:t>。</w:t>
      </w:r>
    </w:p>
    <w:p w14:paraId="713A46D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发包人</w:t>
      </w:r>
      <w:r>
        <w:rPr>
          <w:rFonts w:hint="eastAsia" w:ascii="Times New Roman" w:hAnsi="Times New Roman"/>
          <w:color w:val="auto"/>
          <w:szCs w:val="24"/>
          <w:highlight w:val="none"/>
        </w:rPr>
        <w:t>继续</w:t>
      </w:r>
      <w:r>
        <w:rPr>
          <w:rFonts w:ascii="Times New Roman" w:hAnsi="Times New Roman"/>
          <w:color w:val="auto"/>
          <w:szCs w:val="24"/>
          <w:highlight w:val="none"/>
        </w:rPr>
        <w:t>使用承包人在施工现场的材料、设备、临时工程、承包人文件和由承包人或以其名义编制的其他文件</w:t>
      </w:r>
      <w:r>
        <w:rPr>
          <w:rFonts w:hint="eastAsia" w:ascii="Times New Roman" w:hAnsi="Times New Roman"/>
          <w:color w:val="auto"/>
          <w:szCs w:val="24"/>
          <w:highlight w:val="none"/>
        </w:rPr>
        <w:t>的费用承担方式</w:t>
      </w:r>
      <w:r>
        <w:rPr>
          <w:rFonts w:ascii="Times New Roman" w:hAnsi="Times New Roman"/>
          <w:color w:val="auto"/>
          <w:szCs w:val="24"/>
          <w:highlight w:val="none"/>
        </w:rPr>
        <w:t>：</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2B3490F2">
      <w:pPr>
        <w:keepNext/>
        <w:keepLines/>
        <w:spacing w:before="100" w:line="400" w:lineRule="exact"/>
        <w:outlineLvl w:val="1"/>
        <w:rPr>
          <w:rFonts w:ascii="Times New Roman" w:hAnsi="Times New Roman" w:eastAsia="黑体" w:cs="宋体"/>
          <w:b/>
          <w:color w:val="auto"/>
          <w:sz w:val="28"/>
          <w:szCs w:val="20"/>
          <w:highlight w:val="none"/>
        </w:rPr>
      </w:pPr>
      <w:bookmarkStart w:id="2206" w:name="_Toc28532337"/>
      <w:bookmarkStart w:id="2207" w:name="_Toc351203649"/>
      <w:bookmarkStart w:id="2208" w:name="_Toc13303"/>
      <w:r>
        <w:rPr>
          <w:rFonts w:ascii="Times New Roman" w:hAnsi="Times New Roman" w:eastAsia="黑体" w:cs="宋体"/>
          <w:b/>
          <w:color w:val="auto"/>
          <w:sz w:val="28"/>
          <w:szCs w:val="20"/>
          <w:highlight w:val="none"/>
        </w:rPr>
        <w:t>17. 不可抗力</w:t>
      </w:r>
      <w:bookmarkEnd w:id="2206"/>
      <w:bookmarkEnd w:id="2207"/>
      <w:bookmarkEnd w:id="2208"/>
      <w:r>
        <w:rPr>
          <w:rFonts w:ascii="Times New Roman" w:hAnsi="Times New Roman" w:eastAsia="黑体" w:cs="宋体"/>
          <w:b/>
          <w:color w:val="auto"/>
          <w:sz w:val="28"/>
          <w:szCs w:val="20"/>
          <w:highlight w:val="none"/>
        </w:rPr>
        <w:t xml:space="preserve"> </w:t>
      </w:r>
      <w:bookmarkEnd w:id="2200"/>
    </w:p>
    <w:p w14:paraId="6506B3AF">
      <w:pPr>
        <w:keepNext/>
        <w:keepLines/>
        <w:spacing w:line="400" w:lineRule="exact"/>
        <w:outlineLvl w:val="2"/>
        <w:rPr>
          <w:rFonts w:ascii="Times New Roman" w:hAnsi="Times New Roman" w:eastAsia="黑体" w:cs="宋体"/>
          <w:b/>
          <w:color w:val="auto"/>
          <w:sz w:val="24"/>
          <w:szCs w:val="20"/>
          <w:highlight w:val="none"/>
        </w:rPr>
      </w:pPr>
      <w:bookmarkStart w:id="2209" w:name="_Toc18746"/>
      <w:bookmarkStart w:id="2210" w:name="_Toc28532338"/>
      <w:r>
        <w:rPr>
          <w:rFonts w:ascii="Times New Roman" w:hAnsi="Times New Roman" w:eastAsia="黑体" w:cs="宋体"/>
          <w:b/>
          <w:color w:val="auto"/>
          <w:sz w:val="24"/>
          <w:szCs w:val="20"/>
          <w:highlight w:val="none"/>
        </w:rPr>
        <w:t>17.1 不可抗力的确认</w:t>
      </w:r>
      <w:bookmarkEnd w:id="2209"/>
      <w:bookmarkEnd w:id="2210"/>
    </w:p>
    <w:p w14:paraId="6A8721F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除通用合同条款约定的不可抗力事件之外，视为不可抗力的其他情形：</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5BCC76AD">
      <w:pPr>
        <w:keepNext/>
        <w:keepLines/>
        <w:spacing w:line="400" w:lineRule="exact"/>
        <w:outlineLvl w:val="2"/>
        <w:rPr>
          <w:rFonts w:ascii="Times New Roman" w:hAnsi="Times New Roman" w:eastAsia="黑体" w:cs="宋体"/>
          <w:b/>
          <w:color w:val="auto"/>
          <w:sz w:val="24"/>
          <w:szCs w:val="20"/>
          <w:highlight w:val="none"/>
        </w:rPr>
      </w:pPr>
      <w:bookmarkStart w:id="2211" w:name="_Toc28532339"/>
      <w:bookmarkStart w:id="2212" w:name="_Toc23066"/>
      <w:r>
        <w:rPr>
          <w:rFonts w:ascii="Times New Roman" w:hAnsi="Times New Roman" w:eastAsia="黑体" w:cs="宋体"/>
          <w:b/>
          <w:color w:val="auto"/>
          <w:sz w:val="24"/>
          <w:szCs w:val="20"/>
          <w:highlight w:val="none"/>
        </w:rPr>
        <w:t>17.4 因不可抗力解除合同</w:t>
      </w:r>
      <w:bookmarkEnd w:id="2211"/>
      <w:bookmarkEnd w:id="2212"/>
    </w:p>
    <w:p w14:paraId="4165D120">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合同解除后，发包人应在商定或确定发包人应支付款项后</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天内完成款项的支付。</w:t>
      </w:r>
    </w:p>
    <w:p w14:paraId="3320AF7E">
      <w:pPr>
        <w:keepNext/>
        <w:keepLines/>
        <w:spacing w:before="100" w:line="400" w:lineRule="exact"/>
        <w:outlineLvl w:val="1"/>
        <w:rPr>
          <w:rFonts w:ascii="Times New Roman" w:hAnsi="Times New Roman" w:eastAsia="黑体" w:cs="宋体"/>
          <w:b/>
          <w:color w:val="auto"/>
          <w:sz w:val="28"/>
          <w:szCs w:val="20"/>
          <w:highlight w:val="none"/>
        </w:rPr>
      </w:pPr>
      <w:bookmarkStart w:id="2213" w:name="_Toc1840"/>
      <w:bookmarkStart w:id="2214" w:name="_Toc351203650"/>
      <w:bookmarkStart w:id="2215" w:name="_Toc28532340"/>
      <w:r>
        <w:rPr>
          <w:rFonts w:ascii="Times New Roman" w:hAnsi="Times New Roman" w:eastAsia="黑体" w:cs="宋体"/>
          <w:b/>
          <w:color w:val="auto"/>
          <w:sz w:val="28"/>
          <w:szCs w:val="20"/>
          <w:highlight w:val="none"/>
        </w:rPr>
        <w:t>18. 保险</w:t>
      </w:r>
      <w:bookmarkEnd w:id="2213"/>
      <w:bookmarkEnd w:id="2214"/>
      <w:bookmarkEnd w:id="2215"/>
    </w:p>
    <w:bookmarkEnd w:id="2201"/>
    <w:p w14:paraId="07149139">
      <w:pPr>
        <w:keepNext/>
        <w:keepLines/>
        <w:spacing w:line="400" w:lineRule="exact"/>
        <w:outlineLvl w:val="2"/>
        <w:rPr>
          <w:rFonts w:ascii="Times New Roman" w:hAnsi="Times New Roman" w:eastAsia="黑体" w:cs="宋体"/>
          <w:b/>
          <w:color w:val="auto"/>
          <w:sz w:val="24"/>
          <w:szCs w:val="20"/>
          <w:highlight w:val="none"/>
        </w:rPr>
      </w:pPr>
      <w:bookmarkStart w:id="2216" w:name="_Toc28532341"/>
      <w:bookmarkStart w:id="2217" w:name="_Toc11197"/>
      <w:r>
        <w:rPr>
          <w:rFonts w:ascii="Times New Roman" w:hAnsi="Times New Roman" w:eastAsia="黑体" w:cs="宋体"/>
          <w:b/>
          <w:color w:val="auto"/>
          <w:sz w:val="24"/>
          <w:szCs w:val="20"/>
          <w:highlight w:val="none"/>
        </w:rPr>
        <w:t>18.1 工程保险</w:t>
      </w:r>
      <w:bookmarkEnd w:id="2216"/>
      <w:bookmarkEnd w:id="2217"/>
    </w:p>
    <w:p w14:paraId="582C4FDD">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关于工程保险的特别约定：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40DDA31B">
      <w:pPr>
        <w:keepNext/>
        <w:keepLines/>
        <w:spacing w:line="400" w:lineRule="exact"/>
        <w:outlineLvl w:val="2"/>
        <w:rPr>
          <w:rFonts w:ascii="Times New Roman" w:hAnsi="Times New Roman" w:eastAsia="黑体" w:cs="宋体"/>
          <w:b/>
          <w:color w:val="auto"/>
          <w:sz w:val="24"/>
          <w:szCs w:val="20"/>
          <w:highlight w:val="none"/>
        </w:rPr>
      </w:pPr>
      <w:bookmarkStart w:id="2218" w:name="_Toc28532342"/>
      <w:bookmarkStart w:id="2219" w:name="_Toc6619"/>
      <w:r>
        <w:rPr>
          <w:rFonts w:ascii="Times New Roman" w:hAnsi="Times New Roman" w:eastAsia="黑体" w:cs="宋体"/>
          <w:b/>
          <w:color w:val="auto"/>
          <w:sz w:val="24"/>
          <w:szCs w:val="20"/>
          <w:highlight w:val="none"/>
        </w:rPr>
        <w:t>18.3 其他保险</w:t>
      </w:r>
      <w:bookmarkEnd w:id="2218"/>
      <w:bookmarkEnd w:id="2219"/>
    </w:p>
    <w:p w14:paraId="2139A7C4">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关于其他保险的约定：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51554EA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承包人是否应为其施工设备等办理财产保险：</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6481064D">
      <w:pPr>
        <w:keepNext/>
        <w:keepLines/>
        <w:spacing w:line="400" w:lineRule="exact"/>
        <w:outlineLvl w:val="2"/>
        <w:rPr>
          <w:rFonts w:ascii="Times New Roman" w:hAnsi="Times New Roman" w:eastAsia="黑体" w:cs="宋体"/>
          <w:b/>
          <w:color w:val="auto"/>
          <w:sz w:val="24"/>
          <w:szCs w:val="20"/>
          <w:highlight w:val="none"/>
        </w:rPr>
      </w:pPr>
      <w:bookmarkStart w:id="2220" w:name="_Toc24222"/>
      <w:bookmarkStart w:id="2221" w:name="_Toc28532343"/>
      <w:r>
        <w:rPr>
          <w:rFonts w:ascii="Times New Roman" w:hAnsi="Times New Roman" w:eastAsia="黑体" w:cs="宋体"/>
          <w:b/>
          <w:color w:val="auto"/>
          <w:sz w:val="24"/>
          <w:szCs w:val="20"/>
          <w:highlight w:val="none"/>
        </w:rPr>
        <w:t>18.7 通知义务</w:t>
      </w:r>
      <w:bookmarkEnd w:id="2220"/>
      <w:bookmarkEnd w:id="2221"/>
    </w:p>
    <w:p w14:paraId="13CB2482">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关于变更保险合同时的通知义务的约定：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bookmarkEnd w:id="2169"/>
    <w:bookmarkEnd w:id="2170"/>
    <w:bookmarkEnd w:id="2171"/>
    <w:bookmarkEnd w:id="2172"/>
    <w:bookmarkEnd w:id="2173"/>
    <w:bookmarkEnd w:id="2174"/>
    <w:bookmarkEnd w:id="2175"/>
    <w:bookmarkEnd w:id="2176"/>
    <w:bookmarkEnd w:id="2177"/>
    <w:bookmarkEnd w:id="2178"/>
    <w:bookmarkEnd w:id="2179"/>
    <w:bookmarkEnd w:id="2180"/>
    <w:p w14:paraId="2F1B2F2A">
      <w:pPr>
        <w:keepNext/>
        <w:keepLines/>
        <w:spacing w:before="100" w:line="400" w:lineRule="exact"/>
        <w:outlineLvl w:val="1"/>
        <w:rPr>
          <w:rFonts w:ascii="Times New Roman" w:hAnsi="Times New Roman" w:eastAsia="黑体" w:cs="宋体"/>
          <w:b/>
          <w:color w:val="auto"/>
          <w:sz w:val="28"/>
          <w:szCs w:val="20"/>
          <w:highlight w:val="none"/>
        </w:rPr>
      </w:pPr>
      <w:bookmarkStart w:id="2222" w:name="_Toc28532344"/>
      <w:bookmarkStart w:id="2223" w:name="_Toc15274"/>
      <w:bookmarkStart w:id="2224" w:name="_Toc351203651"/>
      <w:r>
        <w:rPr>
          <w:rFonts w:ascii="Times New Roman" w:hAnsi="Times New Roman" w:eastAsia="黑体" w:cs="宋体"/>
          <w:b/>
          <w:color w:val="auto"/>
          <w:sz w:val="28"/>
          <w:szCs w:val="20"/>
          <w:highlight w:val="none"/>
        </w:rPr>
        <w:t>20. 争议解决</w:t>
      </w:r>
      <w:bookmarkEnd w:id="2222"/>
      <w:bookmarkEnd w:id="2223"/>
      <w:bookmarkEnd w:id="2224"/>
    </w:p>
    <w:bookmarkEnd w:id="2181"/>
    <w:bookmarkEnd w:id="2182"/>
    <w:p w14:paraId="4684A082">
      <w:pPr>
        <w:keepNext/>
        <w:keepLines/>
        <w:spacing w:line="400" w:lineRule="exact"/>
        <w:outlineLvl w:val="2"/>
        <w:rPr>
          <w:rFonts w:ascii="Times New Roman" w:hAnsi="Times New Roman" w:eastAsia="黑体" w:cs="宋体"/>
          <w:b/>
          <w:color w:val="auto"/>
          <w:sz w:val="24"/>
          <w:szCs w:val="20"/>
          <w:highlight w:val="none"/>
        </w:rPr>
      </w:pPr>
      <w:bookmarkStart w:id="2225" w:name="_Toc22648"/>
      <w:bookmarkStart w:id="2226" w:name="_Toc28532345"/>
      <w:r>
        <w:rPr>
          <w:rFonts w:ascii="Times New Roman" w:hAnsi="Times New Roman" w:eastAsia="黑体" w:cs="宋体"/>
          <w:b/>
          <w:color w:val="auto"/>
          <w:sz w:val="24"/>
          <w:szCs w:val="20"/>
          <w:highlight w:val="none"/>
        </w:rPr>
        <w:t>20.3 争</w:t>
      </w:r>
      <w:bookmarkEnd w:id="2183"/>
      <w:r>
        <w:rPr>
          <w:rFonts w:ascii="Times New Roman" w:hAnsi="Times New Roman" w:eastAsia="黑体" w:cs="宋体"/>
          <w:b/>
          <w:color w:val="auto"/>
          <w:sz w:val="24"/>
          <w:szCs w:val="20"/>
          <w:highlight w:val="none"/>
        </w:rPr>
        <w:t>议评审</w:t>
      </w:r>
      <w:bookmarkEnd w:id="2225"/>
      <w:bookmarkEnd w:id="2226"/>
    </w:p>
    <w:p w14:paraId="3A2F050E">
      <w:pPr>
        <w:spacing w:line="400" w:lineRule="exact"/>
        <w:ind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合同当事人是否同意将工程争议提交争议评审小组决</w:t>
      </w:r>
      <w:r>
        <w:rPr>
          <w:rFonts w:hint="eastAsia" w:ascii="Times New Roman" w:hAnsi="Times New Roman"/>
          <w:color w:val="auto"/>
          <w:szCs w:val="24"/>
          <w:highlight w:val="none"/>
        </w:rPr>
        <w:t>定：</w:t>
      </w:r>
      <w:r>
        <w:rPr>
          <w:rFonts w:hint="eastAsia" w:ascii="Times New Roman" w:hAnsi="Times New Roman"/>
          <w:color w:val="auto"/>
          <w:szCs w:val="24"/>
          <w:highlight w:val="none"/>
          <w:u w:val="single"/>
          <w:lang w:val="en-US" w:eastAsia="zh-CN"/>
        </w:rPr>
        <w:t>否</w:t>
      </w:r>
      <w:r>
        <w:rPr>
          <w:rFonts w:ascii="Times New Roman" w:hAnsi="Times New Roman"/>
          <w:color w:val="auto"/>
          <w:szCs w:val="24"/>
          <w:highlight w:val="none"/>
        </w:rPr>
        <w:t>。</w:t>
      </w:r>
    </w:p>
    <w:p w14:paraId="1B649E54">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20.3.1 争议评审小组的确定</w:t>
      </w:r>
    </w:p>
    <w:p w14:paraId="12CC631C">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争议评审小组成员的确定：</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7FDE2338">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选定争议评审员的期限：</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66623C6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争议评审小组成员的报酬承担方式：</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4E41568B">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其他事项的约定：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676EED91">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20.3.2 争议评审小组的决定</w:t>
      </w:r>
    </w:p>
    <w:p w14:paraId="40FD1245">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合同当事人关于本项的约定：</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rPr>
        <w:t>。</w:t>
      </w:r>
    </w:p>
    <w:p w14:paraId="660282E1">
      <w:pPr>
        <w:keepNext/>
        <w:keepLines/>
        <w:spacing w:line="400" w:lineRule="exact"/>
        <w:outlineLvl w:val="2"/>
        <w:rPr>
          <w:rFonts w:hint="eastAsia" w:ascii="Times New Roman" w:hAnsi="Times New Roman" w:eastAsia="黑体" w:cs="宋体"/>
          <w:b/>
          <w:color w:val="auto"/>
          <w:sz w:val="24"/>
          <w:szCs w:val="20"/>
          <w:highlight w:val="none"/>
        </w:rPr>
      </w:pPr>
      <w:bookmarkStart w:id="2227" w:name="_Toc28532346"/>
      <w:bookmarkStart w:id="2228" w:name="_Toc1128"/>
      <w:r>
        <w:rPr>
          <w:rFonts w:ascii="Times New Roman" w:hAnsi="Times New Roman" w:eastAsia="黑体" w:cs="宋体"/>
          <w:b/>
          <w:color w:val="auto"/>
          <w:sz w:val="24"/>
          <w:szCs w:val="20"/>
          <w:highlight w:val="none"/>
        </w:rPr>
        <w:t>20.4仲裁或诉讼</w:t>
      </w:r>
      <w:bookmarkEnd w:id="2184"/>
      <w:bookmarkEnd w:id="2227"/>
      <w:bookmarkEnd w:id="2228"/>
    </w:p>
    <w:p w14:paraId="18869CC3">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因合同及合同有关事项发生的争议，按下列第</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eastAsia="zh-CN"/>
        </w:rPr>
        <w:t>（</w:t>
      </w:r>
      <w:r>
        <w:rPr>
          <w:rFonts w:hint="eastAsia" w:ascii="Times New Roman" w:hAnsi="Times New Roman"/>
          <w:color w:val="auto"/>
          <w:szCs w:val="24"/>
          <w:highlight w:val="none"/>
          <w:u w:val="single"/>
          <w:lang w:val="en-US" w:eastAsia="zh-CN"/>
        </w:rPr>
        <w:t>2）</w:t>
      </w:r>
      <w:r>
        <w:rPr>
          <w:rFonts w:ascii="Times New Roman" w:hAnsi="Times New Roman"/>
          <w:color w:val="auto"/>
          <w:szCs w:val="24"/>
          <w:highlight w:val="none"/>
          <w:u w:val="single"/>
        </w:rPr>
        <w:t xml:space="preserve">  </w:t>
      </w:r>
      <w:r>
        <w:rPr>
          <w:rFonts w:ascii="Times New Roman" w:hAnsi="Times New Roman"/>
          <w:color w:val="auto"/>
          <w:szCs w:val="24"/>
          <w:highlight w:val="none"/>
        </w:rPr>
        <w:t>种方式</w:t>
      </w:r>
      <w:r>
        <w:rPr>
          <w:rFonts w:hint="eastAsia" w:ascii="Times New Roman" w:hAnsi="Times New Roman"/>
          <w:color w:val="auto"/>
          <w:szCs w:val="24"/>
          <w:highlight w:val="none"/>
        </w:rPr>
        <w:t>解</w:t>
      </w:r>
      <w:r>
        <w:rPr>
          <w:rFonts w:ascii="Times New Roman" w:hAnsi="Times New Roman"/>
          <w:color w:val="auto"/>
          <w:szCs w:val="24"/>
          <w:highlight w:val="none"/>
        </w:rPr>
        <w:t>决：</w:t>
      </w:r>
    </w:p>
    <w:p w14:paraId="5D526EBA">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（1）向</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w:t>
      </w:r>
      <w:r>
        <w:rPr>
          <w:rFonts w:ascii="Times New Roman" w:hAnsi="Times New Roman"/>
          <w:color w:val="auto"/>
          <w:szCs w:val="24"/>
          <w:highlight w:val="none"/>
          <w:u w:val="single"/>
        </w:rPr>
        <w:t xml:space="preserve"> </w:t>
      </w:r>
      <w:r>
        <w:rPr>
          <w:rFonts w:ascii="Times New Roman" w:hAnsi="Times New Roman"/>
          <w:color w:val="auto"/>
          <w:szCs w:val="24"/>
          <w:highlight w:val="none"/>
        </w:rPr>
        <w:t>仲裁委员会申请仲裁；</w:t>
      </w:r>
    </w:p>
    <w:p w14:paraId="57DB6E07">
      <w:pPr>
        <w:spacing w:line="400" w:lineRule="exact"/>
        <w:ind w:firstLine="420" w:firstLineChars="200"/>
        <w:rPr>
          <w:rFonts w:ascii="Times New Roman" w:hAnsi="Times New Roman"/>
          <w:color w:val="auto"/>
          <w:szCs w:val="24"/>
          <w:highlight w:val="none"/>
        </w:rPr>
      </w:pPr>
      <w:r>
        <w:rPr>
          <w:rFonts w:ascii="Times New Roman" w:hAnsi="Times New Roman"/>
          <w:color w:val="auto"/>
          <w:szCs w:val="24"/>
          <w:highlight w:val="none"/>
        </w:rPr>
        <w:t>（2）向</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工程所在地</w:t>
      </w:r>
      <w:r>
        <w:rPr>
          <w:rFonts w:ascii="Times New Roman" w:hAnsi="Times New Roman"/>
          <w:color w:val="auto"/>
          <w:szCs w:val="24"/>
          <w:highlight w:val="none"/>
          <w:u w:val="single"/>
        </w:rPr>
        <w:t xml:space="preserve"> </w:t>
      </w:r>
      <w:r>
        <w:rPr>
          <w:rFonts w:ascii="Times New Roman" w:hAnsi="Times New Roman"/>
          <w:color w:val="auto"/>
          <w:szCs w:val="24"/>
          <w:highlight w:val="none"/>
        </w:rPr>
        <w:t>人民法院起诉。</w:t>
      </w:r>
      <w:bookmarkEnd w:id="2185"/>
      <w:bookmarkEnd w:id="2186"/>
      <w:bookmarkEnd w:id="2187"/>
      <w:bookmarkEnd w:id="2188"/>
      <w:bookmarkEnd w:id="2189"/>
      <w:bookmarkEnd w:id="2190"/>
    </w:p>
    <w:p w14:paraId="0BEE1DB2">
      <w:pPr>
        <w:keepNext/>
        <w:keepLines/>
        <w:spacing w:before="100" w:line="400" w:lineRule="exact"/>
        <w:outlineLvl w:val="1"/>
        <w:rPr>
          <w:rFonts w:ascii="Times New Roman" w:hAnsi="Times New Roman" w:eastAsia="黑体" w:cs="宋体"/>
          <w:b/>
          <w:color w:val="auto"/>
          <w:sz w:val="32"/>
          <w:szCs w:val="32"/>
          <w:highlight w:val="none"/>
        </w:rPr>
      </w:pPr>
      <w:r>
        <w:rPr>
          <w:rFonts w:ascii="Times New Roman" w:hAnsi="Times New Roman" w:eastAsia="黑体" w:cs="宋体"/>
          <w:color w:val="auto"/>
          <w:sz w:val="28"/>
          <w:szCs w:val="20"/>
          <w:highlight w:val="none"/>
        </w:rPr>
        <w:br w:type="page"/>
      </w:r>
      <w:bookmarkStart w:id="2229" w:name="_Toc351203652"/>
      <w:bookmarkStart w:id="2230" w:name="_Toc24313"/>
      <w:bookmarkStart w:id="2231" w:name="_Toc28532347"/>
      <w:r>
        <w:rPr>
          <w:rFonts w:ascii="Times New Roman" w:hAnsi="Times New Roman" w:eastAsia="黑体" w:cs="宋体"/>
          <w:b/>
          <w:color w:val="auto"/>
          <w:sz w:val="28"/>
          <w:szCs w:val="20"/>
          <w:highlight w:val="none"/>
        </w:rPr>
        <w:t>附件</w:t>
      </w:r>
      <w:bookmarkEnd w:id="2229"/>
      <w:bookmarkEnd w:id="2230"/>
      <w:bookmarkEnd w:id="2231"/>
    </w:p>
    <w:p w14:paraId="49B4A451">
      <w:pPr>
        <w:spacing w:line="400" w:lineRule="exact"/>
        <w:ind w:firstLine="420" w:firstLineChars="200"/>
        <w:jc w:val="left"/>
        <w:rPr>
          <w:rFonts w:hint="eastAsia" w:ascii="Times New Roman" w:hAnsi="Times New Roman"/>
          <w:color w:val="auto"/>
          <w:szCs w:val="24"/>
          <w:highlight w:val="none"/>
        </w:rPr>
      </w:pPr>
      <w:r>
        <w:rPr>
          <w:rFonts w:hint="eastAsia" w:ascii="Times New Roman" w:hAnsi="Times New Roman"/>
          <w:color w:val="auto"/>
          <w:szCs w:val="24"/>
          <w:highlight w:val="none"/>
        </w:rPr>
        <w:t>协议书附件：</w:t>
      </w:r>
    </w:p>
    <w:p w14:paraId="57D8E0BE">
      <w:pPr>
        <w:spacing w:line="400" w:lineRule="exact"/>
        <w:ind w:firstLine="420" w:firstLineChars="200"/>
        <w:jc w:val="left"/>
        <w:rPr>
          <w:rFonts w:hint="eastAsia" w:ascii="Times New Roman" w:hAnsi="Times New Roman"/>
          <w:color w:val="auto"/>
          <w:szCs w:val="24"/>
          <w:highlight w:val="none"/>
        </w:rPr>
      </w:pPr>
      <w:r>
        <w:rPr>
          <w:rFonts w:ascii="Times New Roman" w:hAnsi="Times New Roman"/>
          <w:color w:val="auto"/>
          <w:szCs w:val="24"/>
          <w:highlight w:val="none"/>
        </w:rPr>
        <w:t>附件1：承包人承揽工程项目一览表</w:t>
      </w:r>
    </w:p>
    <w:p w14:paraId="68CB67BE">
      <w:pPr>
        <w:spacing w:line="400" w:lineRule="exact"/>
        <w:ind w:firstLine="420" w:firstLineChars="200"/>
        <w:jc w:val="left"/>
        <w:rPr>
          <w:rFonts w:hint="eastAsia" w:ascii="Times New Roman" w:hAnsi="Times New Roman"/>
          <w:color w:val="auto"/>
          <w:szCs w:val="24"/>
          <w:highlight w:val="none"/>
        </w:rPr>
      </w:pPr>
    </w:p>
    <w:p w14:paraId="726F7ACE">
      <w:pPr>
        <w:spacing w:line="400" w:lineRule="exact"/>
        <w:ind w:firstLine="420" w:firstLineChars="200"/>
        <w:jc w:val="left"/>
        <w:rPr>
          <w:rFonts w:ascii="Times New Roman" w:hAnsi="Times New Roman"/>
          <w:color w:val="auto"/>
          <w:szCs w:val="24"/>
          <w:highlight w:val="none"/>
        </w:rPr>
      </w:pPr>
      <w:r>
        <w:rPr>
          <w:rFonts w:hint="eastAsia" w:ascii="Times New Roman" w:hAnsi="Times New Roman"/>
          <w:color w:val="auto"/>
          <w:szCs w:val="24"/>
          <w:highlight w:val="none"/>
        </w:rPr>
        <w:t>专用合同条款附件：</w:t>
      </w:r>
    </w:p>
    <w:p w14:paraId="431BF087">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附件2：发包人供应材料设备一览表</w:t>
      </w:r>
    </w:p>
    <w:p w14:paraId="0F9DD0BB">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附件3：工程质量保修书</w:t>
      </w:r>
    </w:p>
    <w:p w14:paraId="57BD67B2">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附件4：主要建设工程文件目录</w:t>
      </w:r>
    </w:p>
    <w:p w14:paraId="2732DACA">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附件5：承包人用于本工程施工的机械设备表</w:t>
      </w:r>
    </w:p>
    <w:p w14:paraId="1576F3A0">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附件6：承包人主要施工管理人员表</w:t>
      </w:r>
    </w:p>
    <w:p w14:paraId="1CEBBC10">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附件7：分包人主要施工管理人员表</w:t>
      </w:r>
    </w:p>
    <w:p w14:paraId="12525439">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附件8：履约担保格式</w:t>
      </w:r>
    </w:p>
    <w:p w14:paraId="062ECA9A">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附件9：预付款担保格式</w:t>
      </w:r>
    </w:p>
    <w:p w14:paraId="22B2D60A">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附件10：支付担保格式</w:t>
      </w:r>
    </w:p>
    <w:p w14:paraId="5DCD73D4">
      <w:pPr>
        <w:spacing w:line="400" w:lineRule="exact"/>
        <w:ind w:firstLine="420" w:firstLineChars="200"/>
        <w:jc w:val="left"/>
        <w:rPr>
          <w:rFonts w:ascii="Times New Roman" w:hAnsi="Times New Roman"/>
          <w:color w:val="auto"/>
          <w:szCs w:val="24"/>
          <w:highlight w:val="none"/>
        </w:rPr>
      </w:pPr>
      <w:r>
        <w:rPr>
          <w:rFonts w:ascii="Times New Roman" w:hAnsi="Times New Roman"/>
          <w:color w:val="auto"/>
          <w:szCs w:val="24"/>
          <w:highlight w:val="none"/>
        </w:rPr>
        <w:t>附件11：暂估价一览表</w:t>
      </w:r>
    </w:p>
    <w:p w14:paraId="4D1DB21B">
      <w:pPr>
        <w:spacing w:before="120" w:beforeLines="50" w:after="120" w:afterLines="50" w:line="440" w:lineRule="exact"/>
        <w:jc w:val="left"/>
        <w:rPr>
          <w:rFonts w:hint="eastAsia" w:ascii="宋体" w:hAnsi="宋体"/>
          <w:color w:val="auto"/>
          <w:sz w:val="24"/>
          <w:szCs w:val="24"/>
          <w:highlight w:val="none"/>
        </w:rPr>
      </w:pPr>
    </w:p>
    <w:p w14:paraId="21EC4496">
      <w:pPr>
        <w:spacing w:before="120" w:beforeLines="50" w:after="120" w:afterLines="50" w:line="440" w:lineRule="exact"/>
        <w:jc w:val="left"/>
        <w:rPr>
          <w:rFonts w:hint="eastAsia" w:ascii="宋体" w:hAnsi="宋体"/>
          <w:color w:val="auto"/>
          <w:sz w:val="24"/>
          <w:szCs w:val="24"/>
          <w:highlight w:val="none"/>
        </w:rPr>
      </w:pPr>
    </w:p>
    <w:p w14:paraId="0334F123">
      <w:pPr>
        <w:spacing w:before="120" w:beforeLines="50" w:after="120" w:afterLines="50" w:line="440" w:lineRule="exact"/>
        <w:jc w:val="left"/>
        <w:rPr>
          <w:rFonts w:hint="eastAsia" w:ascii="宋体" w:hAnsi="宋体"/>
          <w:color w:val="auto"/>
          <w:sz w:val="24"/>
          <w:szCs w:val="24"/>
          <w:highlight w:val="none"/>
        </w:rPr>
      </w:pPr>
    </w:p>
    <w:p w14:paraId="51DB946A">
      <w:pPr>
        <w:spacing w:before="120" w:beforeLines="50" w:after="120" w:afterLines="50" w:line="440" w:lineRule="exact"/>
        <w:jc w:val="left"/>
        <w:rPr>
          <w:rFonts w:hint="eastAsia" w:ascii="宋体" w:hAnsi="宋体"/>
          <w:color w:val="auto"/>
          <w:sz w:val="24"/>
          <w:szCs w:val="24"/>
          <w:highlight w:val="none"/>
        </w:rPr>
      </w:pPr>
    </w:p>
    <w:p w14:paraId="4E61C722">
      <w:pPr>
        <w:spacing w:before="120" w:beforeLines="50" w:after="120" w:afterLines="50" w:line="440" w:lineRule="exact"/>
        <w:jc w:val="left"/>
        <w:rPr>
          <w:rFonts w:hint="eastAsia" w:ascii="宋体" w:hAnsi="宋体"/>
          <w:color w:val="auto"/>
          <w:sz w:val="24"/>
          <w:szCs w:val="24"/>
          <w:highlight w:val="none"/>
        </w:rPr>
      </w:pPr>
    </w:p>
    <w:p w14:paraId="58B26311">
      <w:pPr>
        <w:spacing w:before="120" w:beforeLines="50" w:after="120" w:afterLines="50" w:line="440" w:lineRule="exact"/>
        <w:jc w:val="left"/>
        <w:rPr>
          <w:rFonts w:hint="eastAsia" w:ascii="宋体" w:hAnsi="宋体"/>
          <w:color w:val="auto"/>
          <w:sz w:val="24"/>
          <w:szCs w:val="24"/>
          <w:highlight w:val="none"/>
        </w:rPr>
      </w:pPr>
    </w:p>
    <w:p w14:paraId="0430023F">
      <w:pPr>
        <w:spacing w:before="120" w:beforeLines="50" w:after="120" w:afterLines="50" w:line="440" w:lineRule="exact"/>
        <w:jc w:val="left"/>
        <w:rPr>
          <w:rFonts w:hint="eastAsia" w:ascii="宋体" w:hAnsi="宋体"/>
          <w:color w:val="auto"/>
          <w:sz w:val="24"/>
          <w:szCs w:val="24"/>
          <w:highlight w:val="none"/>
        </w:rPr>
      </w:pPr>
    </w:p>
    <w:p w14:paraId="55C2D86F">
      <w:pPr>
        <w:spacing w:before="120" w:beforeLines="50" w:after="120" w:afterLines="50" w:line="440" w:lineRule="exact"/>
        <w:jc w:val="left"/>
        <w:rPr>
          <w:rFonts w:hint="eastAsia" w:ascii="宋体" w:hAnsi="宋体"/>
          <w:color w:val="auto"/>
          <w:sz w:val="24"/>
          <w:szCs w:val="24"/>
          <w:highlight w:val="none"/>
        </w:rPr>
      </w:pPr>
    </w:p>
    <w:p w14:paraId="79714089">
      <w:pPr>
        <w:spacing w:before="120" w:beforeLines="50" w:after="120" w:afterLines="50" w:line="440" w:lineRule="exact"/>
        <w:jc w:val="left"/>
        <w:rPr>
          <w:rFonts w:hint="eastAsia" w:ascii="宋体" w:hAnsi="宋体"/>
          <w:color w:val="auto"/>
          <w:sz w:val="24"/>
          <w:szCs w:val="24"/>
          <w:highlight w:val="none"/>
        </w:rPr>
      </w:pPr>
    </w:p>
    <w:p w14:paraId="35EEE8C3">
      <w:pPr>
        <w:spacing w:before="120" w:beforeLines="50" w:after="120" w:afterLines="50" w:line="440" w:lineRule="exact"/>
        <w:jc w:val="left"/>
        <w:rPr>
          <w:rFonts w:hint="eastAsia" w:ascii="宋体" w:hAnsi="宋体"/>
          <w:color w:val="auto"/>
          <w:sz w:val="24"/>
          <w:szCs w:val="24"/>
          <w:highlight w:val="none"/>
        </w:rPr>
      </w:pPr>
    </w:p>
    <w:p w14:paraId="579D1475">
      <w:pPr>
        <w:spacing w:before="120" w:beforeLines="50" w:after="120" w:afterLines="50" w:line="440" w:lineRule="exact"/>
        <w:jc w:val="left"/>
        <w:rPr>
          <w:rFonts w:hint="eastAsia" w:ascii="宋体" w:hAnsi="宋体"/>
          <w:color w:val="auto"/>
          <w:sz w:val="24"/>
          <w:szCs w:val="24"/>
          <w:highlight w:val="none"/>
        </w:rPr>
      </w:pPr>
    </w:p>
    <w:p w14:paraId="06B98D29">
      <w:pPr>
        <w:spacing w:before="120" w:beforeLines="50" w:after="120" w:afterLines="50" w:line="440" w:lineRule="exact"/>
        <w:jc w:val="left"/>
        <w:rPr>
          <w:rFonts w:hint="eastAsia" w:ascii="宋体" w:hAnsi="宋体"/>
          <w:color w:val="auto"/>
          <w:sz w:val="24"/>
          <w:szCs w:val="24"/>
          <w:highlight w:val="none"/>
        </w:rPr>
      </w:pPr>
    </w:p>
    <w:p w14:paraId="378BF075">
      <w:pPr>
        <w:spacing w:before="120" w:beforeLines="50" w:after="120" w:afterLines="50" w:line="440" w:lineRule="exact"/>
        <w:jc w:val="left"/>
        <w:rPr>
          <w:rFonts w:hint="eastAsia" w:ascii="宋体" w:hAnsi="宋体"/>
          <w:color w:val="auto"/>
          <w:sz w:val="24"/>
          <w:szCs w:val="24"/>
          <w:highlight w:val="none"/>
        </w:rPr>
      </w:pPr>
    </w:p>
    <w:p w14:paraId="30366A77">
      <w:pPr>
        <w:spacing w:before="120" w:beforeLines="50" w:after="120" w:afterLines="50"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附件1：</w:t>
      </w:r>
    </w:p>
    <w:p w14:paraId="61E9D473">
      <w:pPr>
        <w:spacing w:before="120" w:beforeLines="50" w:after="120" w:afterLines="50" w:line="440" w:lineRule="exact"/>
        <w:jc w:val="center"/>
        <w:rPr>
          <w:rFonts w:hint="eastAsia" w:ascii="Times New Roman" w:hAnsi="Times New Roman" w:eastAsia="黑体"/>
          <w:color w:val="auto"/>
          <w:sz w:val="28"/>
          <w:szCs w:val="28"/>
          <w:highlight w:val="none"/>
        </w:rPr>
      </w:pPr>
      <w:r>
        <w:rPr>
          <w:rFonts w:ascii="Times New Roman" w:hAnsi="Times New Roman" w:eastAsia="黑体"/>
          <w:color w:val="auto"/>
          <w:sz w:val="28"/>
          <w:szCs w:val="28"/>
          <w:highlight w:val="none"/>
        </w:rPr>
        <w:t>承包人承揽工程项目一览表</w:t>
      </w:r>
    </w:p>
    <w:tbl>
      <w:tblPr>
        <w:tblStyle w:val="15"/>
        <w:tblW w:w="985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2"/>
        <w:gridCol w:w="1244"/>
        <w:gridCol w:w="956"/>
        <w:gridCol w:w="1627"/>
        <w:gridCol w:w="574"/>
        <w:gridCol w:w="1053"/>
        <w:gridCol w:w="1339"/>
        <w:gridCol w:w="957"/>
        <w:gridCol w:w="669"/>
        <w:gridCol w:w="574"/>
      </w:tblGrid>
      <w:tr w14:paraId="118663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85" w:hRule="atLeast"/>
        </w:trPr>
        <w:tc>
          <w:tcPr>
            <w:tcW w:w="862" w:type="dxa"/>
            <w:tcBorders>
              <w:top w:val="single" w:color="auto" w:sz="12" w:space="0"/>
              <w:bottom w:val="double" w:color="auto" w:sz="6" w:space="0"/>
            </w:tcBorders>
            <w:noWrap w:val="0"/>
            <w:vAlign w:val="center"/>
          </w:tcPr>
          <w:p w14:paraId="3A7AA487">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单位工程</w:t>
            </w:r>
          </w:p>
          <w:p w14:paraId="22F0EF47">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名称</w:t>
            </w:r>
          </w:p>
        </w:tc>
        <w:tc>
          <w:tcPr>
            <w:tcW w:w="1244" w:type="dxa"/>
            <w:tcBorders>
              <w:top w:val="single" w:color="auto" w:sz="12" w:space="0"/>
              <w:bottom w:val="double" w:color="auto" w:sz="6" w:space="0"/>
            </w:tcBorders>
            <w:noWrap w:val="0"/>
            <w:vAlign w:val="center"/>
          </w:tcPr>
          <w:p w14:paraId="00E2F80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建设规模</w:t>
            </w:r>
          </w:p>
        </w:tc>
        <w:tc>
          <w:tcPr>
            <w:tcW w:w="956" w:type="dxa"/>
            <w:tcBorders>
              <w:top w:val="single" w:color="auto" w:sz="12" w:space="0"/>
              <w:bottom w:val="double" w:color="auto" w:sz="6" w:space="0"/>
            </w:tcBorders>
            <w:noWrap w:val="0"/>
            <w:vAlign w:val="center"/>
          </w:tcPr>
          <w:p w14:paraId="27880362">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建筑面积</w:t>
            </w:r>
          </w:p>
          <w:p w14:paraId="6472E6B6">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(平方米)</w:t>
            </w:r>
          </w:p>
        </w:tc>
        <w:tc>
          <w:tcPr>
            <w:tcW w:w="1627" w:type="dxa"/>
            <w:tcBorders>
              <w:top w:val="single" w:color="auto" w:sz="12" w:space="0"/>
              <w:bottom w:val="double" w:color="auto" w:sz="6" w:space="0"/>
            </w:tcBorders>
            <w:noWrap w:val="0"/>
            <w:vAlign w:val="center"/>
          </w:tcPr>
          <w:p w14:paraId="59DB6E8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结构</w:t>
            </w:r>
            <w:r>
              <w:rPr>
                <w:rFonts w:hint="eastAsia" w:ascii="宋体" w:hAnsi="宋体"/>
                <w:color w:val="auto"/>
                <w:szCs w:val="21"/>
                <w:highlight w:val="none"/>
              </w:rPr>
              <w:t>形式</w:t>
            </w:r>
          </w:p>
        </w:tc>
        <w:tc>
          <w:tcPr>
            <w:tcW w:w="574" w:type="dxa"/>
            <w:tcBorders>
              <w:top w:val="single" w:color="auto" w:sz="12" w:space="0"/>
              <w:bottom w:val="double" w:color="auto" w:sz="6" w:space="0"/>
            </w:tcBorders>
            <w:noWrap w:val="0"/>
            <w:vAlign w:val="center"/>
          </w:tcPr>
          <w:p w14:paraId="401DD0E7">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层数</w:t>
            </w:r>
          </w:p>
        </w:tc>
        <w:tc>
          <w:tcPr>
            <w:tcW w:w="1053" w:type="dxa"/>
            <w:tcBorders>
              <w:top w:val="single" w:color="auto" w:sz="12" w:space="0"/>
              <w:bottom w:val="double" w:color="auto" w:sz="6" w:space="0"/>
            </w:tcBorders>
            <w:noWrap w:val="0"/>
            <w:vAlign w:val="center"/>
          </w:tcPr>
          <w:p w14:paraId="3365B617">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生产能力</w:t>
            </w:r>
          </w:p>
        </w:tc>
        <w:tc>
          <w:tcPr>
            <w:tcW w:w="1339" w:type="dxa"/>
            <w:tcBorders>
              <w:top w:val="single" w:color="auto" w:sz="12" w:space="0"/>
              <w:bottom w:val="double" w:color="auto" w:sz="6" w:space="0"/>
            </w:tcBorders>
            <w:noWrap w:val="0"/>
            <w:vAlign w:val="center"/>
          </w:tcPr>
          <w:p w14:paraId="772DBF24">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设备安装内容</w:t>
            </w:r>
          </w:p>
        </w:tc>
        <w:tc>
          <w:tcPr>
            <w:tcW w:w="957" w:type="dxa"/>
            <w:tcBorders>
              <w:top w:val="single" w:color="auto" w:sz="12" w:space="0"/>
              <w:bottom w:val="double" w:color="auto" w:sz="6" w:space="0"/>
            </w:tcBorders>
            <w:noWrap w:val="0"/>
            <w:vAlign w:val="center"/>
          </w:tcPr>
          <w:p w14:paraId="45929A3E">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合同价格</w:t>
            </w:r>
          </w:p>
          <w:p w14:paraId="46FB789F">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（元）</w:t>
            </w:r>
          </w:p>
        </w:tc>
        <w:tc>
          <w:tcPr>
            <w:tcW w:w="669" w:type="dxa"/>
            <w:tcBorders>
              <w:top w:val="single" w:color="auto" w:sz="12" w:space="0"/>
              <w:bottom w:val="double" w:color="auto" w:sz="6" w:space="0"/>
            </w:tcBorders>
            <w:noWrap w:val="0"/>
            <w:vAlign w:val="center"/>
          </w:tcPr>
          <w:p w14:paraId="46936123">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开工</w:t>
            </w:r>
          </w:p>
          <w:p w14:paraId="7284C9C0">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日期</w:t>
            </w:r>
          </w:p>
        </w:tc>
        <w:tc>
          <w:tcPr>
            <w:tcW w:w="574" w:type="dxa"/>
            <w:tcBorders>
              <w:top w:val="single" w:color="auto" w:sz="12" w:space="0"/>
              <w:bottom w:val="double" w:color="auto" w:sz="6" w:space="0"/>
            </w:tcBorders>
            <w:noWrap w:val="0"/>
            <w:vAlign w:val="center"/>
          </w:tcPr>
          <w:p w14:paraId="1C1A4B71">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竣工</w:t>
            </w:r>
          </w:p>
          <w:p w14:paraId="1BDC6F73">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日期</w:t>
            </w:r>
          </w:p>
        </w:tc>
      </w:tr>
      <w:tr w14:paraId="40F0DD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3" w:hRule="atLeast"/>
        </w:trPr>
        <w:tc>
          <w:tcPr>
            <w:tcW w:w="862" w:type="dxa"/>
            <w:tcBorders>
              <w:top w:val="double" w:color="auto" w:sz="6" w:space="0"/>
              <w:bottom w:val="single" w:color="auto" w:sz="6" w:space="0"/>
            </w:tcBorders>
            <w:noWrap w:val="0"/>
            <w:vAlign w:val="center"/>
          </w:tcPr>
          <w:p w14:paraId="5A118DF1">
            <w:pPr>
              <w:keepNext/>
              <w:spacing w:line="440" w:lineRule="exact"/>
              <w:ind w:left="63" w:right="63"/>
              <w:rPr>
                <w:rFonts w:ascii="Times New Roman" w:hAnsi="Times New Roman" w:eastAsia="仿宋_GB2312"/>
                <w:color w:val="auto"/>
                <w:sz w:val="30"/>
                <w:szCs w:val="30"/>
                <w:highlight w:val="none"/>
              </w:rPr>
            </w:pPr>
          </w:p>
        </w:tc>
        <w:tc>
          <w:tcPr>
            <w:tcW w:w="1244" w:type="dxa"/>
            <w:tcBorders>
              <w:top w:val="double" w:color="auto" w:sz="6" w:space="0"/>
              <w:bottom w:val="single" w:color="auto" w:sz="6" w:space="0"/>
            </w:tcBorders>
            <w:noWrap w:val="0"/>
            <w:vAlign w:val="center"/>
          </w:tcPr>
          <w:p w14:paraId="7605DA9F">
            <w:pPr>
              <w:keepNext/>
              <w:spacing w:line="440" w:lineRule="exact"/>
              <w:ind w:left="63" w:right="63"/>
              <w:rPr>
                <w:rFonts w:ascii="Times New Roman" w:hAnsi="Times New Roman" w:eastAsia="仿宋_GB2312"/>
                <w:color w:val="auto"/>
                <w:sz w:val="30"/>
                <w:szCs w:val="30"/>
                <w:highlight w:val="none"/>
              </w:rPr>
            </w:pPr>
          </w:p>
        </w:tc>
        <w:tc>
          <w:tcPr>
            <w:tcW w:w="956" w:type="dxa"/>
            <w:tcBorders>
              <w:top w:val="double" w:color="auto" w:sz="6" w:space="0"/>
              <w:bottom w:val="single" w:color="auto" w:sz="6" w:space="0"/>
            </w:tcBorders>
            <w:noWrap w:val="0"/>
            <w:vAlign w:val="center"/>
          </w:tcPr>
          <w:p w14:paraId="782D7723">
            <w:pPr>
              <w:keepNext/>
              <w:spacing w:line="440" w:lineRule="exact"/>
              <w:ind w:left="63" w:right="63"/>
              <w:rPr>
                <w:rFonts w:ascii="Times New Roman" w:hAnsi="Times New Roman" w:eastAsia="仿宋_GB2312"/>
                <w:color w:val="auto"/>
                <w:sz w:val="30"/>
                <w:szCs w:val="30"/>
                <w:highlight w:val="none"/>
              </w:rPr>
            </w:pPr>
          </w:p>
        </w:tc>
        <w:tc>
          <w:tcPr>
            <w:tcW w:w="1627" w:type="dxa"/>
            <w:tcBorders>
              <w:top w:val="double" w:color="auto" w:sz="6" w:space="0"/>
              <w:bottom w:val="single" w:color="auto" w:sz="6" w:space="0"/>
            </w:tcBorders>
            <w:noWrap w:val="0"/>
            <w:vAlign w:val="center"/>
          </w:tcPr>
          <w:p w14:paraId="7BCE2CCB">
            <w:pPr>
              <w:keepNext/>
              <w:spacing w:line="440" w:lineRule="exact"/>
              <w:ind w:left="63" w:right="63"/>
              <w:rPr>
                <w:rFonts w:ascii="Times New Roman" w:hAnsi="Times New Roman" w:eastAsia="仿宋_GB2312"/>
                <w:color w:val="auto"/>
                <w:sz w:val="30"/>
                <w:szCs w:val="30"/>
                <w:highlight w:val="none"/>
              </w:rPr>
            </w:pPr>
          </w:p>
        </w:tc>
        <w:tc>
          <w:tcPr>
            <w:tcW w:w="574" w:type="dxa"/>
            <w:tcBorders>
              <w:top w:val="double" w:color="auto" w:sz="6" w:space="0"/>
              <w:bottom w:val="single" w:color="auto" w:sz="6" w:space="0"/>
            </w:tcBorders>
            <w:noWrap w:val="0"/>
            <w:vAlign w:val="center"/>
          </w:tcPr>
          <w:p w14:paraId="516494FA">
            <w:pPr>
              <w:keepNext/>
              <w:spacing w:line="440" w:lineRule="exact"/>
              <w:ind w:left="63" w:right="63"/>
              <w:rPr>
                <w:rFonts w:ascii="Times New Roman" w:hAnsi="Times New Roman" w:eastAsia="仿宋_GB2312"/>
                <w:color w:val="auto"/>
                <w:sz w:val="30"/>
                <w:szCs w:val="30"/>
                <w:highlight w:val="none"/>
              </w:rPr>
            </w:pPr>
          </w:p>
        </w:tc>
        <w:tc>
          <w:tcPr>
            <w:tcW w:w="1053" w:type="dxa"/>
            <w:tcBorders>
              <w:top w:val="double" w:color="auto" w:sz="6" w:space="0"/>
              <w:bottom w:val="single" w:color="auto" w:sz="6" w:space="0"/>
            </w:tcBorders>
            <w:noWrap w:val="0"/>
            <w:vAlign w:val="center"/>
          </w:tcPr>
          <w:p w14:paraId="1DA7BE26">
            <w:pPr>
              <w:keepNext/>
              <w:spacing w:line="440" w:lineRule="exact"/>
              <w:ind w:left="63" w:right="63"/>
              <w:rPr>
                <w:rFonts w:ascii="Times New Roman" w:hAnsi="Times New Roman" w:eastAsia="仿宋_GB2312"/>
                <w:color w:val="auto"/>
                <w:sz w:val="30"/>
                <w:szCs w:val="30"/>
                <w:highlight w:val="none"/>
              </w:rPr>
            </w:pPr>
          </w:p>
        </w:tc>
        <w:tc>
          <w:tcPr>
            <w:tcW w:w="1339" w:type="dxa"/>
            <w:tcBorders>
              <w:top w:val="double" w:color="auto" w:sz="6" w:space="0"/>
              <w:bottom w:val="single" w:color="auto" w:sz="6" w:space="0"/>
            </w:tcBorders>
            <w:noWrap w:val="0"/>
            <w:vAlign w:val="center"/>
          </w:tcPr>
          <w:p w14:paraId="73E148AC">
            <w:pPr>
              <w:keepNext/>
              <w:spacing w:line="440" w:lineRule="exact"/>
              <w:ind w:left="63" w:right="63"/>
              <w:rPr>
                <w:rFonts w:ascii="Times New Roman" w:hAnsi="Times New Roman" w:eastAsia="仿宋_GB2312"/>
                <w:color w:val="auto"/>
                <w:sz w:val="30"/>
                <w:szCs w:val="30"/>
                <w:highlight w:val="none"/>
              </w:rPr>
            </w:pPr>
          </w:p>
        </w:tc>
        <w:tc>
          <w:tcPr>
            <w:tcW w:w="957" w:type="dxa"/>
            <w:tcBorders>
              <w:top w:val="double" w:color="auto" w:sz="6" w:space="0"/>
              <w:bottom w:val="single" w:color="auto" w:sz="6" w:space="0"/>
            </w:tcBorders>
            <w:noWrap w:val="0"/>
            <w:vAlign w:val="center"/>
          </w:tcPr>
          <w:p w14:paraId="5C761D60">
            <w:pPr>
              <w:keepNext/>
              <w:spacing w:line="440" w:lineRule="exact"/>
              <w:ind w:left="63" w:right="63"/>
              <w:rPr>
                <w:rFonts w:ascii="Times New Roman" w:hAnsi="Times New Roman" w:eastAsia="仿宋_GB2312"/>
                <w:color w:val="auto"/>
                <w:sz w:val="30"/>
                <w:szCs w:val="30"/>
                <w:highlight w:val="none"/>
              </w:rPr>
            </w:pPr>
          </w:p>
        </w:tc>
        <w:tc>
          <w:tcPr>
            <w:tcW w:w="669" w:type="dxa"/>
            <w:tcBorders>
              <w:top w:val="double" w:color="auto" w:sz="6" w:space="0"/>
              <w:bottom w:val="single" w:color="auto" w:sz="6" w:space="0"/>
            </w:tcBorders>
            <w:noWrap w:val="0"/>
            <w:vAlign w:val="center"/>
          </w:tcPr>
          <w:p w14:paraId="1B517E18">
            <w:pPr>
              <w:keepNext/>
              <w:spacing w:line="440" w:lineRule="exact"/>
              <w:ind w:left="63" w:right="63"/>
              <w:rPr>
                <w:rFonts w:ascii="Times New Roman" w:hAnsi="Times New Roman" w:eastAsia="仿宋_GB2312"/>
                <w:color w:val="auto"/>
                <w:sz w:val="30"/>
                <w:szCs w:val="30"/>
                <w:highlight w:val="none"/>
              </w:rPr>
            </w:pPr>
          </w:p>
        </w:tc>
        <w:tc>
          <w:tcPr>
            <w:tcW w:w="574" w:type="dxa"/>
            <w:tcBorders>
              <w:top w:val="double" w:color="auto" w:sz="6" w:space="0"/>
              <w:bottom w:val="single" w:color="auto" w:sz="6" w:space="0"/>
            </w:tcBorders>
            <w:noWrap w:val="0"/>
            <w:vAlign w:val="center"/>
          </w:tcPr>
          <w:p w14:paraId="6B0BA3C9">
            <w:pPr>
              <w:keepNext/>
              <w:spacing w:line="440" w:lineRule="exact"/>
              <w:ind w:left="63" w:right="63"/>
              <w:rPr>
                <w:rFonts w:ascii="Times New Roman" w:hAnsi="Times New Roman" w:eastAsia="仿宋_GB2312"/>
                <w:color w:val="auto"/>
                <w:sz w:val="30"/>
                <w:szCs w:val="30"/>
                <w:highlight w:val="none"/>
              </w:rPr>
            </w:pPr>
          </w:p>
        </w:tc>
      </w:tr>
      <w:tr w14:paraId="332BE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tcBorders>
              <w:top w:val="nil"/>
            </w:tcBorders>
            <w:noWrap w:val="0"/>
            <w:vAlign w:val="center"/>
          </w:tcPr>
          <w:p w14:paraId="169FA80A">
            <w:pPr>
              <w:keepNext/>
              <w:spacing w:line="440" w:lineRule="exact"/>
              <w:ind w:left="63" w:right="63"/>
              <w:rPr>
                <w:rFonts w:ascii="Times New Roman" w:hAnsi="Times New Roman" w:eastAsia="仿宋_GB2312"/>
                <w:color w:val="auto"/>
                <w:sz w:val="30"/>
                <w:szCs w:val="30"/>
                <w:highlight w:val="none"/>
              </w:rPr>
            </w:pPr>
          </w:p>
        </w:tc>
        <w:tc>
          <w:tcPr>
            <w:tcW w:w="1244" w:type="dxa"/>
            <w:tcBorders>
              <w:top w:val="nil"/>
            </w:tcBorders>
            <w:noWrap w:val="0"/>
            <w:vAlign w:val="center"/>
          </w:tcPr>
          <w:p w14:paraId="7975EC33">
            <w:pPr>
              <w:keepNext/>
              <w:spacing w:line="440" w:lineRule="exact"/>
              <w:ind w:left="63" w:right="63"/>
              <w:rPr>
                <w:rFonts w:ascii="Times New Roman" w:hAnsi="Times New Roman" w:eastAsia="仿宋_GB2312"/>
                <w:color w:val="auto"/>
                <w:sz w:val="30"/>
                <w:szCs w:val="30"/>
                <w:highlight w:val="none"/>
              </w:rPr>
            </w:pPr>
          </w:p>
        </w:tc>
        <w:tc>
          <w:tcPr>
            <w:tcW w:w="956" w:type="dxa"/>
            <w:tcBorders>
              <w:top w:val="nil"/>
            </w:tcBorders>
            <w:noWrap w:val="0"/>
            <w:vAlign w:val="center"/>
          </w:tcPr>
          <w:p w14:paraId="19974E08">
            <w:pPr>
              <w:keepNext/>
              <w:spacing w:line="440" w:lineRule="exact"/>
              <w:ind w:left="63" w:right="63"/>
              <w:rPr>
                <w:rFonts w:ascii="Times New Roman" w:hAnsi="Times New Roman" w:eastAsia="仿宋_GB2312"/>
                <w:color w:val="auto"/>
                <w:sz w:val="30"/>
                <w:szCs w:val="30"/>
                <w:highlight w:val="none"/>
              </w:rPr>
            </w:pPr>
          </w:p>
        </w:tc>
        <w:tc>
          <w:tcPr>
            <w:tcW w:w="1627" w:type="dxa"/>
            <w:tcBorders>
              <w:top w:val="nil"/>
            </w:tcBorders>
            <w:noWrap w:val="0"/>
            <w:vAlign w:val="center"/>
          </w:tcPr>
          <w:p w14:paraId="633B2836">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4A2756E4">
            <w:pPr>
              <w:keepNext/>
              <w:spacing w:line="440" w:lineRule="exact"/>
              <w:ind w:left="63" w:right="63"/>
              <w:rPr>
                <w:rFonts w:ascii="Times New Roman" w:hAnsi="Times New Roman" w:eastAsia="仿宋_GB2312"/>
                <w:color w:val="auto"/>
                <w:sz w:val="30"/>
                <w:szCs w:val="30"/>
                <w:highlight w:val="none"/>
              </w:rPr>
            </w:pPr>
          </w:p>
        </w:tc>
        <w:tc>
          <w:tcPr>
            <w:tcW w:w="1053" w:type="dxa"/>
            <w:tcBorders>
              <w:top w:val="nil"/>
            </w:tcBorders>
            <w:noWrap w:val="0"/>
            <w:vAlign w:val="center"/>
          </w:tcPr>
          <w:p w14:paraId="070DEBE4">
            <w:pPr>
              <w:keepNext/>
              <w:spacing w:line="440" w:lineRule="exact"/>
              <w:ind w:left="63" w:right="63"/>
              <w:rPr>
                <w:rFonts w:ascii="Times New Roman" w:hAnsi="Times New Roman" w:eastAsia="仿宋_GB2312"/>
                <w:color w:val="auto"/>
                <w:sz w:val="30"/>
                <w:szCs w:val="30"/>
                <w:highlight w:val="none"/>
              </w:rPr>
            </w:pPr>
          </w:p>
        </w:tc>
        <w:tc>
          <w:tcPr>
            <w:tcW w:w="1339" w:type="dxa"/>
            <w:tcBorders>
              <w:top w:val="nil"/>
            </w:tcBorders>
            <w:noWrap w:val="0"/>
            <w:vAlign w:val="center"/>
          </w:tcPr>
          <w:p w14:paraId="2B08F3A2">
            <w:pPr>
              <w:keepNext/>
              <w:spacing w:line="440" w:lineRule="exact"/>
              <w:ind w:left="63" w:right="63"/>
              <w:rPr>
                <w:rFonts w:ascii="Times New Roman" w:hAnsi="Times New Roman" w:eastAsia="仿宋_GB2312"/>
                <w:color w:val="auto"/>
                <w:sz w:val="30"/>
                <w:szCs w:val="30"/>
                <w:highlight w:val="none"/>
              </w:rPr>
            </w:pPr>
          </w:p>
        </w:tc>
        <w:tc>
          <w:tcPr>
            <w:tcW w:w="957" w:type="dxa"/>
            <w:tcBorders>
              <w:top w:val="nil"/>
            </w:tcBorders>
            <w:noWrap w:val="0"/>
            <w:vAlign w:val="center"/>
          </w:tcPr>
          <w:p w14:paraId="231E3E65">
            <w:pPr>
              <w:keepNext/>
              <w:spacing w:line="440" w:lineRule="exact"/>
              <w:ind w:left="63" w:right="63"/>
              <w:rPr>
                <w:rFonts w:ascii="Times New Roman" w:hAnsi="Times New Roman" w:eastAsia="仿宋_GB2312"/>
                <w:color w:val="auto"/>
                <w:sz w:val="30"/>
                <w:szCs w:val="30"/>
                <w:highlight w:val="none"/>
              </w:rPr>
            </w:pPr>
          </w:p>
        </w:tc>
        <w:tc>
          <w:tcPr>
            <w:tcW w:w="669" w:type="dxa"/>
            <w:tcBorders>
              <w:top w:val="nil"/>
            </w:tcBorders>
            <w:noWrap w:val="0"/>
            <w:vAlign w:val="center"/>
          </w:tcPr>
          <w:p w14:paraId="0AA7BD58">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7D78DBAB">
            <w:pPr>
              <w:keepNext/>
              <w:spacing w:line="440" w:lineRule="exact"/>
              <w:ind w:left="63" w:right="63"/>
              <w:rPr>
                <w:rFonts w:ascii="Times New Roman" w:hAnsi="Times New Roman" w:eastAsia="仿宋_GB2312"/>
                <w:color w:val="auto"/>
                <w:sz w:val="30"/>
                <w:szCs w:val="30"/>
                <w:highlight w:val="none"/>
              </w:rPr>
            </w:pPr>
          </w:p>
        </w:tc>
      </w:tr>
      <w:tr w14:paraId="217C0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tcBorders>
              <w:top w:val="nil"/>
            </w:tcBorders>
            <w:noWrap w:val="0"/>
            <w:vAlign w:val="center"/>
          </w:tcPr>
          <w:p w14:paraId="021060F9">
            <w:pPr>
              <w:keepNext/>
              <w:spacing w:line="440" w:lineRule="exact"/>
              <w:ind w:left="63" w:right="63"/>
              <w:rPr>
                <w:rFonts w:ascii="Times New Roman" w:hAnsi="Times New Roman" w:eastAsia="仿宋_GB2312"/>
                <w:color w:val="auto"/>
                <w:sz w:val="30"/>
                <w:szCs w:val="30"/>
                <w:highlight w:val="none"/>
              </w:rPr>
            </w:pPr>
          </w:p>
        </w:tc>
        <w:tc>
          <w:tcPr>
            <w:tcW w:w="1244" w:type="dxa"/>
            <w:tcBorders>
              <w:top w:val="nil"/>
            </w:tcBorders>
            <w:noWrap w:val="0"/>
            <w:vAlign w:val="center"/>
          </w:tcPr>
          <w:p w14:paraId="3318F4EA">
            <w:pPr>
              <w:keepNext/>
              <w:spacing w:line="440" w:lineRule="exact"/>
              <w:ind w:left="63" w:right="63"/>
              <w:rPr>
                <w:rFonts w:ascii="Times New Roman" w:hAnsi="Times New Roman" w:eastAsia="仿宋_GB2312"/>
                <w:color w:val="auto"/>
                <w:sz w:val="30"/>
                <w:szCs w:val="30"/>
                <w:highlight w:val="none"/>
              </w:rPr>
            </w:pPr>
          </w:p>
        </w:tc>
        <w:tc>
          <w:tcPr>
            <w:tcW w:w="956" w:type="dxa"/>
            <w:tcBorders>
              <w:top w:val="nil"/>
            </w:tcBorders>
            <w:noWrap w:val="0"/>
            <w:vAlign w:val="center"/>
          </w:tcPr>
          <w:p w14:paraId="3F313B4D">
            <w:pPr>
              <w:keepNext/>
              <w:spacing w:line="440" w:lineRule="exact"/>
              <w:ind w:left="63" w:right="63"/>
              <w:rPr>
                <w:rFonts w:ascii="Times New Roman" w:hAnsi="Times New Roman" w:eastAsia="仿宋_GB2312"/>
                <w:color w:val="auto"/>
                <w:sz w:val="30"/>
                <w:szCs w:val="30"/>
                <w:highlight w:val="none"/>
              </w:rPr>
            </w:pPr>
          </w:p>
        </w:tc>
        <w:tc>
          <w:tcPr>
            <w:tcW w:w="1627" w:type="dxa"/>
            <w:tcBorders>
              <w:top w:val="nil"/>
            </w:tcBorders>
            <w:noWrap w:val="0"/>
            <w:vAlign w:val="center"/>
          </w:tcPr>
          <w:p w14:paraId="1CB7E718">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24F493DE">
            <w:pPr>
              <w:keepNext/>
              <w:spacing w:line="440" w:lineRule="exact"/>
              <w:ind w:left="63" w:right="63"/>
              <w:rPr>
                <w:rFonts w:ascii="Times New Roman" w:hAnsi="Times New Roman" w:eastAsia="仿宋_GB2312"/>
                <w:color w:val="auto"/>
                <w:sz w:val="30"/>
                <w:szCs w:val="30"/>
                <w:highlight w:val="none"/>
              </w:rPr>
            </w:pPr>
          </w:p>
        </w:tc>
        <w:tc>
          <w:tcPr>
            <w:tcW w:w="1053" w:type="dxa"/>
            <w:tcBorders>
              <w:top w:val="nil"/>
            </w:tcBorders>
            <w:noWrap w:val="0"/>
            <w:vAlign w:val="center"/>
          </w:tcPr>
          <w:p w14:paraId="4F68FB7B">
            <w:pPr>
              <w:keepNext/>
              <w:spacing w:line="440" w:lineRule="exact"/>
              <w:ind w:left="63" w:right="63"/>
              <w:rPr>
                <w:rFonts w:ascii="Times New Roman" w:hAnsi="Times New Roman" w:eastAsia="仿宋_GB2312"/>
                <w:color w:val="auto"/>
                <w:sz w:val="30"/>
                <w:szCs w:val="30"/>
                <w:highlight w:val="none"/>
              </w:rPr>
            </w:pPr>
          </w:p>
        </w:tc>
        <w:tc>
          <w:tcPr>
            <w:tcW w:w="1339" w:type="dxa"/>
            <w:tcBorders>
              <w:top w:val="nil"/>
            </w:tcBorders>
            <w:noWrap w:val="0"/>
            <w:vAlign w:val="center"/>
          </w:tcPr>
          <w:p w14:paraId="0661C7A8">
            <w:pPr>
              <w:keepNext/>
              <w:spacing w:line="440" w:lineRule="exact"/>
              <w:ind w:left="63" w:right="63"/>
              <w:rPr>
                <w:rFonts w:ascii="Times New Roman" w:hAnsi="Times New Roman" w:eastAsia="仿宋_GB2312"/>
                <w:color w:val="auto"/>
                <w:sz w:val="30"/>
                <w:szCs w:val="30"/>
                <w:highlight w:val="none"/>
              </w:rPr>
            </w:pPr>
          </w:p>
        </w:tc>
        <w:tc>
          <w:tcPr>
            <w:tcW w:w="957" w:type="dxa"/>
            <w:tcBorders>
              <w:top w:val="nil"/>
            </w:tcBorders>
            <w:noWrap w:val="0"/>
            <w:vAlign w:val="center"/>
          </w:tcPr>
          <w:p w14:paraId="77B1DD46">
            <w:pPr>
              <w:keepNext/>
              <w:spacing w:line="440" w:lineRule="exact"/>
              <w:ind w:left="63" w:right="63"/>
              <w:rPr>
                <w:rFonts w:ascii="Times New Roman" w:hAnsi="Times New Roman" w:eastAsia="仿宋_GB2312"/>
                <w:color w:val="auto"/>
                <w:sz w:val="30"/>
                <w:szCs w:val="30"/>
                <w:highlight w:val="none"/>
              </w:rPr>
            </w:pPr>
          </w:p>
        </w:tc>
        <w:tc>
          <w:tcPr>
            <w:tcW w:w="669" w:type="dxa"/>
            <w:tcBorders>
              <w:top w:val="nil"/>
            </w:tcBorders>
            <w:noWrap w:val="0"/>
            <w:vAlign w:val="center"/>
          </w:tcPr>
          <w:p w14:paraId="0D2458B0">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4B648E8E">
            <w:pPr>
              <w:keepNext/>
              <w:spacing w:line="440" w:lineRule="exact"/>
              <w:ind w:left="63" w:right="63"/>
              <w:rPr>
                <w:rFonts w:ascii="Times New Roman" w:hAnsi="Times New Roman" w:eastAsia="仿宋_GB2312"/>
                <w:color w:val="auto"/>
                <w:sz w:val="30"/>
                <w:szCs w:val="30"/>
                <w:highlight w:val="none"/>
              </w:rPr>
            </w:pPr>
          </w:p>
        </w:tc>
      </w:tr>
      <w:tr w14:paraId="1A37A7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noWrap w:val="0"/>
            <w:vAlign w:val="center"/>
          </w:tcPr>
          <w:p w14:paraId="5C54F316">
            <w:pPr>
              <w:keepNext/>
              <w:spacing w:line="440" w:lineRule="exact"/>
              <w:ind w:left="63" w:right="63"/>
              <w:rPr>
                <w:rFonts w:ascii="Times New Roman" w:hAnsi="Times New Roman" w:eastAsia="仿宋_GB2312"/>
                <w:color w:val="auto"/>
                <w:sz w:val="30"/>
                <w:szCs w:val="30"/>
                <w:highlight w:val="none"/>
              </w:rPr>
            </w:pPr>
          </w:p>
        </w:tc>
        <w:tc>
          <w:tcPr>
            <w:tcW w:w="1244" w:type="dxa"/>
            <w:noWrap w:val="0"/>
            <w:vAlign w:val="center"/>
          </w:tcPr>
          <w:p w14:paraId="732D5151">
            <w:pPr>
              <w:keepNext/>
              <w:spacing w:line="440" w:lineRule="exact"/>
              <w:ind w:left="63" w:right="63"/>
              <w:rPr>
                <w:rFonts w:ascii="Times New Roman" w:hAnsi="Times New Roman" w:eastAsia="仿宋_GB2312"/>
                <w:color w:val="auto"/>
                <w:sz w:val="30"/>
                <w:szCs w:val="30"/>
                <w:highlight w:val="none"/>
              </w:rPr>
            </w:pPr>
          </w:p>
        </w:tc>
        <w:tc>
          <w:tcPr>
            <w:tcW w:w="956" w:type="dxa"/>
            <w:noWrap w:val="0"/>
            <w:vAlign w:val="center"/>
          </w:tcPr>
          <w:p w14:paraId="65A374D8">
            <w:pPr>
              <w:keepNext/>
              <w:spacing w:line="440" w:lineRule="exact"/>
              <w:ind w:left="63" w:right="63"/>
              <w:rPr>
                <w:rFonts w:ascii="Times New Roman" w:hAnsi="Times New Roman" w:eastAsia="仿宋_GB2312"/>
                <w:color w:val="auto"/>
                <w:sz w:val="30"/>
                <w:szCs w:val="30"/>
                <w:highlight w:val="none"/>
              </w:rPr>
            </w:pPr>
          </w:p>
        </w:tc>
        <w:tc>
          <w:tcPr>
            <w:tcW w:w="1627" w:type="dxa"/>
            <w:noWrap w:val="0"/>
            <w:vAlign w:val="center"/>
          </w:tcPr>
          <w:p w14:paraId="7DD2F850">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05AB60FB">
            <w:pPr>
              <w:keepNext/>
              <w:spacing w:line="440" w:lineRule="exact"/>
              <w:ind w:left="63" w:right="63"/>
              <w:rPr>
                <w:rFonts w:ascii="Times New Roman" w:hAnsi="Times New Roman" w:eastAsia="仿宋_GB2312"/>
                <w:color w:val="auto"/>
                <w:sz w:val="30"/>
                <w:szCs w:val="30"/>
                <w:highlight w:val="none"/>
              </w:rPr>
            </w:pPr>
          </w:p>
        </w:tc>
        <w:tc>
          <w:tcPr>
            <w:tcW w:w="1053" w:type="dxa"/>
            <w:noWrap w:val="0"/>
            <w:vAlign w:val="center"/>
          </w:tcPr>
          <w:p w14:paraId="7F070200">
            <w:pPr>
              <w:keepNext/>
              <w:spacing w:line="440" w:lineRule="exact"/>
              <w:ind w:left="63" w:right="63"/>
              <w:rPr>
                <w:rFonts w:ascii="Times New Roman" w:hAnsi="Times New Roman" w:eastAsia="仿宋_GB2312"/>
                <w:color w:val="auto"/>
                <w:sz w:val="30"/>
                <w:szCs w:val="30"/>
                <w:highlight w:val="none"/>
              </w:rPr>
            </w:pPr>
          </w:p>
        </w:tc>
        <w:tc>
          <w:tcPr>
            <w:tcW w:w="1339" w:type="dxa"/>
            <w:noWrap w:val="0"/>
            <w:vAlign w:val="center"/>
          </w:tcPr>
          <w:p w14:paraId="57119B75">
            <w:pPr>
              <w:keepNext/>
              <w:spacing w:line="440" w:lineRule="exact"/>
              <w:ind w:left="63" w:right="63"/>
              <w:rPr>
                <w:rFonts w:ascii="Times New Roman" w:hAnsi="Times New Roman" w:eastAsia="仿宋_GB2312"/>
                <w:color w:val="auto"/>
                <w:sz w:val="30"/>
                <w:szCs w:val="30"/>
                <w:highlight w:val="none"/>
              </w:rPr>
            </w:pPr>
          </w:p>
        </w:tc>
        <w:tc>
          <w:tcPr>
            <w:tcW w:w="957" w:type="dxa"/>
            <w:noWrap w:val="0"/>
            <w:vAlign w:val="center"/>
          </w:tcPr>
          <w:p w14:paraId="674415F3">
            <w:pPr>
              <w:keepNext/>
              <w:spacing w:line="440" w:lineRule="exact"/>
              <w:ind w:left="63" w:right="63"/>
              <w:rPr>
                <w:rFonts w:ascii="Times New Roman" w:hAnsi="Times New Roman" w:eastAsia="仿宋_GB2312"/>
                <w:color w:val="auto"/>
                <w:sz w:val="30"/>
                <w:szCs w:val="30"/>
                <w:highlight w:val="none"/>
              </w:rPr>
            </w:pPr>
          </w:p>
        </w:tc>
        <w:tc>
          <w:tcPr>
            <w:tcW w:w="669" w:type="dxa"/>
            <w:noWrap w:val="0"/>
            <w:vAlign w:val="center"/>
          </w:tcPr>
          <w:p w14:paraId="7BD414A8">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72DB7BCA">
            <w:pPr>
              <w:keepNext/>
              <w:spacing w:line="440" w:lineRule="exact"/>
              <w:ind w:left="63" w:right="63"/>
              <w:rPr>
                <w:rFonts w:ascii="Times New Roman" w:hAnsi="Times New Roman" w:eastAsia="仿宋_GB2312"/>
                <w:color w:val="auto"/>
                <w:sz w:val="30"/>
                <w:szCs w:val="30"/>
                <w:highlight w:val="none"/>
              </w:rPr>
            </w:pPr>
          </w:p>
        </w:tc>
      </w:tr>
      <w:tr w14:paraId="776DD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tcBorders>
              <w:top w:val="nil"/>
            </w:tcBorders>
            <w:noWrap w:val="0"/>
            <w:vAlign w:val="center"/>
          </w:tcPr>
          <w:p w14:paraId="79E78C3D">
            <w:pPr>
              <w:keepNext/>
              <w:spacing w:line="440" w:lineRule="exact"/>
              <w:ind w:left="63" w:right="63"/>
              <w:rPr>
                <w:rFonts w:ascii="Times New Roman" w:hAnsi="Times New Roman" w:eastAsia="仿宋_GB2312"/>
                <w:color w:val="auto"/>
                <w:sz w:val="30"/>
                <w:szCs w:val="30"/>
                <w:highlight w:val="none"/>
              </w:rPr>
            </w:pPr>
          </w:p>
        </w:tc>
        <w:tc>
          <w:tcPr>
            <w:tcW w:w="1244" w:type="dxa"/>
            <w:tcBorders>
              <w:top w:val="nil"/>
            </w:tcBorders>
            <w:noWrap w:val="0"/>
            <w:vAlign w:val="center"/>
          </w:tcPr>
          <w:p w14:paraId="3B71D6AD">
            <w:pPr>
              <w:keepNext/>
              <w:spacing w:line="440" w:lineRule="exact"/>
              <w:ind w:left="63" w:right="63"/>
              <w:rPr>
                <w:rFonts w:ascii="Times New Roman" w:hAnsi="Times New Roman" w:eastAsia="仿宋_GB2312"/>
                <w:color w:val="auto"/>
                <w:sz w:val="30"/>
                <w:szCs w:val="30"/>
                <w:highlight w:val="none"/>
              </w:rPr>
            </w:pPr>
          </w:p>
        </w:tc>
        <w:tc>
          <w:tcPr>
            <w:tcW w:w="956" w:type="dxa"/>
            <w:tcBorders>
              <w:top w:val="nil"/>
            </w:tcBorders>
            <w:noWrap w:val="0"/>
            <w:vAlign w:val="center"/>
          </w:tcPr>
          <w:p w14:paraId="0E9EC8DC">
            <w:pPr>
              <w:keepNext/>
              <w:spacing w:line="440" w:lineRule="exact"/>
              <w:ind w:left="63" w:right="63"/>
              <w:rPr>
                <w:rFonts w:ascii="Times New Roman" w:hAnsi="Times New Roman" w:eastAsia="仿宋_GB2312"/>
                <w:color w:val="auto"/>
                <w:sz w:val="30"/>
                <w:szCs w:val="30"/>
                <w:highlight w:val="none"/>
              </w:rPr>
            </w:pPr>
          </w:p>
        </w:tc>
        <w:tc>
          <w:tcPr>
            <w:tcW w:w="1627" w:type="dxa"/>
            <w:tcBorders>
              <w:top w:val="nil"/>
            </w:tcBorders>
            <w:noWrap w:val="0"/>
            <w:vAlign w:val="center"/>
          </w:tcPr>
          <w:p w14:paraId="091D17B1">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21A2D354">
            <w:pPr>
              <w:keepNext/>
              <w:spacing w:line="440" w:lineRule="exact"/>
              <w:ind w:left="63" w:right="63"/>
              <w:rPr>
                <w:rFonts w:ascii="Times New Roman" w:hAnsi="Times New Roman" w:eastAsia="仿宋_GB2312"/>
                <w:color w:val="auto"/>
                <w:sz w:val="30"/>
                <w:szCs w:val="30"/>
                <w:highlight w:val="none"/>
              </w:rPr>
            </w:pPr>
          </w:p>
        </w:tc>
        <w:tc>
          <w:tcPr>
            <w:tcW w:w="1053" w:type="dxa"/>
            <w:tcBorders>
              <w:top w:val="nil"/>
            </w:tcBorders>
            <w:noWrap w:val="0"/>
            <w:vAlign w:val="center"/>
          </w:tcPr>
          <w:p w14:paraId="5A8E3D06">
            <w:pPr>
              <w:keepNext/>
              <w:spacing w:line="440" w:lineRule="exact"/>
              <w:ind w:left="63" w:right="63"/>
              <w:rPr>
                <w:rFonts w:ascii="Times New Roman" w:hAnsi="Times New Roman" w:eastAsia="仿宋_GB2312"/>
                <w:color w:val="auto"/>
                <w:sz w:val="30"/>
                <w:szCs w:val="30"/>
                <w:highlight w:val="none"/>
              </w:rPr>
            </w:pPr>
          </w:p>
        </w:tc>
        <w:tc>
          <w:tcPr>
            <w:tcW w:w="1339" w:type="dxa"/>
            <w:tcBorders>
              <w:top w:val="nil"/>
            </w:tcBorders>
            <w:noWrap w:val="0"/>
            <w:vAlign w:val="center"/>
          </w:tcPr>
          <w:p w14:paraId="644F2F2F">
            <w:pPr>
              <w:keepNext/>
              <w:spacing w:line="440" w:lineRule="exact"/>
              <w:ind w:left="63" w:right="63"/>
              <w:rPr>
                <w:rFonts w:ascii="Times New Roman" w:hAnsi="Times New Roman" w:eastAsia="仿宋_GB2312"/>
                <w:color w:val="auto"/>
                <w:sz w:val="30"/>
                <w:szCs w:val="30"/>
                <w:highlight w:val="none"/>
              </w:rPr>
            </w:pPr>
          </w:p>
        </w:tc>
        <w:tc>
          <w:tcPr>
            <w:tcW w:w="957" w:type="dxa"/>
            <w:tcBorders>
              <w:top w:val="nil"/>
            </w:tcBorders>
            <w:noWrap w:val="0"/>
            <w:vAlign w:val="center"/>
          </w:tcPr>
          <w:p w14:paraId="1976BC6D">
            <w:pPr>
              <w:keepNext/>
              <w:spacing w:line="440" w:lineRule="exact"/>
              <w:ind w:left="63" w:right="63"/>
              <w:rPr>
                <w:rFonts w:ascii="Times New Roman" w:hAnsi="Times New Roman" w:eastAsia="仿宋_GB2312"/>
                <w:color w:val="auto"/>
                <w:sz w:val="30"/>
                <w:szCs w:val="30"/>
                <w:highlight w:val="none"/>
              </w:rPr>
            </w:pPr>
          </w:p>
        </w:tc>
        <w:tc>
          <w:tcPr>
            <w:tcW w:w="669" w:type="dxa"/>
            <w:tcBorders>
              <w:top w:val="nil"/>
            </w:tcBorders>
            <w:noWrap w:val="0"/>
            <w:vAlign w:val="center"/>
          </w:tcPr>
          <w:p w14:paraId="3D6E48E6">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38BAD4D4">
            <w:pPr>
              <w:keepNext/>
              <w:spacing w:line="440" w:lineRule="exact"/>
              <w:ind w:left="63" w:right="63"/>
              <w:rPr>
                <w:rFonts w:ascii="Times New Roman" w:hAnsi="Times New Roman" w:eastAsia="仿宋_GB2312"/>
                <w:color w:val="auto"/>
                <w:sz w:val="30"/>
                <w:szCs w:val="30"/>
                <w:highlight w:val="none"/>
              </w:rPr>
            </w:pPr>
          </w:p>
        </w:tc>
      </w:tr>
      <w:tr w14:paraId="223C43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noWrap w:val="0"/>
            <w:vAlign w:val="center"/>
          </w:tcPr>
          <w:p w14:paraId="6BE9DB67">
            <w:pPr>
              <w:keepNext/>
              <w:spacing w:line="440" w:lineRule="exact"/>
              <w:ind w:left="63" w:right="63"/>
              <w:rPr>
                <w:rFonts w:ascii="Times New Roman" w:hAnsi="Times New Roman" w:eastAsia="仿宋_GB2312"/>
                <w:color w:val="auto"/>
                <w:sz w:val="30"/>
                <w:szCs w:val="30"/>
                <w:highlight w:val="none"/>
              </w:rPr>
            </w:pPr>
          </w:p>
        </w:tc>
        <w:tc>
          <w:tcPr>
            <w:tcW w:w="1244" w:type="dxa"/>
            <w:noWrap w:val="0"/>
            <w:vAlign w:val="center"/>
          </w:tcPr>
          <w:p w14:paraId="3112AC05">
            <w:pPr>
              <w:keepNext/>
              <w:spacing w:line="440" w:lineRule="exact"/>
              <w:ind w:left="63" w:right="63"/>
              <w:rPr>
                <w:rFonts w:ascii="Times New Roman" w:hAnsi="Times New Roman" w:eastAsia="仿宋_GB2312"/>
                <w:color w:val="auto"/>
                <w:sz w:val="30"/>
                <w:szCs w:val="30"/>
                <w:highlight w:val="none"/>
              </w:rPr>
            </w:pPr>
          </w:p>
        </w:tc>
        <w:tc>
          <w:tcPr>
            <w:tcW w:w="956" w:type="dxa"/>
            <w:noWrap w:val="0"/>
            <w:vAlign w:val="center"/>
          </w:tcPr>
          <w:p w14:paraId="3C179B82">
            <w:pPr>
              <w:keepNext/>
              <w:spacing w:line="440" w:lineRule="exact"/>
              <w:ind w:left="63" w:right="63"/>
              <w:rPr>
                <w:rFonts w:ascii="Times New Roman" w:hAnsi="Times New Roman" w:eastAsia="仿宋_GB2312"/>
                <w:color w:val="auto"/>
                <w:sz w:val="30"/>
                <w:szCs w:val="30"/>
                <w:highlight w:val="none"/>
              </w:rPr>
            </w:pPr>
          </w:p>
        </w:tc>
        <w:tc>
          <w:tcPr>
            <w:tcW w:w="1627" w:type="dxa"/>
            <w:noWrap w:val="0"/>
            <w:vAlign w:val="center"/>
          </w:tcPr>
          <w:p w14:paraId="0E8EAADC">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26AEE52E">
            <w:pPr>
              <w:keepNext/>
              <w:spacing w:line="440" w:lineRule="exact"/>
              <w:ind w:left="63" w:right="63"/>
              <w:rPr>
                <w:rFonts w:ascii="Times New Roman" w:hAnsi="Times New Roman" w:eastAsia="仿宋_GB2312"/>
                <w:color w:val="auto"/>
                <w:sz w:val="30"/>
                <w:szCs w:val="30"/>
                <w:highlight w:val="none"/>
              </w:rPr>
            </w:pPr>
          </w:p>
        </w:tc>
        <w:tc>
          <w:tcPr>
            <w:tcW w:w="1053" w:type="dxa"/>
            <w:noWrap w:val="0"/>
            <w:vAlign w:val="center"/>
          </w:tcPr>
          <w:p w14:paraId="4C06AC6F">
            <w:pPr>
              <w:keepNext/>
              <w:spacing w:line="440" w:lineRule="exact"/>
              <w:ind w:left="63" w:right="63"/>
              <w:rPr>
                <w:rFonts w:ascii="Times New Roman" w:hAnsi="Times New Roman" w:eastAsia="仿宋_GB2312"/>
                <w:color w:val="auto"/>
                <w:sz w:val="30"/>
                <w:szCs w:val="30"/>
                <w:highlight w:val="none"/>
              </w:rPr>
            </w:pPr>
          </w:p>
        </w:tc>
        <w:tc>
          <w:tcPr>
            <w:tcW w:w="1339" w:type="dxa"/>
            <w:noWrap w:val="0"/>
            <w:vAlign w:val="center"/>
          </w:tcPr>
          <w:p w14:paraId="3DC72CE9">
            <w:pPr>
              <w:keepNext/>
              <w:spacing w:line="440" w:lineRule="exact"/>
              <w:ind w:left="63" w:right="63"/>
              <w:rPr>
                <w:rFonts w:ascii="Times New Roman" w:hAnsi="Times New Roman" w:eastAsia="仿宋_GB2312"/>
                <w:color w:val="auto"/>
                <w:sz w:val="30"/>
                <w:szCs w:val="30"/>
                <w:highlight w:val="none"/>
              </w:rPr>
            </w:pPr>
          </w:p>
        </w:tc>
        <w:tc>
          <w:tcPr>
            <w:tcW w:w="957" w:type="dxa"/>
            <w:noWrap w:val="0"/>
            <w:vAlign w:val="center"/>
          </w:tcPr>
          <w:p w14:paraId="4FE70F8C">
            <w:pPr>
              <w:keepNext/>
              <w:spacing w:line="440" w:lineRule="exact"/>
              <w:ind w:left="63" w:right="63"/>
              <w:rPr>
                <w:rFonts w:ascii="Times New Roman" w:hAnsi="Times New Roman" w:eastAsia="仿宋_GB2312"/>
                <w:color w:val="auto"/>
                <w:sz w:val="30"/>
                <w:szCs w:val="30"/>
                <w:highlight w:val="none"/>
              </w:rPr>
            </w:pPr>
          </w:p>
        </w:tc>
        <w:tc>
          <w:tcPr>
            <w:tcW w:w="669" w:type="dxa"/>
            <w:noWrap w:val="0"/>
            <w:vAlign w:val="center"/>
          </w:tcPr>
          <w:p w14:paraId="0F4FE51B">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701A3FB3">
            <w:pPr>
              <w:keepNext/>
              <w:spacing w:line="440" w:lineRule="exact"/>
              <w:ind w:left="63" w:right="63"/>
              <w:rPr>
                <w:rFonts w:ascii="Times New Roman" w:hAnsi="Times New Roman" w:eastAsia="仿宋_GB2312"/>
                <w:color w:val="auto"/>
                <w:sz w:val="30"/>
                <w:szCs w:val="30"/>
                <w:highlight w:val="none"/>
              </w:rPr>
            </w:pPr>
          </w:p>
        </w:tc>
      </w:tr>
      <w:tr w14:paraId="5BC51E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tcBorders>
              <w:top w:val="nil"/>
            </w:tcBorders>
            <w:noWrap w:val="0"/>
            <w:vAlign w:val="center"/>
          </w:tcPr>
          <w:p w14:paraId="44C4C833">
            <w:pPr>
              <w:keepNext/>
              <w:spacing w:line="440" w:lineRule="exact"/>
              <w:ind w:left="63" w:right="63"/>
              <w:rPr>
                <w:rFonts w:ascii="Times New Roman" w:hAnsi="Times New Roman" w:eastAsia="仿宋_GB2312"/>
                <w:color w:val="auto"/>
                <w:sz w:val="30"/>
                <w:szCs w:val="30"/>
                <w:highlight w:val="none"/>
              </w:rPr>
            </w:pPr>
          </w:p>
        </w:tc>
        <w:tc>
          <w:tcPr>
            <w:tcW w:w="1244" w:type="dxa"/>
            <w:tcBorders>
              <w:top w:val="nil"/>
            </w:tcBorders>
            <w:noWrap w:val="0"/>
            <w:vAlign w:val="center"/>
          </w:tcPr>
          <w:p w14:paraId="789AA2B8">
            <w:pPr>
              <w:keepNext/>
              <w:spacing w:line="440" w:lineRule="exact"/>
              <w:ind w:left="63" w:right="63"/>
              <w:rPr>
                <w:rFonts w:ascii="Times New Roman" w:hAnsi="Times New Roman" w:eastAsia="仿宋_GB2312"/>
                <w:color w:val="auto"/>
                <w:sz w:val="30"/>
                <w:szCs w:val="30"/>
                <w:highlight w:val="none"/>
              </w:rPr>
            </w:pPr>
          </w:p>
        </w:tc>
        <w:tc>
          <w:tcPr>
            <w:tcW w:w="956" w:type="dxa"/>
            <w:tcBorders>
              <w:top w:val="nil"/>
            </w:tcBorders>
            <w:noWrap w:val="0"/>
            <w:vAlign w:val="center"/>
          </w:tcPr>
          <w:p w14:paraId="7D95B0D9">
            <w:pPr>
              <w:keepNext/>
              <w:spacing w:line="440" w:lineRule="exact"/>
              <w:ind w:left="63" w:right="63"/>
              <w:rPr>
                <w:rFonts w:ascii="Times New Roman" w:hAnsi="Times New Roman" w:eastAsia="仿宋_GB2312"/>
                <w:color w:val="auto"/>
                <w:sz w:val="30"/>
                <w:szCs w:val="30"/>
                <w:highlight w:val="none"/>
              </w:rPr>
            </w:pPr>
          </w:p>
        </w:tc>
        <w:tc>
          <w:tcPr>
            <w:tcW w:w="1627" w:type="dxa"/>
            <w:tcBorders>
              <w:top w:val="nil"/>
            </w:tcBorders>
            <w:noWrap w:val="0"/>
            <w:vAlign w:val="center"/>
          </w:tcPr>
          <w:p w14:paraId="5DEB91C4">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459C7A62">
            <w:pPr>
              <w:keepNext/>
              <w:spacing w:line="440" w:lineRule="exact"/>
              <w:ind w:left="63" w:right="63"/>
              <w:rPr>
                <w:rFonts w:ascii="Times New Roman" w:hAnsi="Times New Roman" w:eastAsia="仿宋_GB2312"/>
                <w:color w:val="auto"/>
                <w:sz w:val="30"/>
                <w:szCs w:val="30"/>
                <w:highlight w:val="none"/>
              </w:rPr>
            </w:pPr>
          </w:p>
        </w:tc>
        <w:tc>
          <w:tcPr>
            <w:tcW w:w="1053" w:type="dxa"/>
            <w:tcBorders>
              <w:top w:val="nil"/>
            </w:tcBorders>
            <w:noWrap w:val="0"/>
            <w:vAlign w:val="center"/>
          </w:tcPr>
          <w:p w14:paraId="35618B8B">
            <w:pPr>
              <w:keepNext/>
              <w:spacing w:line="440" w:lineRule="exact"/>
              <w:ind w:left="63" w:right="63"/>
              <w:rPr>
                <w:rFonts w:ascii="Times New Roman" w:hAnsi="Times New Roman" w:eastAsia="仿宋_GB2312"/>
                <w:color w:val="auto"/>
                <w:sz w:val="30"/>
                <w:szCs w:val="30"/>
                <w:highlight w:val="none"/>
              </w:rPr>
            </w:pPr>
          </w:p>
        </w:tc>
        <w:tc>
          <w:tcPr>
            <w:tcW w:w="1339" w:type="dxa"/>
            <w:tcBorders>
              <w:top w:val="nil"/>
            </w:tcBorders>
            <w:noWrap w:val="0"/>
            <w:vAlign w:val="center"/>
          </w:tcPr>
          <w:p w14:paraId="43EF54AF">
            <w:pPr>
              <w:keepNext/>
              <w:spacing w:line="440" w:lineRule="exact"/>
              <w:ind w:left="63" w:right="63"/>
              <w:rPr>
                <w:rFonts w:ascii="Times New Roman" w:hAnsi="Times New Roman" w:eastAsia="仿宋_GB2312"/>
                <w:color w:val="auto"/>
                <w:sz w:val="30"/>
                <w:szCs w:val="30"/>
                <w:highlight w:val="none"/>
              </w:rPr>
            </w:pPr>
          </w:p>
        </w:tc>
        <w:tc>
          <w:tcPr>
            <w:tcW w:w="957" w:type="dxa"/>
            <w:tcBorders>
              <w:top w:val="nil"/>
            </w:tcBorders>
            <w:noWrap w:val="0"/>
            <w:vAlign w:val="center"/>
          </w:tcPr>
          <w:p w14:paraId="14356B36">
            <w:pPr>
              <w:keepNext/>
              <w:spacing w:line="440" w:lineRule="exact"/>
              <w:ind w:left="63" w:right="63"/>
              <w:rPr>
                <w:rFonts w:ascii="Times New Roman" w:hAnsi="Times New Roman" w:eastAsia="仿宋_GB2312"/>
                <w:color w:val="auto"/>
                <w:sz w:val="30"/>
                <w:szCs w:val="30"/>
                <w:highlight w:val="none"/>
              </w:rPr>
            </w:pPr>
          </w:p>
        </w:tc>
        <w:tc>
          <w:tcPr>
            <w:tcW w:w="669" w:type="dxa"/>
            <w:tcBorders>
              <w:top w:val="nil"/>
            </w:tcBorders>
            <w:noWrap w:val="0"/>
            <w:vAlign w:val="center"/>
          </w:tcPr>
          <w:p w14:paraId="771DE8CA">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58B4F4B7">
            <w:pPr>
              <w:keepNext/>
              <w:spacing w:line="440" w:lineRule="exact"/>
              <w:ind w:left="63" w:right="63"/>
              <w:rPr>
                <w:rFonts w:ascii="Times New Roman" w:hAnsi="Times New Roman" w:eastAsia="仿宋_GB2312"/>
                <w:color w:val="auto"/>
                <w:sz w:val="30"/>
                <w:szCs w:val="30"/>
                <w:highlight w:val="none"/>
              </w:rPr>
            </w:pPr>
          </w:p>
        </w:tc>
      </w:tr>
      <w:tr w14:paraId="148DAC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tcBorders>
              <w:top w:val="nil"/>
            </w:tcBorders>
            <w:noWrap w:val="0"/>
            <w:vAlign w:val="center"/>
          </w:tcPr>
          <w:p w14:paraId="10C22B12">
            <w:pPr>
              <w:keepNext/>
              <w:spacing w:line="440" w:lineRule="exact"/>
              <w:ind w:left="63" w:right="63"/>
              <w:rPr>
                <w:rFonts w:ascii="Times New Roman" w:hAnsi="Times New Roman" w:eastAsia="仿宋_GB2312"/>
                <w:color w:val="auto"/>
                <w:sz w:val="30"/>
                <w:szCs w:val="30"/>
                <w:highlight w:val="none"/>
              </w:rPr>
            </w:pPr>
          </w:p>
        </w:tc>
        <w:tc>
          <w:tcPr>
            <w:tcW w:w="1244" w:type="dxa"/>
            <w:tcBorders>
              <w:top w:val="nil"/>
            </w:tcBorders>
            <w:noWrap w:val="0"/>
            <w:vAlign w:val="center"/>
          </w:tcPr>
          <w:p w14:paraId="79E88164">
            <w:pPr>
              <w:keepNext/>
              <w:spacing w:line="440" w:lineRule="exact"/>
              <w:ind w:left="63" w:right="63"/>
              <w:rPr>
                <w:rFonts w:ascii="Times New Roman" w:hAnsi="Times New Roman" w:eastAsia="仿宋_GB2312"/>
                <w:color w:val="auto"/>
                <w:sz w:val="30"/>
                <w:szCs w:val="30"/>
                <w:highlight w:val="none"/>
              </w:rPr>
            </w:pPr>
          </w:p>
        </w:tc>
        <w:tc>
          <w:tcPr>
            <w:tcW w:w="956" w:type="dxa"/>
            <w:tcBorders>
              <w:top w:val="nil"/>
            </w:tcBorders>
            <w:noWrap w:val="0"/>
            <w:vAlign w:val="center"/>
          </w:tcPr>
          <w:p w14:paraId="639A626E">
            <w:pPr>
              <w:keepNext/>
              <w:spacing w:line="440" w:lineRule="exact"/>
              <w:ind w:left="63" w:right="63"/>
              <w:rPr>
                <w:rFonts w:ascii="Times New Roman" w:hAnsi="Times New Roman" w:eastAsia="仿宋_GB2312"/>
                <w:color w:val="auto"/>
                <w:sz w:val="30"/>
                <w:szCs w:val="30"/>
                <w:highlight w:val="none"/>
              </w:rPr>
            </w:pPr>
          </w:p>
        </w:tc>
        <w:tc>
          <w:tcPr>
            <w:tcW w:w="1627" w:type="dxa"/>
            <w:tcBorders>
              <w:top w:val="nil"/>
            </w:tcBorders>
            <w:noWrap w:val="0"/>
            <w:vAlign w:val="center"/>
          </w:tcPr>
          <w:p w14:paraId="527CE420">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21896286">
            <w:pPr>
              <w:keepNext/>
              <w:spacing w:line="440" w:lineRule="exact"/>
              <w:ind w:left="63" w:right="63"/>
              <w:rPr>
                <w:rFonts w:ascii="Times New Roman" w:hAnsi="Times New Roman" w:eastAsia="仿宋_GB2312"/>
                <w:color w:val="auto"/>
                <w:sz w:val="30"/>
                <w:szCs w:val="30"/>
                <w:highlight w:val="none"/>
              </w:rPr>
            </w:pPr>
          </w:p>
        </w:tc>
        <w:tc>
          <w:tcPr>
            <w:tcW w:w="1053" w:type="dxa"/>
            <w:tcBorders>
              <w:top w:val="nil"/>
            </w:tcBorders>
            <w:noWrap w:val="0"/>
            <w:vAlign w:val="center"/>
          </w:tcPr>
          <w:p w14:paraId="53CECC67">
            <w:pPr>
              <w:keepNext/>
              <w:spacing w:line="440" w:lineRule="exact"/>
              <w:ind w:left="63" w:right="63"/>
              <w:rPr>
                <w:rFonts w:ascii="Times New Roman" w:hAnsi="Times New Roman" w:eastAsia="仿宋_GB2312"/>
                <w:color w:val="auto"/>
                <w:sz w:val="30"/>
                <w:szCs w:val="30"/>
                <w:highlight w:val="none"/>
              </w:rPr>
            </w:pPr>
          </w:p>
        </w:tc>
        <w:tc>
          <w:tcPr>
            <w:tcW w:w="1339" w:type="dxa"/>
            <w:tcBorders>
              <w:top w:val="nil"/>
            </w:tcBorders>
            <w:noWrap w:val="0"/>
            <w:vAlign w:val="center"/>
          </w:tcPr>
          <w:p w14:paraId="514140C1">
            <w:pPr>
              <w:keepNext/>
              <w:spacing w:line="440" w:lineRule="exact"/>
              <w:ind w:left="63" w:right="63"/>
              <w:rPr>
                <w:rFonts w:ascii="Times New Roman" w:hAnsi="Times New Roman" w:eastAsia="仿宋_GB2312"/>
                <w:color w:val="auto"/>
                <w:sz w:val="30"/>
                <w:szCs w:val="30"/>
                <w:highlight w:val="none"/>
              </w:rPr>
            </w:pPr>
          </w:p>
        </w:tc>
        <w:tc>
          <w:tcPr>
            <w:tcW w:w="957" w:type="dxa"/>
            <w:tcBorders>
              <w:top w:val="nil"/>
            </w:tcBorders>
            <w:noWrap w:val="0"/>
            <w:vAlign w:val="center"/>
          </w:tcPr>
          <w:p w14:paraId="2D81A237">
            <w:pPr>
              <w:keepNext/>
              <w:spacing w:line="440" w:lineRule="exact"/>
              <w:ind w:left="63" w:right="63"/>
              <w:rPr>
                <w:rFonts w:ascii="Times New Roman" w:hAnsi="Times New Roman" w:eastAsia="仿宋_GB2312"/>
                <w:color w:val="auto"/>
                <w:sz w:val="30"/>
                <w:szCs w:val="30"/>
                <w:highlight w:val="none"/>
              </w:rPr>
            </w:pPr>
          </w:p>
        </w:tc>
        <w:tc>
          <w:tcPr>
            <w:tcW w:w="669" w:type="dxa"/>
            <w:tcBorders>
              <w:top w:val="nil"/>
            </w:tcBorders>
            <w:noWrap w:val="0"/>
            <w:vAlign w:val="center"/>
          </w:tcPr>
          <w:p w14:paraId="206E5215">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25904934">
            <w:pPr>
              <w:keepNext/>
              <w:spacing w:line="440" w:lineRule="exact"/>
              <w:ind w:left="63" w:right="63"/>
              <w:rPr>
                <w:rFonts w:ascii="Times New Roman" w:hAnsi="Times New Roman" w:eastAsia="仿宋_GB2312"/>
                <w:color w:val="auto"/>
                <w:sz w:val="30"/>
                <w:szCs w:val="30"/>
                <w:highlight w:val="none"/>
              </w:rPr>
            </w:pPr>
          </w:p>
        </w:tc>
      </w:tr>
      <w:tr w14:paraId="379EEF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noWrap w:val="0"/>
            <w:vAlign w:val="center"/>
          </w:tcPr>
          <w:p w14:paraId="09B9FAC4">
            <w:pPr>
              <w:keepNext/>
              <w:spacing w:line="440" w:lineRule="exact"/>
              <w:ind w:left="63" w:right="63"/>
              <w:rPr>
                <w:rFonts w:ascii="Times New Roman" w:hAnsi="Times New Roman" w:eastAsia="仿宋_GB2312"/>
                <w:color w:val="auto"/>
                <w:sz w:val="30"/>
                <w:szCs w:val="30"/>
                <w:highlight w:val="none"/>
              </w:rPr>
            </w:pPr>
          </w:p>
        </w:tc>
        <w:tc>
          <w:tcPr>
            <w:tcW w:w="1244" w:type="dxa"/>
            <w:noWrap w:val="0"/>
            <w:vAlign w:val="center"/>
          </w:tcPr>
          <w:p w14:paraId="773FE3EB">
            <w:pPr>
              <w:keepNext/>
              <w:spacing w:line="440" w:lineRule="exact"/>
              <w:ind w:left="63" w:right="63"/>
              <w:rPr>
                <w:rFonts w:ascii="Times New Roman" w:hAnsi="Times New Roman" w:eastAsia="仿宋_GB2312"/>
                <w:color w:val="auto"/>
                <w:sz w:val="30"/>
                <w:szCs w:val="30"/>
                <w:highlight w:val="none"/>
              </w:rPr>
            </w:pPr>
          </w:p>
        </w:tc>
        <w:tc>
          <w:tcPr>
            <w:tcW w:w="956" w:type="dxa"/>
            <w:noWrap w:val="0"/>
            <w:vAlign w:val="center"/>
          </w:tcPr>
          <w:p w14:paraId="271AEFC4">
            <w:pPr>
              <w:keepNext/>
              <w:spacing w:line="440" w:lineRule="exact"/>
              <w:ind w:left="63" w:right="63"/>
              <w:rPr>
                <w:rFonts w:ascii="Times New Roman" w:hAnsi="Times New Roman" w:eastAsia="仿宋_GB2312"/>
                <w:color w:val="auto"/>
                <w:sz w:val="30"/>
                <w:szCs w:val="30"/>
                <w:highlight w:val="none"/>
              </w:rPr>
            </w:pPr>
          </w:p>
        </w:tc>
        <w:tc>
          <w:tcPr>
            <w:tcW w:w="1627" w:type="dxa"/>
            <w:noWrap w:val="0"/>
            <w:vAlign w:val="center"/>
          </w:tcPr>
          <w:p w14:paraId="74CFBC2A">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301E69B7">
            <w:pPr>
              <w:keepNext/>
              <w:spacing w:line="440" w:lineRule="exact"/>
              <w:ind w:left="63" w:right="63"/>
              <w:rPr>
                <w:rFonts w:ascii="Times New Roman" w:hAnsi="Times New Roman" w:eastAsia="仿宋_GB2312"/>
                <w:color w:val="auto"/>
                <w:sz w:val="30"/>
                <w:szCs w:val="30"/>
                <w:highlight w:val="none"/>
              </w:rPr>
            </w:pPr>
          </w:p>
        </w:tc>
        <w:tc>
          <w:tcPr>
            <w:tcW w:w="1053" w:type="dxa"/>
            <w:noWrap w:val="0"/>
            <w:vAlign w:val="center"/>
          </w:tcPr>
          <w:p w14:paraId="037C183A">
            <w:pPr>
              <w:keepNext/>
              <w:spacing w:line="440" w:lineRule="exact"/>
              <w:ind w:left="63" w:right="63"/>
              <w:rPr>
                <w:rFonts w:ascii="Times New Roman" w:hAnsi="Times New Roman" w:eastAsia="仿宋_GB2312"/>
                <w:color w:val="auto"/>
                <w:sz w:val="30"/>
                <w:szCs w:val="30"/>
                <w:highlight w:val="none"/>
              </w:rPr>
            </w:pPr>
          </w:p>
        </w:tc>
        <w:tc>
          <w:tcPr>
            <w:tcW w:w="1339" w:type="dxa"/>
            <w:noWrap w:val="0"/>
            <w:vAlign w:val="center"/>
          </w:tcPr>
          <w:p w14:paraId="64AD3697">
            <w:pPr>
              <w:keepNext/>
              <w:spacing w:line="440" w:lineRule="exact"/>
              <w:ind w:left="63" w:right="63"/>
              <w:rPr>
                <w:rFonts w:ascii="Times New Roman" w:hAnsi="Times New Roman" w:eastAsia="仿宋_GB2312"/>
                <w:color w:val="auto"/>
                <w:sz w:val="30"/>
                <w:szCs w:val="30"/>
                <w:highlight w:val="none"/>
              </w:rPr>
            </w:pPr>
          </w:p>
        </w:tc>
        <w:tc>
          <w:tcPr>
            <w:tcW w:w="957" w:type="dxa"/>
            <w:noWrap w:val="0"/>
            <w:vAlign w:val="center"/>
          </w:tcPr>
          <w:p w14:paraId="2E50FFA9">
            <w:pPr>
              <w:keepNext/>
              <w:spacing w:line="440" w:lineRule="exact"/>
              <w:ind w:left="63" w:right="63"/>
              <w:rPr>
                <w:rFonts w:ascii="Times New Roman" w:hAnsi="Times New Roman" w:eastAsia="仿宋_GB2312"/>
                <w:color w:val="auto"/>
                <w:sz w:val="30"/>
                <w:szCs w:val="30"/>
                <w:highlight w:val="none"/>
              </w:rPr>
            </w:pPr>
          </w:p>
        </w:tc>
        <w:tc>
          <w:tcPr>
            <w:tcW w:w="669" w:type="dxa"/>
            <w:noWrap w:val="0"/>
            <w:vAlign w:val="center"/>
          </w:tcPr>
          <w:p w14:paraId="2E7983DC">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0D8676B4">
            <w:pPr>
              <w:keepNext/>
              <w:spacing w:line="440" w:lineRule="exact"/>
              <w:ind w:left="63" w:right="63"/>
              <w:rPr>
                <w:rFonts w:ascii="Times New Roman" w:hAnsi="Times New Roman" w:eastAsia="仿宋_GB2312"/>
                <w:color w:val="auto"/>
                <w:sz w:val="30"/>
                <w:szCs w:val="30"/>
                <w:highlight w:val="none"/>
              </w:rPr>
            </w:pPr>
          </w:p>
        </w:tc>
      </w:tr>
      <w:tr w14:paraId="087EB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0" w:hRule="atLeast"/>
        </w:trPr>
        <w:tc>
          <w:tcPr>
            <w:tcW w:w="862" w:type="dxa"/>
            <w:tcBorders>
              <w:top w:val="nil"/>
            </w:tcBorders>
            <w:noWrap w:val="0"/>
            <w:vAlign w:val="center"/>
          </w:tcPr>
          <w:p w14:paraId="3AE47579">
            <w:pPr>
              <w:keepNext/>
              <w:spacing w:line="440" w:lineRule="exact"/>
              <w:ind w:left="63" w:right="63"/>
              <w:rPr>
                <w:rFonts w:ascii="Times New Roman" w:hAnsi="Times New Roman" w:eastAsia="仿宋_GB2312"/>
                <w:color w:val="auto"/>
                <w:sz w:val="30"/>
                <w:szCs w:val="30"/>
                <w:highlight w:val="none"/>
              </w:rPr>
            </w:pPr>
          </w:p>
        </w:tc>
        <w:tc>
          <w:tcPr>
            <w:tcW w:w="1244" w:type="dxa"/>
            <w:tcBorders>
              <w:top w:val="nil"/>
            </w:tcBorders>
            <w:noWrap w:val="0"/>
            <w:vAlign w:val="center"/>
          </w:tcPr>
          <w:p w14:paraId="741E270F">
            <w:pPr>
              <w:keepNext/>
              <w:spacing w:line="440" w:lineRule="exact"/>
              <w:ind w:left="63" w:right="63"/>
              <w:rPr>
                <w:rFonts w:ascii="Times New Roman" w:hAnsi="Times New Roman" w:eastAsia="仿宋_GB2312"/>
                <w:color w:val="auto"/>
                <w:sz w:val="30"/>
                <w:szCs w:val="30"/>
                <w:highlight w:val="none"/>
              </w:rPr>
            </w:pPr>
          </w:p>
        </w:tc>
        <w:tc>
          <w:tcPr>
            <w:tcW w:w="956" w:type="dxa"/>
            <w:tcBorders>
              <w:top w:val="nil"/>
            </w:tcBorders>
            <w:noWrap w:val="0"/>
            <w:vAlign w:val="center"/>
          </w:tcPr>
          <w:p w14:paraId="03782491">
            <w:pPr>
              <w:keepNext/>
              <w:spacing w:line="440" w:lineRule="exact"/>
              <w:ind w:left="63" w:right="63"/>
              <w:rPr>
                <w:rFonts w:ascii="Times New Roman" w:hAnsi="Times New Roman" w:eastAsia="仿宋_GB2312"/>
                <w:color w:val="auto"/>
                <w:sz w:val="30"/>
                <w:szCs w:val="30"/>
                <w:highlight w:val="none"/>
              </w:rPr>
            </w:pPr>
          </w:p>
        </w:tc>
        <w:tc>
          <w:tcPr>
            <w:tcW w:w="1627" w:type="dxa"/>
            <w:tcBorders>
              <w:top w:val="nil"/>
            </w:tcBorders>
            <w:noWrap w:val="0"/>
            <w:vAlign w:val="center"/>
          </w:tcPr>
          <w:p w14:paraId="22E84B22">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33247363">
            <w:pPr>
              <w:keepNext/>
              <w:spacing w:line="440" w:lineRule="exact"/>
              <w:ind w:left="63" w:right="63"/>
              <w:rPr>
                <w:rFonts w:ascii="Times New Roman" w:hAnsi="Times New Roman" w:eastAsia="仿宋_GB2312"/>
                <w:color w:val="auto"/>
                <w:sz w:val="30"/>
                <w:szCs w:val="30"/>
                <w:highlight w:val="none"/>
              </w:rPr>
            </w:pPr>
          </w:p>
        </w:tc>
        <w:tc>
          <w:tcPr>
            <w:tcW w:w="1053" w:type="dxa"/>
            <w:tcBorders>
              <w:top w:val="nil"/>
            </w:tcBorders>
            <w:noWrap w:val="0"/>
            <w:vAlign w:val="center"/>
          </w:tcPr>
          <w:p w14:paraId="1E4801AF">
            <w:pPr>
              <w:keepNext/>
              <w:spacing w:line="440" w:lineRule="exact"/>
              <w:ind w:left="63" w:right="63"/>
              <w:rPr>
                <w:rFonts w:ascii="Times New Roman" w:hAnsi="Times New Roman" w:eastAsia="仿宋_GB2312"/>
                <w:color w:val="auto"/>
                <w:sz w:val="30"/>
                <w:szCs w:val="30"/>
                <w:highlight w:val="none"/>
              </w:rPr>
            </w:pPr>
          </w:p>
        </w:tc>
        <w:tc>
          <w:tcPr>
            <w:tcW w:w="1339" w:type="dxa"/>
            <w:tcBorders>
              <w:top w:val="nil"/>
            </w:tcBorders>
            <w:noWrap w:val="0"/>
            <w:vAlign w:val="center"/>
          </w:tcPr>
          <w:p w14:paraId="0F43BD90">
            <w:pPr>
              <w:keepNext/>
              <w:spacing w:line="440" w:lineRule="exact"/>
              <w:ind w:left="63" w:right="63"/>
              <w:rPr>
                <w:rFonts w:ascii="Times New Roman" w:hAnsi="Times New Roman" w:eastAsia="仿宋_GB2312"/>
                <w:color w:val="auto"/>
                <w:sz w:val="30"/>
                <w:szCs w:val="30"/>
                <w:highlight w:val="none"/>
              </w:rPr>
            </w:pPr>
          </w:p>
        </w:tc>
        <w:tc>
          <w:tcPr>
            <w:tcW w:w="957" w:type="dxa"/>
            <w:tcBorders>
              <w:top w:val="nil"/>
            </w:tcBorders>
            <w:noWrap w:val="0"/>
            <w:vAlign w:val="center"/>
          </w:tcPr>
          <w:p w14:paraId="080528A1">
            <w:pPr>
              <w:keepNext/>
              <w:spacing w:line="440" w:lineRule="exact"/>
              <w:ind w:left="63" w:right="63"/>
              <w:rPr>
                <w:rFonts w:ascii="Times New Roman" w:hAnsi="Times New Roman" w:eastAsia="仿宋_GB2312"/>
                <w:color w:val="auto"/>
                <w:sz w:val="30"/>
                <w:szCs w:val="30"/>
                <w:highlight w:val="none"/>
              </w:rPr>
            </w:pPr>
          </w:p>
        </w:tc>
        <w:tc>
          <w:tcPr>
            <w:tcW w:w="669" w:type="dxa"/>
            <w:tcBorders>
              <w:top w:val="nil"/>
            </w:tcBorders>
            <w:noWrap w:val="0"/>
            <w:vAlign w:val="center"/>
          </w:tcPr>
          <w:p w14:paraId="00E19FF8">
            <w:pPr>
              <w:keepNext/>
              <w:spacing w:line="440" w:lineRule="exact"/>
              <w:ind w:left="63" w:right="63"/>
              <w:rPr>
                <w:rFonts w:ascii="Times New Roman" w:hAnsi="Times New Roman" w:eastAsia="仿宋_GB2312"/>
                <w:color w:val="auto"/>
                <w:sz w:val="30"/>
                <w:szCs w:val="30"/>
                <w:highlight w:val="none"/>
              </w:rPr>
            </w:pPr>
          </w:p>
        </w:tc>
        <w:tc>
          <w:tcPr>
            <w:tcW w:w="574" w:type="dxa"/>
            <w:tcBorders>
              <w:top w:val="nil"/>
            </w:tcBorders>
            <w:noWrap w:val="0"/>
            <w:vAlign w:val="center"/>
          </w:tcPr>
          <w:p w14:paraId="64D74423">
            <w:pPr>
              <w:keepNext/>
              <w:spacing w:line="440" w:lineRule="exact"/>
              <w:ind w:left="63" w:right="63"/>
              <w:rPr>
                <w:rFonts w:ascii="Times New Roman" w:hAnsi="Times New Roman" w:eastAsia="仿宋_GB2312"/>
                <w:color w:val="auto"/>
                <w:sz w:val="30"/>
                <w:szCs w:val="30"/>
                <w:highlight w:val="none"/>
              </w:rPr>
            </w:pPr>
          </w:p>
        </w:tc>
      </w:tr>
      <w:tr w14:paraId="19670E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3" w:hRule="atLeast"/>
        </w:trPr>
        <w:tc>
          <w:tcPr>
            <w:tcW w:w="862" w:type="dxa"/>
            <w:noWrap w:val="0"/>
            <w:vAlign w:val="center"/>
          </w:tcPr>
          <w:p w14:paraId="252E4045">
            <w:pPr>
              <w:keepNext/>
              <w:spacing w:line="440" w:lineRule="exact"/>
              <w:ind w:left="63" w:right="63"/>
              <w:rPr>
                <w:rFonts w:ascii="Times New Roman" w:hAnsi="Times New Roman" w:eastAsia="仿宋_GB2312"/>
                <w:color w:val="auto"/>
                <w:sz w:val="30"/>
                <w:szCs w:val="30"/>
                <w:highlight w:val="none"/>
              </w:rPr>
            </w:pPr>
          </w:p>
        </w:tc>
        <w:tc>
          <w:tcPr>
            <w:tcW w:w="1244" w:type="dxa"/>
            <w:noWrap w:val="0"/>
            <w:vAlign w:val="center"/>
          </w:tcPr>
          <w:p w14:paraId="758C2324">
            <w:pPr>
              <w:keepNext/>
              <w:spacing w:line="440" w:lineRule="exact"/>
              <w:ind w:left="63" w:right="63"/>
              <w:rPr>
                <w:rFonts w:ascii="Times New Roman" w:hAnsi="Times New Roman" w:eastAsia="仿宋_GB2312"/>
                <w:color w:val="auto"/>
                <w:sz w:val="30"/>
                <w:szCs w:val="30"/>
                <w:highlight w:val="none"/>
              </w:rPr>
            </w:pPr>
          </w:p>
        </w:tc>
        <w:tc>
          <w:tcPr>
            <w:tcW w:w="956" w:type="dxa"/>
            <w:noWrap w:val="0"/>
            <w:vAlign w:val="center"/>
          </w:tcPr>
          <w:p w14:paraId="61CB3D0B">
            <w:pPr>
              <w:keepNext/>
              <w:spacing w:line="440" w:lineRule="exact"/>
              <w:ind w:left="63" w:right="63"/>
              <w:rPr>
                <w:rFonts w:ascii="Times New Roman" w:hAnsi="Times New Roman" w:eastAsia="仿宋_GB2312"/>
                <w:color w:val="auto"/>
                <w:sz w:val="30"/>
                <w:szCs w:val="30"/>
                <w:highlight w:val="none"/>
              </w:rPr>
            </w:pPr>
          </w:p>
        </w:tc>
        <w:tc>
          <w:tcPr>
            <w:tcW w:w="1627" w:type="dxa"/>
            <w:noWrap w:val="0"/>
            <w:vAlign w:val="center"/>
          </w:tcPr>
          <w:p w14:paraId="7C1E2A66">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7D46A1A1">
            <w:pPr>
              <w:keepNext/>
              <w:spacing w:line="440" w:lineRule="exact"/>
              <w:ind w:left="63" w:right="63"/>
              <w:rPr>
                <w:rFonts w:ascii="Times New Roman" w:hAnsi="Times New Roman" w:eastAsia="仿宋_GB2312"/>
                <w:color w:val="auto"/>
                <w:sz w:val="30"/>
                <w:szCs w:val="30"/>
                <w:highlight w:val="none"/>
              </w:rPr>
            </w:pPr>
          </w:p>
        </w:tc>
        <w:tc>
          <w:tcPr>
            <w:tcW w:w="1053" w:type="dxa"/>
            <w:noWrap w:val="0"/>
            <w:vAlign w:val="center"/>
          </w:tcPr>
          <w:p w14:paraId="7095A004">
            <w:pPr>
              <w:keepNext/>
              <w:spacing w:line="440" w:lineRule="exact"/>
              <w:ind w:left="63" w:right="63"/>
              <w:rPr>
                <w:rFonts w:ascii="Times New Roman" w:hAnsi="Times New Roman" w:eastAsia="仿宋_GB2312"/>
                <w:color w:val="auto"/>
                <w:sz w:val="30"/>
                <w:szCs w:val="30"/>
                <w:highlight w:val="none"/>
              </w:rPr>
            </w:pPr>
          </w:p>
        </w:tc>
        <w:tc>
          <w:tcPr>
            <w:tcW w:w="1339" w:type="dxa"/>
            <w:noWrap w:val="0"/>
            <w:vAlign w:val="center"/>
          </w:tcPr>
          <w:p w14:paraId="7C6B2EDA">
            <w:pPr>
              <w:keepNext/>
              <w:spacing w:line="440" w:lineRule="exact"/>
              <w:ind w:left="63" w:right="63"/>
              <w:rPr>
                <w:rFonts w:ascii="Times New Roman" w:hAnsi="Times New Roman" w:eastAsia="仿宋_GB2312"/>
                <w:color w:val="auto"/>
                <w:sz w:val="30"/>
                <w:szCs w:val="30"/>
                <w:highlight w:val="none"/>
              </w:rPr>
            </w:pPr>
          </w:p>
        </w:tc>
        <w:tc>
          <w:tcPr>
            <w:tcW w:w="957" w:type="dxa"/>
            <w:noWrap w:val="0"/>
            <w:vAlign w:val="center"/>
          </w:tcPr>
          <w:p w14:paraId="0AE5B936">
            <w:pPr>
              <w:keepNext/>
              <w:spacing w:line="440" w:lineRule="exact"/>
              <w:ind w:left="63" w:right="63"/>
              <w:rPr>
                <w:rFonts w:ascii="Times New Roman" w:hAnsi="Times New Roman" w:eastAsia="仿宋_GB2312"/>
                <w:color w:val="auto"/>
                <w:sz w:val="30"/>
                <w:szCs w:val="30"/>
                <w:highlight w:val="none"/>
              </w:rPr>
            </w:pPr>
          </w:p>
        </w:tc>
        <w:tc>
          <w:tcPr>
            <w:tcW w:w="669" w:type="dxa"/>
            <w:noWrap w:val="0"/>
            <w:vAlign w:val="center"/>
          </w:tcPr>
          <w:p w14:paraId="3C851381">
            <w:pPr>
              <w:keepNext/>
              <w:spacing w:line="440" w:lineRule="exact"/>
              <w:ind w:left="63" w:right="63"/>
              <w:rPr>
                <w:rFonts w:ascii="Times New Roman" w:hAnsi="Times New Roman" w:eastAsia="仿宋_GB2312"/>
                <w:color w:val="auto"/>
                <w:sz w:val="30"/>
                <w:szCs w:val="30"/>
                <w:highlight w:val="none"/>
              </w:rPr>
            </w:pPr>
          </w:p>
        </w:tc>
        <w:tc>
          <w:tcPr>
            <w:tcW w:w="574" w:type="dxa"/>
            <w:noWrap w:val="0"/>
            <w:vAlign w:val="center"/>
          </w:tcPr>
          <w:p w14:paraId="6627CC6E">
            <w:pPr>
              <w:keepNext/>
              <w:spacing w:line="440" w:lineRule="exact"/>
              <w:ind w:left="63" w:right="63"/>
              <w:rPr>
                <w:rFonts w:ascii="Times New Roman" w:hAnsi="Times New Roman" w:eastAsia="仿宋_GB2312"/>
                <w:color w:val="auto"/>
                <w:sz w:val="30"/>
                <w:szCs w:val="30"/>
                <w:highlight w:val="none"/>
              </w:rPr>
            </w:pPr>
          </w:p>
        </w:tc>
      </w:tr>
    </w:tbl>
    <w:p w14:paraId="059BED27">
      <w:pPr>
        <w:spacing w:before="120" w:beforeLines="50" w:after="120" w:afterLines="50" w:line="440" w:lineRule="exact"/>
        <w:jc w:val="left"/>
        <w:rPr>
          <w:rFonts w:ascii="宋体" w:hAnsi="宋体"/>
          <w:color w:val="auto"/>
          <w:sz w:val="24"/>
          <w:szCs w:val="24"/>
          <w:highlight w:val="none"/>
        </w:rPr>
      </w:pPr>
    </w:p>
    <w:p w14:paraId="6CA9112C">
      <w:pPr>
        <w:spacing w:before="120" w:beforeLines="50" w:after="120" w:afterLines="50" w:line="440" w:lineRule="exact"/>
        <w:jc w:val="left"/>
        <w:rPr>
          <w:rFonts w:ascii="宋体" w:hAnsi="宋体"/>
          <w:color w:val="auto"/>
          <w:sz w:val="24"/>
          <w:szCs w:val="24"/>
          <w:highlight w:val="none"/>
        </w:rPr>
      </w:pPr>
    </w:p>
    <w:p w14:paraId="3BD8F37A">
      <w:pPr>
        <w:spacing w:before="120" w:beforeLines="50" w:after="120" w:afterLines="50" w:line="440" w:lineRule="exact"/>
        <w:jc w:val="left"/>
        <w:rPr>
          <w:rFonts w:ascii="宋体" w:hAnsi="宋体"/>
          <w:color w:val="auto"/>
          <w:sz w:val="24"/>
          <w:szCs w:val="24"/>
          <w:highlight w:val="none"/>
        </w:rPr>
      </w:pPr>
    </w:p>
    <w:p w14:paraId="2B456D69">
      <w:pPr>
        <w:spacing w:before="120" w:beforeLines="50" w:after="120" w:afterLines="50" w:line="440" w:lineRule="exact"/>
        <w:jc w:val="left"/>
        <w:rPr>
          <w:rFonts w:ascii="宋体" w:hAnsi="宋体"/>
          <w:color w:val="auto"/>
          <w:sz w:val="24"/>
          <w:szCs w:val="24"/>
          <w:highlight w:val="none"/>
        </w:rPr>
      </w:pPr>
    </w:p>
    <w:p w14:paraId="6168F307">
      <w:pPr>
        <w:spacing w:before="120" w:beforeLines="50" w:after="120" w:afterLines="50" w:line="440" w:lineRule="exact"/>
        <w:jc w:val="left"/>
        <w:rPr>
          <w:rFonts w:ascii="宋体" w:hAnsi="宋体"/>
          <w:color w:val="auto"/>
          <w:sz w:val="24"/>
          <w:szCs w:val="24"/>
          <w:highlight w:val="none"/>
        </w:rPr>
      </w:pPr>
    </w:p>
    <w:p w14:paraId="61CDC960">
      <w:pPr>
        <w:spacing w:before="120" w:beforeLines="50" w:after="120" w:afterLines="50" w:line="440" w:lineRule="exact"/>
        <w:jc w:val="left"/>
        <w:rPr>
          <w:rFonts w:ascii="宋体" w:hAnsi="宋体"/>
          <w:color w:val="auto"/>
          <w:sz w:val="24"/>
          <w:szCs w:val="24"/>
          <w:highlight w:val="none"/>
        </w:rPr>
      </w:pPr>
    </w:p>
    <w:p w14:paraId="217D0564">
      <w:pPr>
        <w:spacing w:before="120" w:beforeLines="50" w:after="120" w:afterLines="50" w:line="440" w:lineRule="exact"/>
        <w:jc w:val="left"/>
        <w:rPr>
          <w:rFonts w:ascii="宋体" w:hAnsi="宋体"/>
          <w:color w:val="auto"/>
          <w:sz w:val="24"/>
          <w:szCs w:val="24"/>
          <w:highlight w:val="none"/>
        </w:rPr>
      </w:pPr>
      <w:r>
        <w:rPr>
          <w:rFonts w:ascii="宋体" w:hAnsi="宋体"/>
          <w:color w:val="auto"/>
          <w:sz w:val="24"/>
          <w:szCs w:val="24"/>
          <w:highlight w:val="none"/>
        </w:rPr>
        <w:t>附</w:t>
      </w:r>
      <w:bookmarkStart w:id="2232" w:name="_Toc296891053"/>
      <w:bookmarkStart w:id="2233" w:name="_Toc296503225"/>
      <w:bookmarkStart w:id="2234" w:name="_Toc296346726"/>
      <w:bookmarkStart w:id="2235" w:name="_Toc267261692"/>
      <w:bookmarkStart w:id="2236" w:name="_Toc296347224"/>
      <w:bookmarkStart w:id="2237" w:name="_Toc296944564"/>
      <w:bookmarkStart w:id="2238" w:name="_Toc296891265"/>
      <w:r>
        <w:rPr>
          <w:rFonts w:ascii="宋体" w:hAnsi="宋体"/>
          <w:color w:val="auto"/>
          <w:sz w:val="24"/>
          <w:szCs w:val="24"/>
          <w:highlight w:val="none"/>
        </w:rPr>
        <w:t>件2：</w:t>
      </w:r>
    </w:p>
    <w:bookmarkEnd w:id="2232"/>
    <w:bookmarkEnd w:id="2233"/>
    <w:bookmarkEnd w:id="2234"/>
    <w:bookmarkEnd w:id="2235"/>
    <w:bookmarkEnd w:id="2236"/>
    <w:bookmarkEnd w:id="2237"/>
    <w:bookmarkEnd w:id="2238"/>
    <w:p w14:paraId="62C94120">
      <w:pPr>
        <w:spacing w:before="120" w:beforeLines="50" w:after="120" w:afterLines="50" w:line="440" w:lineRule="exact"/>
        <w:jc w:val="center"/>
        <w:rPr>
          <w:rFonts w:hint="eastAsia" w:ascii="Times New Roman" w:hAnsi="Times New Roman" w:eastAsia="黑体"/>
          <w:color w:val="auto"/>
          <w:sz w:val="28"/>
          <w:szCs w:val="28"/>
          <w:highlight w:val="none"/>
        </w:rPr>
      </w:pPr>
      <w:r>
        <w:rPr>
          <w:rFonts w:ascii="Times New Roman" w:hAnsi="Times New Roman" w:eastAsia="黑体"/>
          <w:color w:val="auto"/>
          <w:sz w:val="28"/>
          <w:szCs w:val="28"/>
          <w:highlight w:val="none"/>
        </w:rPr>
        <w:t>发包人供应材料设备一览表</w:t>
      </w:r>
    </w:p>
    <w:tbl>
      <w:tblPr>
        <w:tblStyle w:val="15"/>
        <w:tblW w:w="87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66"/>
        <w:gridCol w:w="1134"/>
        <w:gridCol w:w="851"/>
        <w:gridCol w:w="708"/>
        <w:gridCol w:w="709"/>
        <w:gridCol w:w="851"/>
        <w:gridCol w:w="850"/>
        <w:gridCol w:w="803"/>
        <w:gridCol w:w="1465"/>
        <w:gridCol w:w="803"/>
      </w:tblGrid>
      <w:tr w14:paraId="7AC21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66" w:type="dxa"/>
            <w:tcBorders>
              <w:top w:val="single" w:color="auto" w:sz="12" w:space="0"/>
              <w:bottom w:val="double" w:color="auto" w:sz="6" w:space="0"/>
            </w:tcBorders>
            <w:noWrap w:val="0"/>
            <w:vAlign w:val="center"/>
          </w:tcPr>
          <w:p w14:paraId="723E1E6F">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序号</w:t>
            </w:r>
          </w:p>
        </w:tc>
        <w:tc>
          <w:tcPr>
            <w:tcW w:w="1134" w:type="dxa"/>
            <w:tcBorders>
              <w:top w:val="single" w:color="auto" w:sz="12" w:space="0"/>
              <w:bottom w:val="double" w:color="auto" w:sz="6" w:space="0"/>
            </w:tcBorders>
            <w:noWrap w:val="0"/>
            <w:vAlign w:val="center"/>
          </w:tcPr>
          <w:p w14:paraId="2681AC55">
            <w:pPr>
              <w:keepNext/>
              <w:spacing w:line="440" w:lineRule="exact"/>
              <w:ind w:left="63" w:right="63"/>
              <w:jc w:val="center"/>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材料、</w:t>
            </w:r>
          </w:p>
          <w:p w14:paraId="270B18FA">
            <w:pPr>
              <w:keepNext/>
              <w:spacing w:line="440" w:lineRule="exact"/>
              <w:ind w:right="63"/>
              <w:jc w:val="center"/>
              <w:rPr>
                <w:rFonts w:ascii="宋体" w:hAnsi="宋体"/>
                <w:color w:val="auto"/>
                <w:szCs w:val="21"/>
                <w:highlight w:val="none"/>
              </w:rPr>
            </w:pPr>
            <w:r>
              <w:rPr>
                <w:rFonts w:ascii="宋体" w:hAnsi="宋体"/>
                <w:color w:val="auto"/>
                <w:szCs w:val="21"/>
                <w:highlight w:val="none"/>
              </w:rPr>
              <w:t>设备品种</w:t>
            </w:r>
          </w:p>
        </w:tc>
        <w:tc>
          <w:tcPr>
            <w:tcW w:w="851" w:type="dxa"/>
            <w:tcBorders>
              <w:top w:val="single" w:color="auto" w:sz="12" w:space="0"/>
              <w:bottom w:val="double" w:color="auto" w:sz="6" w:space="0"/>
            </w:tcBorders>
            <w:noWrap w:val="0"/>
            <w:vAlign w:val="center"/>
          </w:tcPr>
          <w:p w14:paraId="40CF1ACB">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规格</w:t>
            </w:r>
          </w:p>
          <w:p w14:paraId="2CB2F847">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型号</w:t>
            </w:r>
          </w:p>
        </w:tc>
        <w:tc>
          <w:tcPr>
            <w:tcW w:w="708" w:type="dxa"/>
            <w:tcBorders>
              <w:top w:val="single" w:color="auto" w:sz="12" w:space="0"/>
              <w:bottom w:val="double" w:color="auto" w:sz="6" w:space="0"/>
            </w:tcBorders>
            <w:noWrap w:val="0"/>
            <w:vAlign w:val="center"/>
          </w:tcPr>
          <w:p w14:paraId="3FB40BD4">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单位</w:t>
            </w:r>
          </w:p>
        </w:tc>
        <w:tc>
          <w:tcPr>
            <w:tcW w:w="709" w:type="dxa"/>
            <w:tcBorders>
              <w:top w:val="single" w:color="auto" w:sz="12" w:space="0"/>
              <w:bottom w:val="double" w:color="auto" w:sz="6" w:space="0"/>
            </w:tcBorders>
            <w:noWrap w:val="0"/>
            <w:vAlign w:val="center"/>
          </w:tcPr>
          <w:p w14:paraId="6669EA32">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数量</w:t>
            </w:r>
          </w:p>
        </w:tc>
        <w:tc>
          <w:tcPr>
            <w:tcW w:w="851" w:type="dxa"/>
            <w:tcBorders>
              <w:top w:val="single" w:color="auto" w:sz="12" w:space="0"/>
              <w:bottom w:val="double" w:color="auto" w:sz="6" w:space="0"/>
            </w:tcBorders>
            <w:noWrap w:val="0"/>
            <w:vAlign w:val="center"/>
          </w:tcPr>
          <w:p w14:paraId="713CEDF8">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单价</w:t>
            </w:r>
            <w:r>
              <w:rPr>
                <w:rFonts w:hint="eastAsia" w:ascii="宋体" w:hAnsi="宋体"/>
                <w:color w:val="auto"/>
                <w:szCs w:val="21"/>
                <w:highlight w:val="none"/>
              </w:rPr>
              <w:t>（元）</w:t>
            </w:r>
          </w:p>
        </w:tc>
        <w:tc>
          <w:tcPr>
            <w:tcW w:w="850" w:type="dxa"/>
            <w:tcBorders>
              <w:top w:val="single" w:color="auto" w:sz="12" w:space="0"/>
              <w:bottom w:val="double" w:color="auto" w:sz="6" w:space="0"/>
            </w:tcBorders>
            <w:noWrap w:val="0"/>
            <w:vAlign w:val="center"/>
          </w:tcPr>
          <w:p w14:paraId="176549E9">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质量</w:t>
            </w:r>
          </w:p>
          <w:p w14:paraId="6A8BB552">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等级</w:t>
            </w:r>
          </w:p>
        </w:tc>
        <w:tc>
          <w:tcPr>
            <w:tcW w:w="803" w:type="dxa"/>
            <w:tcBorders>
              <w:top w:val="single" w:color="auto" w:sz="12" w:space="0"/>
              <w:bottom w:val="double" w:color="auto" w:sz="6" w:space="0"/>
            </w:tcBorders>
            <w:noWrap w:val="0"/>
            <w:vAlign w:val="center"/>
          </w:tcPr>
          <w:p w14:paraId="13720400">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供应</w:t>
            </w:r>
          </w:p>
          <w:p w14:paraId="7F2EBE65">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时间</w:t>
            </w:r>
          </w:p>
        </w:tc>
        <w:tc>
          <w:tcPr>
            <w:tcW w:w="1465" w:type="dxa"/>
            <w:tcBorders>
              <w:top w:val="single" w:color="auto" w:sz="12" w:space="0"/>
              <w:bottom w:val="double" w:color="auto" w:sz="6" w:space="0"/>
            </w:tcBorders>
            <w:noWrap w:val="0"/>
            <w:vAlign w:val="center"/>
          </w:tcPr>
          <w:p w14:paraId="72ED5BC6">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送达地点</w:t>
            </w:r>
          </w:p>
        </w:tc>
        <w:tc>
          <w:tcPr>
            <w:tcW w:w="803" w:type="dxa"/>
            <w:tcBorders>
              <w:top w:val="single" w:color="auto" w:sz="12" w:space="0"/>
              <w:bottom w:val="double" w:color="auto" w:sz="6" w:space="0"/>
            </w:tcBorders>
            <w:noWrap w:val="0"/>
            <w:vAlign w:val="center"/>
          </w:tcPr>
          <w:p w14:paraId="36B488F3">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备注</w:t>
            </w:r>
          </w:p>
        </w:tc>
      </w:tr>
      <w:tr w14:paraId="49F2B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tcBorders>
              <w:top w:val="double" w:color="auto" w:sz="6" w:space="0"/>
              <w:bottom w:val="single" w:color="auto" w:sz="6" w:space="0"/>
            </w:tcBorders>
            <w:noWrap w:val="0"/>
            <w:vAlign w:val="center"/>
          </w:tcPr>
          <w:p w14:paraId="0B3134B0">
            <w:pPr>
              <w:keepNext/>
              <w:spacing w:line="440" w:lineRule="exact"/>
              <w:ind w:left="63" w:right="63"/>
              <w:rPr>
                <w:rFonts w:ascii="Times New Roman" w:hAnsi="Times New Roman" w:eastAsia="仿宋_GB2312"/>
                <w:color w:val="auto"/>
                <w:sz w:val="30"/>
                <w:szCs w:val="30"/>
                <w:highlight w:val="none"/>
              </w:rPr>
            </w:pPr>
          </w:p>
        </w:tc>
        <w:tc>
          <w:tcPr>
            <w:tcW w:w="1134" w:type="dxa"/>
            <w:tcBorders>
              <w:top w:val="double" w:color="auto" w:sz="6" w:space="0"/>
              <w:bottom w:val="single" w:color="auto" w:sz="6" w:space="0"/>
            </w:tcBorders>
            <w:noWrap w:val="0"/>
            <w:vAlign w:val="center"/>
          </w:tcPr>
          <w:p w14:paraId="297D0EB1">
            <w:pPr>
              <w:keepNext/>
              <w:spacing w:line="440" w:lineRule="exact"/>
              <w:ind w:left="63" w:right="63"/>
              <w:rPr>
                <w:rFonts w:ascii="Times New Roman" w:hAnsi="Times New Roman" w:eastAsia="仿宋_GB2312"/>
                <w:color w:val="auto"/>
                <w:sz w:val="30"/>
                <w:szCs w:val="30"/>
                <w:highlight w:val="none"/>
              </w:rPr>
            </w:pPr>
          </w:p>
        </w:tc>
        <w:tc>
          <w:tcPr>
            <w:tcW w:w="851" w:type="dxa"/>
            <w:tcBorders>
              <w:top w:val="double" w:color="auto" w:sz="6" w:space="0"/>
              <w:bottom w:val="single" w:color="auto" w:sz="6" w:space="0"/>
            </w:tcBorders>
            <w:noWrap w:val="0"/>
            <w:vAlign w:val="center"/>
          </w:tcPr>
          <w:p w14:paraId="508E0A3A">
            <w:pPr>
              <w:keepNext/>
              <w:spacing w:line="440" w:lineRule="exact"/>
              <w:ind w:left="63" w:right="63"/>
              <w:rPr>
                <w:rFonts w:ascii="Times New Roman" w:hAnsi="Times New Roman" w:eastAsia="仿宋_GB2312"/>
                <w:color w:val="auto"/>
                <w:sz w:val="30"/>
                <w:szCs w:val="30"/>
                <w:highlight w:val="none"/>
              </w:rPr>
            </w:pPr>
          </w:p>
        </w:tc>
        <w:tc>
          <w:tcPr>
            <w:tcW w:w="708" w:type="dxa"/>
            <w:tcBorders>
              <w:top w:val="double" w:color="auto" w:sz="6" w:space="0"/>
              <w:bottom w:val="single" w:color="auto" w:sz="6" w:space="0"/>
            </w:tcBorders>
            <w:noWrap w:val="0"/>
            <w:vAlign w:val="center"/>
          </w:tcPr>
          <w:p w14:paraId="625B099D">
            <w:pPr>
              <w:keepNext/>
              <w:spacing w:line="440" w:lineRule="exact"/>
              <w:ind w:left="63" w:right="63"/>
              <w:rPr>
                <w:rFonts w:ascii="Times New Roman" w:hAnsi="Times New Roman" w:eastAsia="仿宋_GB2312"/>
                <w:color w:val="auto"/>
                <w:sz w:val="30"/>
                <w:szCs w:val="30"/>
                <w:highlight w:val="none"/>
              </w:rPr>
            </w:pPr>
          </w:p>
        </w:tc>
        <w:tc>
          <w:tcPr>
            <w:tcW w:w="709" w:type="dxa"/>
            <w:tcBorders>
              <w:top w:val="double" w:color="auto" w:sz="6" w:space="0"/>
              <w:bottom w:val="single" w:color="auto" w:sz="6" w:space="0"/>
            </w:tcBorders>
            <w:noWrap w:val="0"/>
            <w:vAlign w:val="center"/>
          </w:tcPr>
          <w:p w14:paraId="7BFD57FE">
            <w:pPr>
              <w:keepNext/>
              <w:spacing w:line="440" w:lineRule="exact"/>
              <w:ind w:left="63" w:right="63"/>
              <w:rPr>
                <w:rFonts w:ascii="Times New Roman" w:hAnsi="Times New Roman" w:eastAsia="仿宋_GB2312"/>
                <w:color w:val="auto"/>
                <w:sz w:val="30"/>
                <w:szCs w:val="30"/>
                <w:highlight w:val="none"/>
              </w:rPr>
            </w:pPr>
          </w:p>
        </w:tc>
        <w:tc>
          <w:tcPr>
            <w:tcW w:w="851" w:type="dxa"/>
            <w:tcBorders>
              <w:top w:val="double" w:color="auto" w:sz="6" w:space="0"/>
              <w:bottom w:val="single" w:color="auto" w:sz="6" w:space="0"/>
            </w:tcBorders>
            <w:noWrap w:val="0"/>
            <w:vAlign w:val="center"/>
          </w:tcPr>
          <w:p w14:paraId="58280C85">
            <w:pPr>
              <w:keepNext/>
              <w:spacing w:line="440" w:lineRule="exact"/>
              <w:ind w:left="63" w:right="63"/>
              <w:rPr>
                <w:rFonts w:ascii="Times New Roman" w:hAnsi="Times New Roman" w:eastAsia="仿宋_GB2312"/>
                <w:color w:val="auto"/>
                <w:sz w:val="30"/>
                <w:szCs w:val="30"/>
                <w:highlight w:val="none"/>
              </w:rPr>
            </w:pPr>
          </w:p>
        </w:tc>
        <w:tc>
          <w:tcPr>
            <w:tcW w:w="850" w:type="dxa"/>
            <w:tcBorders>
              <w:top w:val="double" w:color="auto" w:sz="6" w:space="0"/>
              <w:bottom w:val="single" w:color="auto" w:sz="6" w:space="0"/>
            </w:tcBorders>
            <w:noWrap w:val="0"/>
            <w:vAlign w:val="center"/>
          </w:tcPr>
          <w:p w14:paraId="0B89678C">
            <w:pPr>
              <w:keepNext/>
              <w:spacing w:line="440" w:lineRule="exact"/>
              <w:ind w:left="63" w:right="63"/>
              <w:rPr>
                <w:rFonts w:ascii="Times New Roman" w:hAnsi="Times New Roman" w:eastAsia="仿宋_GB2312"/>
                <w:color w:val="auto"/>
                <w:sz w:val="30"/>
                <w:szCs w:val="30"/>
                <w:highlight w:val="none"/>
              </w:rPr>
            </w:pPr>
          </w:p>
        </w:tc>
        <w:tc>
          <w:tcPr>
            <w:tcW w:w="803" w:type="dxa"/>
            <w:tcBorders>
              <w:top w:val="double" w:color="auto" w:sz="6" w:space="0"/>
              <w:bottom w:val="single" w:color="auto" w:sz="6" w:space="0"/>
            </w:tcBorders>
            <w:noWrap w:val="0"/>
            <w:vAlign w:val="center"/>
          </w:tcPr>
          <w:p w14:paraId="42014A1E">
            <w:pPr>
              <w:keepNext/>
              <w:spacing w:line="440" w:lineRule="exact"/>
              <w:ind w:left="63" w:right="63"/>
              <w:rPr>
                <w:rFonts w:ascii="Times New Roman" w:hAnsi="Times New Roman" w:eastAsia="仿宋_GB2312"/>
                <w:color w:val="auto"/>
                <w:sz w:val="30"/>
                <w:szCs w:val="30"/>
                <w:highlight w:val="none"/>
              </w:rPr>
            </w:pPr>
          </w:p>
        </w:tc>
        <w:tc>
          <w:tcPr>
            <w:tcW w:w="1465" w:type="dxa"/>
            <w:tcBorders>
              <w:top w:val="double" w:color="auto" w:sz="6" w:space="0"/>
              <w:bottom w:val="single" w:color="auto" w:sz="6" w:space="0"/>
            </w:tcBorders>
            <w:noWrap w:val="0"/>
            <w:vAlign w:val="center"/>
          </w:tcPr>
          <w:p w14:paraId="5DC11DBD">
            <w:pPr>
              <w:keepNext/>
              <w:spacing w:line="440" w:lineRule="exact"/>
              <w:ind w:left="63" w:right="63"/>
              <w:rPr>
                <w:rFonts w:ascii="Times New Roman" w:hAnsi="Times New Roman" w:eastAsia="仿宋_GB2312"/>
                <w:color w:val="auto"/>
                <w:sz w:val="30"/>
                <w:szCs w:val="30"/>
                <w:highlight w:val="none"/>
              </w:rPr>
            </w:pPr>
          </w:p>
        </w:tc>
        <w:tc>
          <w:tcPr>
            <w:tcW w:w="803" w:type="dxa"/>
            <w:tcBorders>
              <w:top w:val="double" w:color="auto" w:sz="6" w:space="0"/>
              <w:bottom w:val="single" w:color="auto" w:sz="6" w:space="0"/>
            </w:tcBorders>
            <w:noWrap w:val="0"/>
            <w:vAlign w:val="center"/>
          </w:tcPr>
          <w:p w14:paraId="5D7A1EDE">
            <w:pPr>
              <w:keepNext/>
              <w:spacing w:line="440" w:lineRule="exact"/>
              <w:ind w:left="63" w:right="63"/>
              <w:rPr>
                <w:rFonts w:ascii="Times New Roman" w:hAnsi="Times New Roman" w:eastAsia="仿宋_GB2312"/>
                <w:color w:val="auto"/>
                <w:sz w:val="30"/>
                <w:szCs w:val="30"/>
                <w:highlight w:val="none"/>
              </w:rPr>
            </w:pPr>
          </w:p>
        </w:tc>
      </w:tr>
      <w:tr w14:paraId="2231B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tcBorders>
              <w:top w:val="nil"/>
            </w:tcBorders>
            <w:noWrap w:val="0"/>
            <w:vAlign w:val="center"/>
          </w:tcPr>
          <w:p w14:paraId="4500E9FA">
            <w:pPr>
              <w:keepNext/>
              <w:spacing w:line="440" w:lineRule="exact"/>
              <w:ind w:left="63" w:right="63"/>
              <w:rPr>
                <w:rFonts w:ascii="Times New Roman" w:hAnsi="Times New Roman" w:eastAsia="仿宋_GB2312"/>
                <w:color w:val="auto"/>
                <w:sz w:val="30"/>
                <w:szCs w:val="30"/>
                <w:highlight w:val="none"/>
              </w:rPr>
            </w:pPr>
          </w:p>
        </w:tc>
        <w:tc>
          <w:tcPr>
            <w:tcW w:w="1134" w:type="dxa"/>
            <w:tcBorders>
              <w:top w:val="nil"/>
            </w:tcBorders>
            <w:noWrap w:val="0"/>
            <w:vAlign w:val="center"/>
          </w:tcPr>
          <w:p w14:paraId="1A614FE0">
            <w:pPr>
              <w:keepNext/>
              <w:spacing w:line="440" w:lineRule="exact"/>
              <w:ind w:left="63" w:right="63"/>
              <w:rPr>
                <w:rFonts w:ascii="Times New Roman" w:hAnsi="Times New Roman" w:eastAsia="仿宋_GB2312"/>
                <w:color w:val="auto"/>
                <w:sz w:val="30"/>
                <w:szCs w:val="30"/>
                <w:highlight w:val="none"/>
              </w:rPr>
            </w:pPr>
          </w:p>
        </w:tc>
        <w:tc>
          <w:tcPr>
            <w:tcW w:w="851" w:type="dxa"/>
            <w:tcBorders>
              <w:top w:val="nil"/>
            </w:tcBorders>
            <w:noWrap w:val="0"/>
            <w:vAlign w:val="center"/>
          </w:tcPr>
          <w:p w14:paraId="0C5F133F">
            <w:pPr>
              <w:keepNext/>
              <w:spacing w:line="440" w:lineRule="exact"/>
              <w:ind w:left="63" w:right="63"/>
              <w:rPr>
                <w:rFonts w:ascii="Times New Roman" w:hAnsi="Times New Roman" w:eastAsia="仿宋_GB2312"/>
                <w:color w:val="auto"/>
                <w:sz w:val="30"/>
                <w:szCs w:val="30"/>
                <w:highlight w:val="none"/>
              </w:rPr>
            </w:pPr>
          </w:p>
        </w:tc>
        <w:tc>
          <w:tcPr>
            <w:tcW w:w="708" w:type="dxa"/>
            <w:tcBorders>
              <w:top w:val="nil"/>
            </w:tcBorders>
            <w:noWrap w:val="0"/>
            <w:vAlign w:val="center"/>
          </w:tcPr>
          <w:p w14:paraId="5F53E3A1">
            <w:pPr>
              <w:keepNext/>
              <w:spacing w:line="440" w:lineRule="exact"/>
              <w:ind w:left="63" w:right="63"/>
              <w:rPr>
                <w:rFonts w:ascii="Times New Roman" w:hAnsi="Times New Roman" w:eastAsia="仿宋_GB2312"/>
                <w:color w:val="auto"/>
                <w:sz w:val="30"/>
                <w:szCs w:val="30"/>
                <w:highlight w:val="none"/>
              </w:rPr>
            </w:pPr>
          </w:p>
        </w:tc>
        <w:tc>
          <w:tcPr>
            <w:tcW w:w="709" w:type="dxa"/>
            <w:tcBorders>
              <w:top w:val="nil"/>
            </w:tcBorders>
            <w:noWrap w:val="0"/>
            <w:vAlign w:val="center"/>
          </w:tcPr>
          <w:p w14:paraId="2E65095B">
            <w:pPr>
              <w:keepNext/>
              <w:spacing w:line="440" w:lineRule="exact"/>
              <w:ind w:left="63" w:right="63"/>
              <w:rPr>
                <w:rFonts w:ascii="Times New Roman" w:hAnsi="Times New Roman" w:eastAsia="仿宋_GB2312"/>
                <w:color w:val="auto"/>
                <w:sz w:val="30"/>
                <w:szCs w:val="30"/>
                <w:highlight w:val="none"/>
              </w:rPr>
            </w:pPr>
          </w:p>
        </w:tc>
        <w:tc>
          <w:tcPr>
            <w:tcW w:w="851" w:type="dxa"/>
            <w:tcBorders>
              <w:top w:val="nil"/>
            </w:tcBorders>
            <w:noWrap w:val="0"/>
            <w:vAlign w:val="center"/>
          </w:tcPr>
          <w:p w14:paraId="6CE7D63E">
            <w:pPr>
              <w:keepNext/>
              <w:spacing w:line="440" w:lineRule="exact"/>
              <w:ind w:left="63" w:right="63"/>
              <w:rPr>
                <w:rFonts w:ascii="Times New Roman" w:hAnsi="Times New Roman" w:eastAsia="仿宋_GB2312"/>
                <w:color w:val="auto"/>
                <w:sz w:val="30"/>
                <w:szCs w:val="30"/>
                <w:highlight w:val="none"/>
              </w:rPr>
            </w:pPr>
          </w:p>
        </w:tc>
        <w:tc>
          <w:tcPr>
            <w:tcW w:w="850" w:type="dxa"/>
            <w:tcBorders>
              <w:top w:val="nil"/>
            </w:tcBorders>
            <w:noWrap w:val="0"/>
            <w:vAlign w:val="center"/>
          </w:tcPr>
          <w:p w14:paraId="5494531F">
            <w:pPr>
              <w:keepNext/>
              <w:spacing w:line="440" w:lineRule="exact"/>
              <w:ind w:left="63" w:right="63"/>
              <w:rPr>
                <w:rFonts w:ascii="Times New Roman" w:hAnsi="Times New Roman" w:eastAsia="仿宋_GB2312"/>
                <w:color w:val="auto"/>
                <w:sz w:val="30"/>
                <w:szCs w:val="30"/>
                <w:highlight w:val="none"/>
              </w:rPr>
            </w:pPr>
          </w:p>
        </w:tc>
        <w:tc>
          <w:tcPr>
            <w:tcW w:w="803" w:type="dxa"/>
            <w:tcBorders>
              <w:top w:val="nil"/>
            </w:tcBorders>
            <w:noWrap w:val="0"/>
            <w:vAlign w:val="center"/>
          </w:tcPr>
          <w:p w14:paraId="50BF04ED">
            <w:pPr>
              <w:keepNext/>
              <w:spacing w:line="440" w:lineRule="exact"/>
              <w:ind w:left="63" w:right="63"/>
              <w:rPr>
                <w:rFonts w:ascii="Times New Roman" w:hAnsi="Times New Roman" w:eastAsia="仿宋_GB2312"/>
                <w:color w:val="auto"/>
                <w:sz w:val="30"/>
                <w:szCs w:val="30"/>
                <w:highlight w:val="none"/>
              </w:rPr>
            </w:pPr>
          </w:p>
        </w:tc>
        <w:tc>
          <w:tcPr>
            <w:tcW w:w="1465" w:type="dxa"/>
            <w:tcBorders>
              <w:top w:val="nil"/>
            </w:tcBorders>
            <w:noWrap w:val="0"/>
            <w:vAlign w:val="center"/>
          </w:tcPr>
          <w:p w14:paraId="7A100755">
            <w:pPr>
              <w:keepNext/>
              <w:spacing w:line="440" w:lineRule="exact"/>
              <w:ind w:left="63" w:right="63"/>
              <w:rPr>
                <w:rFonts w:ascii="Times New Roman" w:hAnsi="Times New Roman" w:eastAsia="仿宋_GB2312"/>
                <w:color w:val="auto"/>
                <w:sz w:val="30"/>
                <w:szCs w:val="30"/>
                <w:highlight w:val="none"/>
              </w:rPr>
            </w:pPr>
          </w:p>
        </w:tc>
        <w:tc>
          <w:tcPr>
            <w:tcW w:w="803" w:type="dxa"/>
            <w:tcBorders>
              <w:top w:val="nil"/>
            </w:tcBorders>
            <w:noWrap w:val="0"/>
            <w:vAlign w:val="center"/>
          </w:tcPr>
          <w:p w14:paraId="063C7603">
            <w:pPr>
              <w:keepNext/>
              <w:spacing w:line="440" w:lineRule="exact"/>
              <w:ind w:left="63" w:right="63"/>
              <w:rPr>
                <w:rFonts w:ascii="Times New Roman" w:hAnsi="Times New Roman" w:eastAsia="仿宋_GB2312"/>
                <w:color w:val="auto"/>
                <w:sz w:val="30"/>
                <w:szCs w:val="30"/>
                <w:highlight w:val="none"/>
              </w:rPr>
            </w:pPr>
          </w:p>
        </w:tc>
      </w:tr>
      <w:tr w14:paraId="16A166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4FE17D1C">
            <w:pPr>
              <w:keepNext/>
              <w:spacing w:line="440" w:lineRule="exact"/>
              <w:ind w:left="63" w:right="63"/>
              <w:rPr>
                <w:rFonts w:ascii="Times New Roman" w:hAnsi="Times New Roman" w:eastAsia="仿宋_GB2312"/>
                <w:color w:val="auto"/>
                <w:sz w:val="30"/>
                <w:szCs w:val="30"/>
                <w:highlight w:val="none"/>
              </w:rPr>
            </w:pPr>
          </w:p>
        </w:tc>
        <w:tc>
          <w:tcPr>
            <w:tcW w:w="1134" w:type="dxa"/>
            <w:noWrap w:val="0"/>
            <w:vAlign w:val="center"/>
          </w:tcPr>
          <w:p w14:paraId="344F99FD">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40FE4FC7">
            <w:pPr>
              <w:keepNext/>
              <w:spacing w:line="440" w:lineRule="exact"/>
              <w:ind w:left="63" w:right="63"/>
              <w:rPr>
                <w:rFonts w:ascii="Times New Roman" w:hAnsi="Times New Roman" w:eastAsia="仿宋_GB2312"/>
                <w:color w:val="auto"/>
                <w:sz w:val="30"/>
                <w:szCs w:val="30"/>
                <w:highlight w:val="none"/>
              </w:rPr>
            </w:pPr>
          </w:p>
        </w:tc>
        <w:tc>
          <w:tcPr>
            <w:tcW w:w="708" w:type="dxa"/>
            <w:noWrap w:val="0"/>
            <w:vAlign w:val="center"/>
          </w:tcPr>
          <w:p w14:paraId="2C30A4B2">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49E91526">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433ACC68">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51AA6949">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40CF2427">
            <w:pPr>
              <w:keepNext/>
              <w:spacing w:line="440" w:lineRule="exact"/>
              <w:ind w:left="63" w:right="63"/>
              <w:rPr>
                <w:rFonts w:ascii="Times New Roman" w:hAnsi="Times New Roman" w:eastAsia="仿宋_GB2312"/>
                <w:color w:val="auto"/>
                <w:sz w:val="30"/>
                <w:szCs w:val="30"/>
                <w:highlight w:val="none"/>
              </w:rPr>
            </w:pPr>
          </w:p>
        </w:tc>
        <w:tc>
          <w:tcPr>
            <w:tcW w:w="1465" w:type="dxa"/>
            <w:noWrap w:val="0"/>
            <w:vAlign w:val="center"/>
          </w:tcPr>
          <w:p w14:paraId="42B2519F">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63881E5B">
            <w:pPr>
              <w:keepNext/>
              <w:spacing w:line="440" w:lineRule="exact"/>
              <w:ind w:left="63" w:right="63"/>
              <w:rPr>
                <w:rFonts w:ascii="Times New Roman" w:hAnsi="Times New Roman" w:eastAsia="仿宋_GB2312"/>
                <w:color w:val="auto"/>
                <w:sz w:val="30"/>
                <w:szCs w:val="30"/>
                <w:highlight w:val="none"/>
              </w:rPr>
            </w:pPr>
          </w:p>
        </w:tc>
      </w:tr>
      <w:tr w14:paraId="4009F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7FF918C">
            <w:pPr>
              <w:keepNext/>
              <w:spacing w:line="440" w:lineRule="exact"/>
              <w:ind w:left="63" w:right="63"/>
              <w:rPr>
                <w:rFonts w:ascii="Times New Roman" w:hAnsi="Times New Roman" w:eastAsia="仿宋_GB2312"/>
                <w:color w:val="auto"/>
                <w:sz w:val="30"/>
                <w:szCs w:val="30"/>
                <w:highlight w:val="none"/>
              </w:rPr>
            </w:pPr>
          </w:p>
        </w:tc>
        <w:tc>
          <w:tcPr>
            <w:tcW w:w="1134" w:type="dxa"/>
            <w:noWrap w:val="0"/>
            <w:vAlign w:val="center"/>
          </w:tcPr>
          <w:p w14:paraId="3F13A66F">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0CE97B76">
            <w:pPr>
              <w:keepNext/>
              <w:spacing w:line="440" w:lineRule="exact"/>
              <w:ind w:left="63" w:right="63"/>
              <w:rPr>
                <w:rFonts w:ascii="Times New Roman" w:hAnsi="Times New Roman" w:eastAsia="仿宋_GB2312"/>
                <w:color w:val="auto"/>
                <w:sz w:val="30"/>
                <w:szCs w:val="30"/>
                <w:highlight w:val="none"/>
              </w:rPr>
            </w:pPr>
          </w:p>
        </w:tc>
        <w:tc>
          <w:tcPr>
            <w:tcW w:w="708" w:type="dxa"/>
            <w:noWrap w:val="0"/>
            <w:vAlign w:val="center"/>
          </w:tcPr>
          <w:p w14:paraId="01E51A24">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6FC4234D">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7AF51F37">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1BF4B3DE">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45EE82FE">
            <w:pPr>
              <w:keepNext/>
              <w:spacing w:line="440" w:lineRule="exact"/>
              <w:ind w:left="63" w:right="63"/>
              <w:rPr>
                <w:rFonts w:ascii="Times New Roman" w:hAnsi="Times New Roman" w:eastAsia="仿宋_GB2312"/>
                <w:color w:val="auto"/>
                <w:sz w:val="30"/>
                <w:szCs w:val="30"/>
                <w:highlight w:val="none"/>
              </w:rPr>
            </w:pPr>
          </w:p>
        </w:tc>
        <w:tc>
          <w:tcPr>
            <w:tcW w:w="1465" w:type="dxa"/>
            <w:noWrap w:val="0"/>
            <w:vAlign w:val="center"/>
          </w:tcPr>
          <w:p w14:paraId="5F38FB9A">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10252E64">
            <w:pPr>
              <w:keepNext/>
              <w:spacing w:line="440" w:lineRule="exact"/>
              <w:ind w:left="63" w:right="63"/>
              <w:rPr>
                <w:rFonts w:ascii="Times New Roman" w:hAnsi="Times New Roman" w:eastAsia="仿宋_GB2312"/>
                <w:color w:val="auto"/>
                <w:sz w:val="30"/>
                <w:szCs w:val="30"/>
                <w:highlight w:val="none"/>
              </w:rPr>
            </w:pPr>
          </w:p>
        </w:tc>
      </w:tr>
      <w:tr w14:paraId="7AEB49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199C1544">
            <w:pPr>
              <w:keepNext/>
              <w:spacing w:line="440" w:lineRule="exact"/>
              <w:ind w:left="63" w:right="63"/>
              <w:rPr>
                <w:rFonts w:ascii="Times New Roman" w:hAnsi="Times New Roman" w:eastAsia="仿宋_GB2312"/>
                <w:color w:val="auto"/>
                <w:sz w:val="30"/>
                <w:szCs w:val="30"/>
                <w:highlight w:val="none"/>
              </w:rPr>
            </w:pPr>
          </w:p>
        </w:tc>
        <w:tc>
          <w:tcPr>
            <w:tcW w:w="1134" w:type="dxa"/>
            <w:noWrap w:val="0"/>
            <w:vAlign w:val="center"/>
          </w:tcPr>
          <w:p w14:paraId="09FD7545">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0B9D4448">
            <w:pPr>
              <w:keepNext/>
              <w:spacing w:line="440" w:lineRule="exact"/>
              <w:ind w:left="63" w:right="63"/>
              <w:rPr>
                <w:rFonts w:ascii="Times New Roman" w:hAnsi="Times New Roman" w:eastAsia="仿宋_GB2312"/>
                <w:color w:val="auto"/>
                <w:sz w:val="30"/>
                <w:szCs w:val="30"/>
                <w:highlight w:val="none"/>
              </w:rPr>
            </w:pPr>
          </w:p>
        </w:tc>
        <w:tc>
          <w:tcPr>
            <w:tcW w:w="708" w:type="dxa"/>
            <w:noWrap w:val="0"/>
            <w:vAlign w:val="center"/>
          </w:tcPr>
          <w:p w14:paraId="6325AF44">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4A857393">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196766CA">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6F347557">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3BC4D068">
            <w:pPr>
              <w:keepNext/>
              <w:spacing w:line="440" w:lineRule="exact"/>
              <w:ind w:left="63" w:right="63"/>
              <w:rPr>
                <w:rFonts w:ascii="Times New Roman" w:hAnsi="Times New Roman" w:eastAsia="仿宋_GB2312"/>
                <w:color w:val="auto"/>
                <w:sz w:val="30"/>
                <w:szCs w:val="30"/>
                <w:highlight w:val="none"/>
              </w:rPr>
            </w:pPr>
          </w:p>
        </w:tc>
        <w:tc>
          <w:tcPr>
            <w:tcW w:w="1465" w:type="dxa"/>
            <w:noWrap w:val="0"/>
            <w:vAlign w:val="center"/>
          </w:tcPr>
          <w:p w14:paraId="25354EA7">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44CAA706">
            <w:pPr>
              <w:keepNext/>
              <w:spacing w:line="440" w:lineRule="exact"/>
              <w:ind w:left="63" w:right="63"/>
              <w:rPr>
                <w:rFonts w:ascii="Times New Roman" w:hAnsi="Times New Roman" w:eastAsia="仿宋_GB2312"/>
                <w:color w:val="auto"/>
                <w:sz w:val="30"/>
                <w:szCs w:val="30"/>
                <w:highlight w:val="none"/>
              </w:rPr>
            </w:pPr>
          </w:p>
        </w:tc>
      </w:tr>
      <w:tr w14:paraId="32350C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2E66A294">
            <w:pPr>
              <w:keepNext/>
              <w:spacing w:line="440" w:lineRule="exact"/>
              <w:ind w:left="63" w:right="63"/>
              <w:rPr>
                <w:rFonts w:ascii="Times New Roman" w:hAnsi="Times New Roman" w:eastAsia="仿宋_GB2312"/>
                <w:color w:val="auto"/>
                <w:sz w:val="30"/>
                <w:szCs w:val="30"/>
                <w:highlight w:val="none"/>
              </w:rPr>
            </w:pPr>
          </w:p>
        </w:tc>
        <w:tc>
          <w:tcPr>
            <w:tcW w:w="1134" w:type="dxa"/>
            <w:noWrap w:val="0"/>
            <w:vAlign w:val="center"/>
          </w:tcPr>
          <w:p w14:paraId="07C62E8F">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020957B9">
            <w:pPr>
              <w:keepNext/>
              <w:spacing w:line="440" w:lineRule="exact"/>
              <w:ind w:left="63" w:right="63"/>
              <w:rPr>
                <w:rFonts w:ascii="Times New Roman" w:hAnsi="Times New Roman" w:eastAsia="仿宋_GB2312"/>
                <w:color w:val="auto"/>
                <w:sz w:val="30"/>
                <w:szCs w:val="30"/>
                <w:highlight w:val="none"/>
              </w:rPr>
            </w:pPr>
          </w:p>
        </w:tc>
        <w:tc>
          <w:tcPr>
            <w:tcW w:w="708" w:type="dxa"/>
            <w:noWrap w:val="0"/>
            <w:vAlign w:val="center"/>
          </w:tcPr>
          <w:p w14:paraId="3F760B6D">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6CAD486E">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55FF9D04">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287AD337">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60B9E745">
            <w:pPr>
              <w:keepNext/>
              <w:spacing w:line="440" w:lineRule="exact"/>
              <w:ind w:left="63" w:right="63"/>
              <w:rPr>
                <w:rFonts w:ascii="Times New Roman" w:hAnsi="Times New Roman" w:eastAsia="仿宋_GB2312"/>
                <w:color w:val="auto"/>
                <w:sz w:val="30"/>
                <w:szCs w:val="30"/>
                <w:highlight w:val="none"/>
              </w:rPr>
            </w:pPr>
          </w:p>
        </w:tc>
        <w:tc>
          <w:tcPr>
            <w:tcW w:w="1465" w:type="dxa"/>
            <w:noWrap w:val="0"/>
            <w:vAlign w:val="center"/>
          </w:tcPr>
          <w:p w14:paraId="2AD61628">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6F315702">
            <w:pPr>
              <w:keepNext/>
              <w:spacing w:line="440" w:lineRule="exact"/>
              <w:ind w:left="63" w:right="63"/>
              <w:rPr>
                <w:rFonts w:ascii="Times New Roman" w:hAnsi="Times New Roman" w:eastAsia="仿宋_GB2312"/>
                <w:color w:val="auto"/>
                <w:sz w:val="30"/>
                <w:szCs w:val="30"/>
                <w:highlight w:val="none"/>
              </w:rPr>
            </w:pPr>
          </w:p>
        </w:tc>
      </w:tr>
      <w:tr w14:paraId="13BA5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0BB9B2BB">
            <w:pPr>
              <w:keepNext/>
              <w:spacing w:line="440" w:lineRule="exact"/>
              <w:ind w:left="63" w:right="63"/>
              <w:rPr>
                <w:rFonts w:ascii="Times New Roman" w:hAnsi="Times New Roman" w:eastAsia="仿宋_GB2312"/>
                <w:color w:val="auto"/>
                <w:sz w:val="30"/>
                <w:szCs w:val="30"/>
                <w:highlight w:val="none"/>
              </w:rPr>
            </w:pPr>
          </w:p>
        </w:tc>
        <w:tc>
          <w:tcPr>
            <w:tcW w:w="1134" w:type="dxa"/>
            <w:noWrap w:val="0"/>
            <w:vAlign w:val="center"/>
          </w:tcPr>
          <w:p w14:paraId="3496ECD2">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2841E590">
            <w:pPr>
              <w:keepNext/>
              <w:spacing w:line="440" w:lineRule="exact"/>
              <w:ind w:left="63" w:right="63"/>
              <w:rPr>
                <w:rFonts w:ascii="Times New Roman" w:hAnsi="Times New Roman" w:eastAsia="仿宋_GB2312"/>
                <w:color w:val="auto"/>
                <w:sz w:val="30"/>
                <w:szCs w:val="30"/>
                <w:highlight w:val="none"/>
              </w:rPr>
            </w:pPr>
          </w:p>
        </w:tc>
        <w:tc>
          <w:tcPr>
            <w:tcW w:w="708" w:type="dxa"/>
            <w:noWrap w:val="0"/>
            <w:vAlign w:val="center"/>
          </w:tcPr>
          <w:p w14:paraId="72325981">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2FD599DD">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2B5C9863">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42D6AF1B">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4A6084C0">
            <w:pPr>
              <w:keepNext/>
              <w:spacing w:line="440" w:lineRule="exact"/>
              <w:ind w:left="63" w:right="63"/>
              <w:rPr>
                <w:rFonts w:ascii="Times New Roman" w:hAnsi="Times New Roman" w:eastAsia="仿宋_GB2312"/>
                <w:color w:val="auto"/>
                <w:sz w:val="30"/>
                <w:szCs w:val="30"/>
                <w:highlight w:val="none"/>
              </w:rPr>
            </w:pPr>
          </w:p>
        </w:tc>
        <w:tc>
          <w:tcPr>
            <w:tcW w:w="1465" w:type="dxa"/>
            <w:noWrap w:val="0"/>
            <w:vAlign w:val="center"/>
          </w:tcPr>
          <w:p w14:paraId="02FFA37E">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77618A1C">
            <w:pPr>
              <w:keepNext/>
              <w:spacing w:line="440" w:lineRule="exact"/>
              <w:ind w:left="63" w:right="63"/>
              <w:rPr>
                <w:rFonts w:ascii="Times New Roman" w:hAnsi="Times New Roman" w:eastAsia="仿宋_GB2312"/>
                <w:color w:val="auto"/>
                <w:sz w:val="30"/>
                <w:szCs w:val="30"/>
                <w:highlight w:val="none"/>
              </w:rPr>
            </w:pPr>
          </w:p>
        </w:tc>
      </w:tr>
      <w:tr w14:paraId="401C49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1C6DC183">
            <w:pPr>
              <w:keepNext/>
              <w:spacing w:line="440" w:lineRule="exact"/>
              <w:ind w:left="63" w:right="63"/>
              <w:rPr>
                <w:rFonts w:ascii="Times New Roman" w:hAnsi="Times New Roman" w:eastAsia="仿宋_GB2312"/>
                <w:color w:val="auto"/>
                <w:sz w:val="30"/>
                <w:szCs w:val="30"/>
                <w:highlight w:val="none"/>
              </w:rPr>
            </w:pPr>
          </w:p>
        </w:tc>
        <w:tc>
          <w:tcPr>
            <w:tcW w:w="1134" w:type="dxa"/>
            <w:noWrap w:val="0"/>
            <w:vAlign w:val="center"/>
          </w:tcPr>
          <w:p w14:paraId="18D84A32">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59B90CB4">
            <w:pPr>
              <w:keepNext/>
              <w:spacing w:line="440" w:lineRule="exact"/>
              <w:ind w:left="63" w:right="63"/>
              <w:rPr>
                <w:rFonts w:ascii="Times New Roman" w:hAnsi="Times New Roman" w:eastAsia="仿宋_GB2312"/>
                <w:color w:val="auto"/>
                <w:sz w:val="30"/>
                <w:szCs w:val="30"/>
                <w:highlight w:val="none"/>
              </w:rPr>
            </w:pPr>
          </w:p>
        </w:tc>
        <w:tc>
          <w:tcPr>
            <w:tcW w:w="708" w:type="dxa"/>
            <w:noWrap w:val="0"/>
            <w:vAlign w:val="center"/>
          </w:tcPr>
          <w:p w14:paraId="5FA48187">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19E94CED">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6755A84B">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62305F0B">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1AB380F5">
            <w:pPr>
              <w:keepNext/>
              <w:spacing w:line="440" w:lineRule="exact"/>
              <w:ind w:left="63" w:right="63"/>
              <w:rPr>
                <w:rFonts w:ascii="Times New Roman" w:hAnsi="Times New Roman" w:eastAsia="仿宋_GB2312"/>
                <w:color w:val="auto"/>
                <w:sz w:val="30"/>
                <w:szCs w:val="30"/>
                <w:highlight w:val="none"/>
              </w:rPr>
            </w:pPr>
          </w:p>
        </w:tc>
        <w:tc>
          <w:tcPr>
            <w:tcW w:w="1465" w:type="dxa"/>
            <w:noWrap w:val="0"/>
            <w:vAlign w:val="center"/>
          </w:tcPr>
          <w:p w14:paraId="237F3565">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53302004">
            <w:pPr>
              <w:keepNext/>
              <w:spacing w:line="440" w:lineRule="exact"/>
              <w:ind w:left="63" w:right="63"/>
              <w:rPr>
                <w:rFonts w:ascii="Times New Roman" w:hAnsi="Times New Roman" w:eastAsia="仿宋_GB2312"/>
                <w:color w:val="auto"/>
                <w:sz w:val="30"/>
                <w:szCs w:val="30"/>
                <w:highlight w:val="none"/>
              </w:rPr>
            </w:pPr>
          </w:p>
        </w:tc>
      </w:tr>
      <w:tr w14:paraId="60B83F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5F2F26E3">
            <w:pPr>
              <w:jc w:val="center"/>
              <w:rPr>
                <w:rFonts w:ascii="Times New Roman" w:hAnsi="Times New Roman" w:eastAsia="仿宋_GB2312"/>
                <w:color w:val="auto"/>
                <w:sz w:val="30"/>
                <w:szCs w:val="30"/>
                <w:highlight w:val="none"/>
              </w:rPr>
            </w:pPr>
          </w:p>
        </w:tc>
        <w:tc>
          <w:tcPr>
            <w:tcW w:w="1134" w:type="dxa"/>
            <w:noWrap w:val="0"/>
            <w:vAlign w:val="center"/>
          </w:tcPr>
          <w:p w14:paraId="4567E121">
            <w:pPr>
              <w:jc w:val="center"/>
              <w:rPr>
                <w:rFonts w:ascii="Times New Roman" w:hAnsi="Times New Roman" w:eastAsia="仿宋_GB2312"/>
                <w:color w:val="auto"/>
                <w:sz w:val="30"/>
                <w:szCs w:val="30"/>
                <w:highlight w:val="none"/>
              </w:rPr>
            </w:pPr>
          </w:p>
        </w:tc>
        <w:tc>
          <w:tcPr>
            <w:tcW w:w="851" w:type="dxa"/>
            <w:noWrap w:val="0"/>
            <w:vAlign w:val="center"/>
          </w:tcPr>
          <w:p w14:paraId="6C9CA0E1">
            <w:pPr>
              <w:jc w:val="center"/>
              <w:rPr>
                <w:rFonts w:ascii="Times New Roman" w:hAnsi="Times New Roman" w:eastAsia="仿宋_GB2312"/>
                <w:color w:val="auto"/>
                <w:sz w:val="30"/>
                <w:szCs w:val="30"/>
                <w:highlight w:val="none"/>
              </w:rPr>
            </w:pPr>
          </w:p>
        </w:tc>
        <w:tc>
          <w:tcPr>
            <w:tcW w:w="708" w:type="dxa"/>
            <w:noWrap w:val="0"/>
            <w:vAlign w:val="center"/>
          </w:tcPr>
          <w:p w14:paraId="4C825CDD">
            <w:pPr>
              <w:jc w:val="center"/>
              <w:rPr>
                <w:rFonts w:ascii="Times New Roman" w:hAnsi="Times New Roman" w:eastAsia="仿宋_GB2312"/>
                <w:color w:val="auto"/>
                <w:sz w:val="30"/>
                <w:szCs w:val="30"/>
                <w:highlight w:val="none"/>
              </w:rPr>
            </w:pPr>
          </w:p>
        </w:tc>
        <w:tc>
          <w:tcPr>
            <w:tcW w:w="709" w:type="dxa"/>
            <w:noWrap w:val="0"/>
            <w:vAlign w:val="center"/>
          </w:tcPr>
          <w:p w14:paraId="6B690A0C">
            <w:pPr>
              <w:jc w:val="center"/>
              <w:rPr>
                <w:rFonts w:ascii="Times New Roman" w:hAnsi="Times New Roman" w:eastAsia="仿宋_GB2312"/>
                <w:color w:val="auto"/>
                <w:sz w:val="30"/>
                <w:szCs w:val="30"/>
                <w:highlight w:val="none"/>
              </w:rPr>
            </w:pPr>
          </w:p>
        </w:tc>
        <w:tc>
          <w:tcPr>
            <w:tcW w:w="851" w:type="dxa"/>
            <w:noWrap w:val="0"/>
            <w:vAlign w:val="center"/>
          </w:tcPr>
          <w:p w14:paraId="1CF11DCC">
            <w:pPr>
              <w:jc w:val="center"/>
              <w:rPr>
                <w:rFonts w:ascii="Times New Roman" w:hAnsi="Times New Roman" w:eastAsia="仿宋_GB2312"/>
                <w:color w:val="auto"/>
                <w:sz w:val="30"/>
                <w:szCs w:val="30"/>
                <w:highlight w:val="none"/>
              </w:rPr>
            </w:pPr>
          </w:p>
        </w:tc>
        <w:tc>
          <w:tcPr>
            <w:tcW w:w="850" w:type="dxa"/>
            <w:noWrap w:val="0"/>
            <w:vAlign w:val="center"/>
          </w:tcPr>
          <w:p w14:paraId="5F746666">
            <w:pPr>
              <w:jc w:val="center"/>
              <w:rPr>
                <w:rFonts w:ascii="Times New Roman" w:hAnsi="Times New Roman" w:eastAsia="仿宋_GB2312"/>
                <w:color w:val="auto"/>
                <w:sz w:val="30"/>
                <w:szCs w:val="30"/>
                <w:highlight w:val="none"/>
              </w:rPr>
            </w:pPr>
          </w:p>
        </w:tc>
        <w:tc>
          <w:tcPr>
            <w:tcW w:w="803" w:type="dxa"/>
            <w:noWrap w:val="0"/>
            <w:vAlign w:val="center"/>
          </w:tcPr>
          <w:p w14:paraId="1D919AE7">
            <w:pPr>
              <w:jc w:val="center"/>
              <w:rPr>
                <w:rFonts w:ascii="Times New Roman" w:hAnsi="Times New Roman" w:eastAsia="仿宋_GB2312"/>
                <w:color w:val="auto"/>
                <w:sz w:val="30"/>
                <w:szCs w:val="30"/>
                <w:highlight w:val="none"/>
              </w:rPr>
            </w:pPr>
          </w:p>
        </w:tc>
        <w:tc>
          <w:tcPr>
            <w:tcW w:w="1465" w:type="dxa"/>
            <w:noWrap w:val="0"/>
            <w:vAlign w:val="center"/>
          </w:tcPr>
          <w:p w14:paraId="53213E24">
            <w:pPr>
              <w:jc w:val="center"/>
              <w:rPr>
                <w:rFonts w:ascii="Times New Roman" w:hAnsi="Times New Roman" w:eastAsia="仿宋_GB2312"/>
                <w:color w:val="auto"/>
                <w:sz w:val="30"/>
                <w:szCs w:val="30"/>
                <w:highlight w:val="none"/>
              </w:rPr>
            </w:pPr>
          </w:p>
        </w:tc>
        <w:tc>
          <w:tcPr>
            <w:tcW w:w="803" w:type="dxa"/>
            <w:noWrap w:val="0"/>
            <w:vAlign w:val="center"/>
          </w:tcPr>
          <w:p w14:paraId="74B9D6BD">
            <w:pPr>
              <w:jc w:val="center"/>
              <w:rPr>
                <w:rFonts w:ascii="Times New Roman" w:hAnsi="Times New Roman" w:eastAsia="仿宋_GB2312"/>
                <w:color w:val="auto"/>
                <w:sz w:val="30"/>
                <w:szCs w:val="30"/>
                <w:highlight w:val="none"/>
              </w:rPr>
            </w:pPr>
          </w:p>
        </w:tc>
      </w:tr>
      <w:tr w14:paraId="7CCDE1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9D5E864">
            <w:pPr>
              <w:keepNext/>
              <w:spacing w:line="440" w:lineRule="exact"/>
              <w:ind w:left="63" w:right="63"/>
              <w:rPr>
                <w:rFonts w:ascii="Times New Roman" w:hAnsi="Times New Roman" w:eastAsia="仿宋_GB2312"/>
                <w:color w:val="auto"/>
                <w:sz w:val="30"/>
                <w:szCs w:val="30"/>
                <w:highlight w:val="none"/>
              </w:rPr>
            </w:pPr>
          </w:p>
        </w:tc>
        <w:tc>
          <w:tcPr>
            <w:tcW w:w="1134" w:type="dxa"/>
            <w:noWrap w:val="0"/>
            <w:vAlign w:val="center"/>
          </w:tcPr>
          <w:p w14:paraId="516D8876">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7CE70765">
            <w:pPr>
              <w:keepNext/>
              <w:spacing w:line="440" w:lineRule="exact"/>
              <w:ind w:left="63" w:right="63"/>
              <w:rPr>
                <w:rFonts w:ascii="Times New Roman" w:hAnsi="Times New Roman" w:eastAsia="仿宋_GB2312"/>
                <w:color w:val="auto"/>
                <w:sz w:val="30"/>
                <w:szCs w:val="30"/>
                <w:highlight w:val="none"/>
              </w:rPr>
            </w:pPr>
          </w:p>
        </w:tc>
        <w:tc>
          <w:tcPr>
            <w:tcW w:w="708" w:type="dxa"/>
            <w:noWrap w:val="0"/>
            <w:vAlign w:val="center"/>
          </w:tcPr>
          <w:p w14:paraId="2727B9B6">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5002AA05">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224B6863">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00F069CB">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27D35B39">
            <w:pPr>
              <w:keepNext/>
              <w:spacing w:line="440" w:lineRule="exact"/>
              <w:ind w:left="63" w:right="63"/>
              <w:rPr>
                <w:rFonts w:ascii="Times New Roman" w:hAnsi="Times New Roman" w:eastAsia="仿宋_GB2312"/>
                <w:color w:val="auto"/>
                <w:sz w:val="30"/>
                <w:szCs w:val="30"/>
                <w:highlight w:val="none"/>
              </w:rPr>
            </w:pPr>
          </w:p>
        </w:tc>
        <w:tc>
          <w:tcPr>
            <w:tcW w:w="1465" w:type="dxa"/>
            <w:noWrap w:val="0"/>
            <w:vAlign w:val="center"/>
          </w:tcPr>
          <w:p w14:paraId="1082FD2E">
            <w:pPr>
              <w:keepNext/>
              <w:spacing w:line="440" w:lineRule="exact"/>
              <w:ind w:left="63" w:right="63"/>
              <w:rPr>
                <w:rFonts w:ascii="Times New Roman" w:hAnsi="Times New Roman" w:eastAsia="仿宋_GB2312"/>
                <w:color w:val="auto"/>
                <w:sz w:val="30"/>
                <w:szCs w:val="30"/>
                <w:highlight w:val="none"/>
              </w:rPr>
            </w:pPr>
          </w:p>
        </w:tc>
        <w:tc>
          <w:tcPr>
            <w:tcW w:w="803" w:type="dxa"/>
            <w:noWrap w:val="0"/>
            <w:vAlign w:val="center"/>
          </w:tcPr>
          <w:p w14:paraId="73A60CF9">
            <w:pPr>
              <w:keepNext/>
              <w:spacing w:line="440" w:lineRule="exact"/>
              <w:ind w:left="63" w:right="63"/>
              <w:rPr>
                <w:rFonts w:ascii="Times New Roman" w:hAnsi="Times New Roman" w:eastAsia="仿宋_GB2312"/>
                <w:color w:val="auto"/>
                <w:sz w:val="30"/>
                <w:szCs w:val="30"/>
                <w:highlight w:val="none"/>
              </w:rPr>
            </w:pPr>
          </w:p>
        </w:tc>
      </w:tr>
      <w:tr w14:paraId="06136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2534A993">
            <w:pPr>
              <w:jc w:val="center"/>
              <w:rPr>
                <w:rFonts w:ascii="Times New Roman" w:hAnsi="Times New Roman" w:eastAsia="仿宋_GB2312"/>
                <w:color w:val="auto"/>
                <w:sz w:val="30"/>
                <w:szCs w:val="30"/>
                <w:highlight w:val="none"/>
              </w:rPr>
            </w:pPr>
          </w:p>
        </w:tc>
        <w:tc>
          <w:tcPr>
            <w:tcW w:w="1134" w:type="dxa"/>
            <w:noWrap w:val="0"/>
            <w:vAlign w:val="center"/>
          </w:tcPr>
          <w:p w14:paraId="4896FC1C">
            <w:pPr>
              <w:jc w:val="center"/>
              <w:rPr>
                <w:rFonts w:ascii="Times New Roman" w:hAnsi="Times New Roman" w:eastAsia="仿宋_GB2312"/>
                <w:color w:val="auto"/>
                <w:sz w:val="30"/>
                <w:szCs w:val="30"/>
                <w:highlight w:val="none"/>
              </w:rPr>
            </w:pPr>
          </w:p>
        </w:tc>
        <w:tc>
          <w:tcPr>
            <w:tcW w:w="851" w:type="dxa"/>
            <w:noWrap w:val="0"/>
            <w:vAlign w:val="center"/>
          </w:tcPr>
          <w:p w14:paraId="7B0BCF16">
            <w:pPr>
              <w:jc w:val="center"/>
              <w:rPr>
                <w:rFonts w:ascii="Times New Roman" w:hAnsi="Times New Roman" w:eastAsia="仿宋_GB2312"/>
                <w:color w:val="auto"/>
                <w:sz w:val="30"/>
                <w:szCs w:val="30"/>
                <w:highlight w:val="none"/>
              </w:rPr>
            </w:pPr>
          </w:p>
        </w:tc>
        <w:tc>
          <w:tcPr>
            <w:tcW w:w="708" w:type="dxa"/>
            <w:noWrap w:val="0"/>
            <w:vAlign w:val="center"/>
          </w:tcPr>
          <w:p w14:paraId="440A367C">
            <w:pPr>
              <w:jc w:val="center"/>
              <w:rPr>
                <w:rFonts w:ascii="Times New Roman" w:hAnsi="Times New Roman" w:eastAsia="仿宋_GB2312"/>
                <w:color w:val="auto"/>
                <w:sz w:val="30"/>
                <w:szCs w:val="30"/>
                <w:highlight w:val="none"/>
              </w:rPr>
            </w:pPr>
          </w:p>
        </w:tc>
        <w:tc>
          <w:tcPr>
            <w:tcW w:w="709" w:type="dxa"/>
            <w:noWrap w:val="0"/>
            <w:vAlign w:val="center"/>
          </w:tcPr>
          <w:p w14:paraId="4A49E840">
            <w:pPr>
              <w:jc w:val="center"/>
              <w:rPr>
                <w:rFonts w:ascii="Times New Roman" w:hAnsi="Times New Roman" w:eastAsia="仿宋_GB2312"/>
                <w:color w:val="auto"/>
                <w:sz w:val="30"/>
                <w:szCs w:val="30"/>
                <w:highlight w:val="none"/>
              </w:rPr>
            </w:pPr>
          </w:p>
        </w:tc>
        <w:tc>
          <w:tcPr>
            <w:tcW w:w="851" w:type="dxa"/>
            <w:noWrap w:val="0"/>
            <w:vAlign w:val="center"/>
          </w:tcPr>
          <w:p w14:paraId="4B53786C">
            <w:pPr>
              <w:jc w:val="center"/>
              <w:rPr>
                <w:rFonts w:ascii="Times New Roman" w:hAnsi="Times New Roman" w:eastAsia="仿宋_GB2312"/>
                <w:color w:val="auto"/>
                <w:sz w:val="30"/>
                <w:szCs w:val="30"/>
                <w:highlight w:val="none"/>
              </w:rPr>
            </w:pPr>
          </w:p>
        </w:tc>
        <w:tc>
          <w:tcPr>
            <w:tcW w:w="850" w:type="dxa"/>
            <w:noWrap w:val="0"/>
            <w:vAlign w:val="center"/>
          </w:tcPr>
          <w:p w14:paraId="424CE2BD">
            <w:pPr>
              <w:jc w:val="center"/>
              <w:rPr>
                <w:rFonts w:ascii="Times New Roman" w:hAnsi="Times New Roman" w:eastAsia="仿宋_GB2312"/>
                <w:color w:val="auto"/>
                <w:sz w:val="30"/>
                <w:szCs w:val="30"/>
                <w:highlight w:val="none"/>
              </w:rPr>
            </w:pPr>
          </w:p>
        </w:tc>
        <w:tc>
          <w:tcPr>
            <w:tcW w:w="803" w:type="dxa"/>
            <w:noWrap w:val="0"/>
            <w:vAlign w:val="center"/>
          </w:tcPr>
          <w:p w14:paraId="14179888">
            <w:pPr>
              <w:jc w:val="center"/>
              <w:rPr>
                <w:rFonts w:ascii="Times New Roman" w:hAnsi="Times New Roman" w:eastAsia="仿宋_GB2312"/>
                <w:color w:val="auto"/>
                <w:sz w:val="30"/>
                <w:szCs w:val="30"/>
                <w:highlight w:val="none"/>
              </w:rPr>
            </w:pPr>
          </w:p>
        </w:tc>
        <w:tc>
          <w:tcPr>
            <w:tcW w:w="1465" w:type="dxa"/>
            <w:noWrap w:val="0"/>
            <w:vAlign w:val="center"/>
          </w:tcPr>
          <w:p w14:paraId="672F24F4">
            <w:pPr>
              <w:jc w:val="center"/>
              <w:rPr>
                <w:rFonts w:ascii="Times New Roman" w:hAnsi="Times New Roman" w:eastAsia="仿宋_GB2312"/>
                <w:color w:val="auto"/>
                <w:sz w:val="30"/>
                <w:szCs w:val="30"/>
                <w:highlight w:val="none"/>
              </w:rPr>
            </w:pPr>
          </w:p>
        </w:tc>
        <w:tc>
          <w:tcPr>
            <w:tcW w:w="803" w:type="dxa"/>
            <w:noWrap w:val="0"/>
            <w:vAlign w:val="center"/>
          </w:tcPr>
          <w:p w14:paraId="0405CF4C">
            <w:pPr>
              <w:jc w:val="center"/>
              <w:rPr>
                <w:rFonts w:ascii="Times New Roman" w:hAnsi="Times New Roman" w:eastAsia="仿宋_GB2312"/>
                <w:color w:val="auto"/>
                <w:sz w:val="30"/>
                <w:szCs w:val="30"/>
                <w:highlight w:val="none"/>
              </w:rPr>
            </w:pPr>
          </w:p>
        </w:tc>
      </w:tr>
      <w:tr w14:paraId="03B7F0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229922D7">
            <w:pPr>
              <w:jc w:val="center"/>
              <w:rPr>
                <w:rFonts w:ascii="Times New Roman" w:hAnsi="Times New Roman" w:eastAsia="仿宋_GB2312"/>
                <w:color w:val="auto"/>
                <w:sz w:val="30"/>
                <w:szCs w:val="30"/>
                <w:highlight w:val="none"/>
              </w:rPr>
            </w:pPr>
          </w:p>
        </w:tc>
        <w:tc>
          <w:tcPr>
            <w:tcW w:w="1134" w:type="dxa"/>
            <w:noWrap w:val="0"/>
            <w:vAlign w:val="center"/>
          </w:tcPr>
          <w:p w14:paraId="371B7209">
            <w:pPr>
              <w:jc w:val="center"/>
              <w:rPr>
                <w:rFonts w:ascii="Times New Roman" w:hAnsi="Times New Roman" w:eastAsia="仿宋_GB2312"/>
                <w:color w:val="auto"/>
                <w:sz w:val="30"/>
                <w:szCs w:val="30"/>
                <w:highlight w:val="none"/>
              </w:rPr>
            </w:pPr>
          </w:p>
        </w:tc>
        <w:tc>
          <w:tcPr>
            <w:tcW w:w="851" w:type="dxa"/>
            <w:noWrap w:val="0"/>
            <w:vAlign w:val="center"/>
          </w:tcPr>
          <w:p w14:paraId="36AC4967">
            <w:pPr>
              <w:jc w:val="center"/>
              <w:rPr>
                <w:rFonts w:ascii="Times New Roman" w:hAnsi="Times New Roman" w:eastAsia="仿宋_GB2312"/>
                <w:color w:val="auto"/>
                <w:sz w:val="30"/>
                <w:szCs w:val="30"/>
                <w:highlight w:val="none"/>
              </w:rPr>
            </w:pPr>
          </w:p>
        </w:tc>
        <w:tc>
          <w:tcPr>
            <w:tcW w:w="708" w:type="dxa"/>
            <w:noWrap w:val="0"/>
            <w:vAlign w:val="center"/>
          </w:tcPr>
          <w:p w14:paraId="75EAF73D">
            <w:pPr>
              <w:jc w:val="center"/>
              <w:rPr>
                <w:rFonts w:ascii="Times New Roman" w:hAnsi="Times New Roman" w:eastAsia="仿宋_GB2312"/>
                <w:color w:val="auto"/>
                <w:sz w:val="30"/>
                <w:szCs w:val="30"/>
                <w:highlight w:val="none"/>
              </w:rPr>
            </w:pPr>
          </w:p>
        </w:tc>
        <w:tc>
          <w:tcPr>
            <w:tcW w:w="709" w:type="dxa"/>
            <w:noWrap w:val="0"/>
            <w:vAlign w:val="center"/>
          </w:tcPr>
          <w:p w14:paraId="1291884B">
            <w:pPr>
              <w:jc w:val="center"/>
              <w:rPr>
                <w:rFonts w:ascii="Times New Roman" w:hAnsi="Times New Roman" w:eastAsia="仿宋_GB2312"/>
                <w:color w:val="auto"/>
                <w:sz w:val="30"/>
                <w:szCs w:val="30"/>
                <w:highlight w:val="none"/>
              </w:rPr>
            </w:pPr>
          </w:p>
        </w:tc>
        <w:tc>
          <w:tcPr>
            <w:tcW w:w="851" w:type="dxa"/>
            <w:noWrap w:val="0"/>
            <w:vAlign w:val="center"/>
          </w:tcPr>
          <w:p w14:paraId="1D1D9537">
            <w:pPr>
              <w:jc w:val="center"/>
              <w:rPr>
                <w:rFonts w:ascii="Times New Roman" w:hAnsi="Times New Roman" w:eastAsia="仿宋_GB2312"/>
                <w:color w:val="auto"/>
                <w:sz w:val="30"/>
                <w:szCs w:val="30"/>
                <w:highlight w:val="none"/>
              </w:rPr>
            </w:pPr>
          </w:p>
        </w:tc>
        <w:tc>
          <w:tcPr>
            <w:tcW w:w="850" w:type="dxa"/>
            <w:noWrap w:val="0"/>
            <w:vAlign w:val="center"/>
          </w:tcPr>
          <w:p w14:paraId="04955D92">
            <w:pPr>
              <w:jc w:val="center"/>
              <w:rPr>
                <w:rFonts w:ascii="Times New Roman" w:hAnsi="Times New Roman" w:eastAsia="仿宋_GB2312"/>
                <w:color w:val="auto"/>
                <w:sz w:val="30"/>
                <w:szCs w:val="30"/>
                <w:highlight w:val="none"/>
              </w:rPr>
            </w:pPr>
          </w:p>
        </w:tc>
        <w:tc>
          <w:tcPr>
            <w:tcW w:w="803" w:type="dxa"/>
            <w:noWrap w:val="0"/>
            <w:vAlign w:val="center"/>
          </w:tcPr>
          <w:p w14:paraId="550EF071">
            <w:pPr>
              <w:jc w:val="center"/>
              <w:rPr>
                <w:rFonts w:ascii="Times New Roman" w:hAnsi="Times New Roman" w:eastAsia="仿宋_GB2312"/>
                <w:color w:val="auto"/>
                <w:sz w:val="30"/>
                <w:szCs w:val="30"/>
                <w:highlight w:val="none"/>
              </w:rPr>
            </w:pPr>
          </w:p>
        </w:tc>
        <w:tc>
          <w:tcPr>
            <w:tcW w:w="1465" w:type="dxa"/>
            <w:noWrap w:val="0"/>
            <w:vAlign w:val="center"/>
          </w:tcPr>
          <w:p w14:paraId="1416DDBB">
            <w:pPr>
              <w:jc w:val="center"/>
              <w:rPr>
                <w:rFonts w:ascii="Times New Roman" w:hAnsi="Times New Roman" w:eastAsia="仿宋_GB2312"/>
                <w:color w:val="auto"/>
                <w:sz w:val="30"/>
                <w:szCs w:val="30"/>
                <w:highlight w:val="none"/>
              </w:rPr>
            </w:pPr>
          </w:p>
        </w:tc>
        <w:tc>
          <w:tcPr>
            <w:tcW w:w="803" w:type="dxa"/>
            <w:noWrap w:val="0"/>
            <w:vAlign w:val="center"/>
          </w:tcPr>
          <w:p w14:paraId="06F6D824">
            <w:pPr>
              <w:jc w:val="center"/>
              <w:rPr>
                <w:rFonts w:ascii="Times New Roman" w:hAnsi="Times New Roman" w:eastAsia="仿宋_GB2312"/>
                <w:color w:val="auto"/>
                <w:sz w:val="30"/>
                <w:szCs w:val="30"/>
                <w:highlight w:val="none"/>
              </w:rPr>
            </w:pPr>
          </w:p>
        </w:tc>
      </w:tr>
      <w:tr w14:paraId="56A0F4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D1EC516">
            <w:pPr>
              <w:jc w:val="center"/>
              <w:rPr>
                <w:rFonts w:ascii="Times New Roman" w:hAnsi="Times New Roman" w:eastAsia="仿宋_GB2312"/>
                <w:color w:val="auto"/>
                <w:sz w:val="30"/>
                <w:szCs w:val="30"/>
                <w:highlight w:val="none"/>
              </w:rPr>
            </w:pPr>
          </w:p>
        </w:tc>
        <w:tc>
          <w:tcPr>
            <w:tcW w:w="1134" w:type="dxa"/>
            <w:noWrap w:val="0"/>
            <w:vAlign w:val="center"/>
          </w:tcPr>
          <w:p w14:paraId="0680B057">
            <w:pPr>
              <w:jc w:val="center"/>
              <w:rPr>
                <w:rFonts w:ascii="Times New Roman" w:hAnsi="Times New Roman" w:eastAsia="仿宋_GB2312"/>
                <w:color w:val="auto"/>
                <w:sz w:val="30"/>
                <w:szCs w:val="30"/>
                <w:highlight w:val="none"/>
              </w:rPr>
            </w:pPr>
          </w:p>
        </w:tc>
        <w:tc>
          <w:tcPr>
            <w:tcW w:w="851" w:type="dxa"/>
            <w:noWrap w:val="0"/>
            <w:vAlign w:val="center"/>
          </w:tcPr>
          <w:p w14:paraId="379A7D4A">
            <w:pPr>
              <w:jc w:val="center"/>
              <w:rPr>
                <w:rFonts w:ascii="Times New Roman" w:hAnsi="Times New Roman" w:eastAsia="仿宋_GB2312"/>
                <w:color w:val="auto"/>
                <w:sz w:val="30"/>
                <w:szCs w:val="30"/>
                <w:highlight w:val="none"/>
              </w:rPr>
            </w:pPr>
          </w:p>
        </w:tc>
        <w:tc>
          <w:tcPr>
            <w:tcW w:w="708" w:type="dxa"/>
            <w:noWrap w:val="0"/>
            <w:vAlign w:val="center"/>
          </w:tcPr>
          <w:p w14:paraId="345E4D11">
            <w:pPr>
              <w:jc w:val="center"/>
              <w:rPr>
                <w:rFonts w:ascii="Times New Roman" w:hAnsi="Times New Roman" w:eastAsia="仿宋_GB2312"/>
                <w:color w:val="auto"/>
                <w:sz w:val="30"/>
                <w:szCs w:val="30"/>
                <w:highlight w:val="none"/>
              </w:rPr>
            </w:pPr>
          </w:p>
        </w:tc>
        <w:tc>
          <w:tcPr>
            <w:tcW w:w="709" w:type="dxa"/>
            <w:noWrap w:val="0"/>
            <w:vAlign w:val="center"/>
          </w:tcPr>
          <w:p w14:paraId="716BEDD1">
            <w:pPr>
              <w:jc w:val="center"/>
              <w:rPr>
                <w:rFonts w:ascii="Times New Roman" w:hAnsi="Times New Roman" w:eastAsia="仿宋_GB2312"/>
                <w:color w:val="auto"/>
                <w:sz w:val="30"/>
                <w:szCs w:val="30"/>
                <w:highlight w:val="none"/>
              </w:rPr>
            </w:pPr>
          </w:p>
        </w:tc>
        <w:tc>
          <w:tcPr>
            <w:tcW w:w="851" w:type="dxa"/>
            <w:noWrap w:val="0"/>
            <w:vAlign w:val="center"/>
          </w:tcPr>
          <w:p w14:paraId="64E63092">
            <w:pPr>
              <w:jc w:val="center"/>
              <w:rPr>
                <w:rFonts w:ascii="Times New Roman" w:hAnsi="Times New Roman" w:eastAsia="仿宋_GB2312"/>
                <w:color w:val="auto"/>
                <w:sz w:val="30"/>
                <w:szCs w:val="30"/>
                <w:highlight w:val="none"/>
              </w:rPr>
            </w:pPr>
          </w:p>
        </w:tc>
        <w:tc>
          <w:tcPr>
            <w:tcW w:w="850" w:type="dxa"/>
            <w:noWrap w:val="0"/>
            <w:vAlign w:val="center"/>
          </w:tcPr>
          <w:p w14:paraId="74A94711">
            <w:pPr>
              <w:jc w:val="center"/>
              <w:rPr>
                <w:rFonts w:ascii="Times New Roman" w:hAnsi="Times New Roman" w:eastAsia="仿宋_GB2312"/>
                <w:color w:val="auto"/>
                <w:sz w:val="30"/>
                <w:szCs w:val="30"/>
                <w:highlight w:val="none"/>
              </w:rPr>
            </w:pPr>
          </w:p>
        </w:tc>
        <w:tc>
          <w:tcPr>
            <w:tcW w:w="803" w:type="dxa"/>
            <w:noWrap w:val="0"/>
            <w:vAlign w:val="center"/>
          </w:tcPr>
          <w:p w14:paraId="696CCB02">
            <w:pPr>
              <w:jc w:val="center"/>
              <w:rPr>
                <w:rFonts w:ascii="Times New Roman" w:hAnsi="Times New Roman" w:eastAsia="仿宋_GB2312"/>
                <w:color w:val="auto"/>
                <w:sz w:val="30"/>
                <w:szCs w:val="30"/>
                <w:highlight w:val="none"/>
              </w:rPr>
            </w:pPr>
          </w:p>
        </w:tc>
        <w:tc>
          <w:tcPr>
            <w:tcW w:w="1465" w:type="dxa"/>
            <w:noWrap w:val="0"/>
            <w:vAlign w:val="center"/>
          </w:tcPr>
          <w:p w14:paraId="5C0E210E">
            <w:pPr>
              <w:jc w:val="center"/>
              <w:rPr>
                <w:rFonts w:ascii="Times New Roman" w:hAnsi="Times New Roman" w:eastAsia="仿宋_GB2312"/>
                <w:color w:val="auto"/>
                <w:sz w:val="30"/>
                <w:szCs w:val="30"/>
                <w:highlight w:val="none"/>
              </w:rPr>
            </w:pPr>
          </w:p>
        </w:tc>
        <w:tc>
          <w:tcPr>
            <w:tcW w:w="803" w:type="dxa"/>
            <w:noWrap w:val="0"/>
            <w:vAlign w:val="center"/>
          </w:tcPr>
          <w:p w14:paraId="35D08691">
            <w:pPr>
              <w:jc w:val="center"/>
              <w:rPr>
                <w:rFonts w:ascii="Times New Roman" w:hAnsi="Times New Roman" w:eastAsia="仿宋_GB2312"/>
                <w:color w:val="auto"/>
                <w:sz w:val="30"/>
                <w:szCs w:val="30"/>
                <w:highlight w:val="none"/>
              </w:rPr>
            </w:pPr>
          </w:p>
        </w:tc>
      </w:tr>
      <w:tr w14:paraId="16FD6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7BB64AA7">
            <w:pPr>
              <w:jc w:val="center"/>
              <w:rPr>
                <w:rFonts w:ascii="Times New Roman" w:hAnsi="Times New Roman" w:eastAsia="仿宋_GB2312"/>
                <w:color w:val="auto"/>
                <w:sz w:val="30"/>
                <w:szCs w:val="30"/>
                <w:highlight w:val="none"/>
              </w:rPr>
            </w:pPr>
          </w:p>
        </w:tc>
        <w:tc>
          <w:tcPr>
            <w:tcW w:w="1134" w:type="dxa"/>
            <w:noWrap w:val="0"/>
            <w:vAlign w:val="center"/>
          </w:tcPr>
          <w:p w14:paraId="0CD828AF">
            <w:pPr>
              <w:jc w:val="center"/>
              <w:rPr>
                <w:rFonts w:ascii="Times New Roman" w:hAnsi="Times New Roman" w:eastAsia="仿宋_GB2312"/>
                <w:color w:val="auto"/>
                <w:sz w:val="30"/>
                <w:szCs w:val="30"/>
                <w:highlight w:val="none"/>
              </w:rPr>
            </w:pPr>
          </w:p>
        </w:tc>
        <w:tc>
          <w:tcPr>
            <w:tcW w:w="851" w:type="dxa"/>
            <w:noWrap w:val="0"/>
            <w:vAlign w:val="center"/>
          </w:tcPr>
          <w:p w14:paraId="44E19F8B">
            <w:pPr>
              <w:jc w:val="center"/>
              <w:rPr>
                <w:rFonts w:ascii="Times New Roman" w:hAnsi="Times New Roman" w:eastAsia="仿宋_GB2312"/>
                <w:color w:val="auto"/>
                <w:sz w:val="30"/>
                <w:szCs w:val="30"/>
                <w:highlight w:val="none"/>
              </w:rPr>
            </w:pPr>
          </w:p>
        </w:tc>
        <w:tc>
          <w:tcPr>
            <w:tcW w:w="708" w:type="dxa"/>
            <w:noWrap w:val="0"/>
            <w:vAlign w:val="center"/>
          </w:tcPr>
          <w:p w14:paraId="4C9AA570">
            <w:pPr>
              <w:jc w:val="center"/>
              <w:rPr>
                <w:rFonts w:ascii="Times New Roman" w:hAnsi="Times New Roman" w:eastAsia="仿宋_GB2312"/>
                <w:color w:val="auto"/>
                <w:sz w:val="30"/>
                <w:szCs w:val="30"/>
                <w:highlight w:val="none"/>
              </w:rPr>
            </w:pPr>
          </w:p>
        </w:tc>
        <w:tc>
          <w:tcPr>
            <w:tcW w:w="709" w:type="dxa"/>
            <w:noWrap w:val="0"/>
            <w:vAlign w:val="center"/>
          </w:tcPr>
          <w:p w14:paraId="7CF7D039">
            <w:pPr>
              <w:jc w:val="center"/>
              <w:rPr>
                <w:rFonts w:ascii="Times New Roman" w:hAnsi="Times New Roman" w:eastAsia="仿宋_GB2312"/>
                <w:color w:val="auto"/>
                <w:sz w:val="30"/>
                <w:szCs w:val="30"/>
                <w:highlight w:val="none"/>
              </w:rPr>
            </w:pPr>
          </w:p>
        </w:tc>
        <w:tc>
          <w:tcPr>
            <w:tcW w:w="851" w:type="dxa"/>
            <w:noWrap w:val="0"/>
            <w:vAlign w:val="center"/>
          </w:tcPr>
          <w:p w14:paraId="292881D7">
            <w:pPr>
              <w:jc w:val="center"/>
              <w:rPr>
                <w:rFonts w:ascii="Times New Roman" w:hAnsi="Times New Roman" w:eastAsia="仿宋_GB2312"/>
                <w:color w:val="auto"/>
                <w:sz w:val="30"/>
                <w:szCs w:val="30"/>
                <w:highlight w:val="none"/>
              </w:rPr>
            </w:pPr>
          </w:p>
        </w:tc>
        <w:tc>
          <w:tcPr>
            <w:tcW w:w="850" w:type="dxa"/>
            <w:noWrap w:val="0"/>
            <w:vAlign w:val="center"/>
          </w:tcPr>
          <w:p w14:paraId="554E9375">
            <w:pPr>
              <w:jc w:val="center"/>
              <w:rPr>
                <w:rFonts w:ascii="Times New Roman" w:hAnsi="Times New Roman" w:eastAsia="仿宋_GB2312"/>
                <w:color w:val="auto"/>
                <w:sz w:val="30"/>
                <w:szCs w:val="30"/>
                <w:highlight w:val="none"/>
              </w:rPr>
            </w:pPr>
          </w:p>
        </w:tc>
        <w:tc>
          <w:tcPr>
            <w:tcW w:w="803" w:type="dxa"/>
            <w:noWrap w:val="0"/>
            <w:vAlign w:val="center"/>
          </w:tcPr>
          <w:p w14:paraId="28F464C9">
            <w:pPr>
              <w:jc w:val="center"/>
              <w:rPr>
                <w:rFonts w:ascii="Times New Roman" w:hAnsi="Times New Roman" w:eastAsia="仿宋_GB2312"/>
                <w:color w:val="auto"/>
                <w:sz w:val="30"/>
                <w:szCs w:val="30"/>
                <w:highlight w:val="none"/>
              </w:rPr>
            </w:pPr>
          </w:p>
        </w:tc>
        <w:tc>
          <w:tcPr>
            <w:tcW w:w="1465" w:type="dxa"/>
            <w:noWrap w:val="0"/>
            <w:vAlign w:val="center"/>
          </w:tcPr>
          <w:p w14:paraId="722706F6">
            <w:pPr>
              <w:jc w:val="center"/>
              <w:rPr>
                <w:rFonts w:ascii="Times New Roman" w:hAnsi="Times New Roman" w:eastAsia="仿宋_GB2312"/>
                <w:color w:val="auto"/>
                <w:sz w:val="30"/>
                <w:szCs w:val="30"/>
                <w:highlight w:val="none"/>
              </w:rPr>
            </w:pPr>
          </w:p>
        </w:tc>
        <w:tc>
          <w:tcPr>
            <w:tcW w:w="803" w:type="dxa"/>
            <w:noWrap w:val="0"/>
            <w:vAlign w:val="center"/>
          </w:tcPr>
          <w:p w14:paraId="370B171F">
            <w:pPr>
              <w:jc w:val="center"/>
              <w:rPr>
                <w:rFonts w:ascii="Times New Roman" w:hAnsi="Times New Roman" w:eastAsia="仿宋_GB2312"/>
                <w:color w:val="auto"/>
                <w:sz w:val="30"/>
                <w:szCs w:val="30"/>
                <w:highlight w:val="none"/>
              </w:rPr>
            </w:pPr>
          </w:p>
        </w:tc>
      </w:tr>
      <w:tr w14:paraId="2D81C4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24D12993">
            <w:pPr>
              <w:jc w:val="center"/>
              <w:rPr>
                <w:rFonts w:ascii="Times New Roman" w:hAnsi="Times New Roman" w:eastAsia="仿宋_GB2312"/>
                <w:color w:val="auto"/>
                <w:sz w:val="30"/>
                <w:szCs w:val="30"/>
                <w:highlight w:val="none"/>
              </w:rPr>
            </w:pPr>
          </w:p>
        </w:tc>
        <w:tc>
          <w:tcPr>
            <w:tcW w:w="1134" w:type="dxa"/>
            <w:noWrap w:val="0"/>
            <w:vAlign w:val="center"/>
          </w:tcPr>
          <w:p w14:paraId="6BF6B06B">
            <w:pPr>
              <w:jc w:val="center"/>
              <w:rPr>
                <w:rFonts w:ascii="Times New Roman" w:hAnsi="Times New Roman" w:eastAsia="仿宋_GB2312"/>
                <w:color w:val="auto"/>
                <w:sz w:val="30"/>
                <w:szCs w:val="30"/>
                <w:highlight w:val="none"/>
              </w:rPr>
            </w:pPr>
          </w:p>
        </w:tc>
        <w:tc>
          <w:tcPr>
            <w:tcW w:w="851" w:type="dxa"/>
            <w:noWrap w:val="0"/>
            <w:vAlign w:val="center"/>
          </w:tcPr>
          <w:p w14:paraId="5A621B22">
            <w:pPr>
              <w:jc w:val="center"/>
              <w:rPr>
                <w:rFonts w:ascii="Times New Roman" w:hAnsi="Times New Roman" w:eastAsia="仿宋_GB2312"/>
                <w:color w:val="auto"/>
                <w:sz w:val="30"/>
                <w:szCs w:val="30"/>
                <w:highlight w:val="none"/>
              </w:rPr>
            </w:pPr>
          </w:p>
        </w:tc>
        <w:tc>
          <w:tcPr>
            <w:tcW w:w="708" w:type="dxa"/>
            <w:noWrap w:val="0"/>
            <w:vAlign w:val="center"/>
          </w:tcPr>
          <w:p w14:paraId="1D6B7D4A">
            <w:pPr>
              <w:jc w:val="center"/>
              <w:rPr>
                <w:rFonts w:ascii="Times New Roman" w:hAnsi="Times New Roman" w:eastAsia="仿宋_GB2312"/>
                <w:color w:val="auto"/>
                <w:sz w:val="30"/>
                <w:szCs w:val="30"/>
                <w:highlight w:val="none"/>
              </w:rPr>
            </w:pPr>
          </w:p>
        </w:tc>
        <w:tc>
          <w:tcPr>
            <w:tcW w:w="709" w:type="dxa"/>
            <w:noWrap w:val="0"/>
            <w:vAlign w:val="center"/>
          </w:tcPr>
          <w:p w14:paraId="22239291">
            <w:pPr>
              <w:jc w:val="center"/>
              <w:rPr>
                <w:rFonts w:ascii="Times New Roman" w:hAnsi="Times New Roman" w:eastAsia="仿宋_GB2312"/>
                <w:color w:val="auto"/>
                <w:sz w:val="30"/>
                <w:szCs w:val="30"/>
                <w:highlight w:val="none"/>
              </w:rPr>
            </w:pPr>
          </w:p>
        </w:tc>
        <w:tc>
          <w:tcPr>
            <w:tcW w:w="851" w:type="dxa"/>
            <w:noWrap w:val="0"/>
            <w:vAlign w:val="center"/>
          </w:tcPr>
          <w:p w14:paraId="51DD50BF">
            <w:pPr>
              <w:jc w:val="center"/>
              <w:rPr>
                <w:rFonts w:ascii="Times New Roman" w:hAnsi="Times New Roman" w:eastAsia="仿宋_GB2312"/>
                <w:color w:val="auto"/>
                <w:sz w:val="30"/>
                <w:szCs w:val="30"/>
                <w:highlight w:val="none"/>
              </w:rPr>
            </w:pPr>
          </w:p>
        </w:tc>
        <w:tc>
          <w:tcPr>
            <w:tcW w:w="850" w:type="dxa"/>
            <w:noWrap w:val="0"/>
            <w:vAlign w:val="center"/>
          </w:tcPr>
          <w:p w14:paraId="034A2963">
            <w:pPr>
              <w:jc w:val="center"/>
              <w:rPr>
                <w:rFonts w:ascii="Times New Roman" w:hAnsi="Times New Roman" w:eastAsia="仿宋_GB2312"/>
                <w:color w:val="auto"/>
                <w:sz w:val="30"/>
                <w:szCs w:val="30"/>
                <w:highlight w:val="none"/>
              </w:rPr>
            </w:pPr>
          </w:p>
        </w:tc>
        <w:tc>
          <w:tcPr>
            <w:tcW w:w="803" w:type="dxa"/>
            <w:noWrap w:val="0"/>
            <w:vAlign w:val="center"/>
          </w:tcPr>
          <w:p w14:paraId="5F6C0B66">
            <w:pPr>
              <w:jc w:val="center"/>
              <w:rPr>
                <w:rFonts w:ascii="Times New Roman" w:hAnsi="Times New Roman" w:eastAsia="仿宋_GB2312"/>
                <w:color w:val="auto"/>
                <w:sz w:val="30"/>
                <w:szCs w:val="30"/>
                <w:highlight w:val="none"/>
              </w:rPr>
            </w:pPr>
          </w:p>
        </w:tc>
        <w:tc>
          <w:tcPr>
            <w:tcW w:w="1465" w:type="dxa"/>
            <w:noWrap w:val="0"/>
            <w:vAlign w:val="center"/>
          </w:tcPr>
          <w:p w14:paraId="77D53EFF">
            <w:pPr>
              <w:jc w:val="center"/>
              <w:rPr>
                <w:rFonts w:ascii="Times New Roman" w:hAnsi="Times New Roman" w:eastAsia="仿宋_GB2312"/>
                <w:color w:val="auto"/>
                <w:sz w:val="30"/>
                <w:szCs w:val="30"/>
                <w:highlight w:val="none"/>
              </w:rPr>
            </w:pPr>
          </w:p>
        </w:tc>
        <w:tc>
          <w:tcPr>
            <w:tcW w:w="803" w:type="dxa"/>
            <w:noWrap w:val="0"/>
            <w:vAlign w:val="center"/>
          </w:tcPr>
          <w:p w14:paraId="36768642">
            <w:pPr>
              <w:jc w:val="center"/>
              <w:rPr>
                <w:rFonts w:ascii="Times New Roman" w:hAnsi="Times New Roman" w:eastAsia="仿宋_GB2312"/>
                <w:color w:val="auto"/>
                <w:sz w:val="30"/>
                <w:szCs w:val="30"/>
                <w:highlight w:val="none"/>
              </w:rPr>
            </w:pPr>
          </w:p>
        </w:tc>
      </w:tr>
      <w:tr w14:paraId="5AA9E8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1506A44C">
            <w:pPr>
              <w:jc w:val="center"/>
              <w:rPr>
                <w:rFonts w:ascii="Times New Roman" w:hAnsi="Times New Roman" w:eastAsia="仿宋_GB2312"/>
                <w:color w:val="auto"/>
                <w:sz w:val="30"/>
                <w:szCs w:val="30"/>
                <w:highlight w:val="none"/>
              </w:rPr>
            </w:pPr>
          </w:p>
        </w:tc>
        <w:tc>
          <w:tcPr>
            <w:tcW w:w="1134" w:type="dxa"/>
            <w:noWrap w:val="0"/>
            <w:vAlign w:val="center"/>
          </w:tcPr>
          <w:p w14:paraId="6B8D9EDF">
            <w:pPr>
              <w:jc w:val="center"/>
              <w:rPr>
                <w:rFonts w:ascii="Times New Roman" w:hAnsi="Times New Roman" w:eastAsia="仿宋_GB2312"/>
                <w:color w:val="auto"/>
                <w:sz w:val="30"/>
                <w:szCs w:val="30"/>
                <w:highlight w:val="none"/>
              </w:rPr>
            </w:pPr>
          </w:p>
        </w:tc>
        <w:tc>
          <w:tcPr>
            <w:tcW w:w="851" w:type="dxa"/>
            <w:noWrap w:val="0"/>
            <w:vAlign w:val="center"/>
          </w:tcPr>
          <w:p w14:paraId="60F70E69">
            <w:pPr>
              <w:jc w:val="center"/>
              <w:rPr>
                <w:rFonts w:ascii="Times New Roman" w:hAnsi="Times New Roman" w:eastAsia="仿宋_GB2312"/>
                <w:color w:val="auto"/>
                <w:sz w:val="30"/>
                <w:szCs w:val="30"/>
                <w:highlight w:val="none"/>
              </w:rPr>
            </w:pPr>
          </w:p>
        </w:tc>
        <w:tc>
          <w:tcPr>
            <w:tcW w:w="708" w:type="dxa"/>
            <w:noWrap w:val="0"/>
            <w:vAlign w:val="center"/>
          </w:tcPr>
          <w:p w14:paraId="21AD2B35">
            <w:pPr>
              <w:jc w:val="center"/>
              <w:rPr>
                <w:rFonts w:ascii="Times New Roman" w:hAnsi="Times New Roman" w:eastAsia="仿宋_GB2312"/>
                <w:color w:val="auto"/>
                <w:sz w:val="30"/>
                <w:szCs w:val="30"/>
                <w:highlight w:val="none"/>
              </w:rPr>
            </w:pPr>
          </w:p>
        </w:tc>
        <w:tc>
          <w:tcPr>
            <w:tcW w:w="709" w:type="dxa"/>
            <w:noWrap w:val="0"/>
            <w:vAlign w:val="center"/>
          </w:tcPr>
          <w:p w14:paraId="22020196">
            <w:pPr>
              <w:jc w:val="center"/>
              <w:rPr>
                <w:rFonts w:ascii="Times New Roman" w:hAnsi="Times New Roman" w:eastAsia="仿宋_GB2312"/>
                <w:color w:val="auto"/>
                <w:sz w:val="30"/>
                <w:szCs w:val="30"/>
                <w:highlight w:val="none"/>
              </w:rPr>
            </w:pPr>
          </w:p>
        </w:tc>
        <w:tc>
          <w:tcPr>
            <w:tcW w:w="851" w:type="dxa"/>
            <w:noWrap w:val="0"/>
            <w:vAlign w:val="center"/>
          </w:tcPr>
          <w:p w14:paraId="4289E8B3">
            <w:pPr>
              <w:jc w:val="center"/>
              <w:rPr>
                <w:rFonts w:ascii="Times New Roman" w:hAnsi="Times New Roman" w:eastAsia="仿宋_GB2312"/>
                <w:color w:val="auto"/>
                <w:sz w:val="30"/>
                <w:szCs w:val="30"/>
                <w:highlight w:val="none"/>
              </w:rPr>
            </w:pPr>
          </w:p>
        </w:tc>
        <w:tc>
          <w:tcPr>
            <w:tcW w:w="850" w:type="dxa"/>
            <w:noWrap w:val="0"/>
            <w:vAlign w:val="center"/>
          </w:tcPr>
          <w:p w14:paraId="68D58DC9">
            <w:pPr>
              <w:jc w:val="center"/>
              <w:rPr>
                <w:rFonts w:ascii="Times New Roman" w:hAnsi="Times New Roman" w:eastAsia="仿宋_GB2312"/>
                <w:color w:val="auto"/>
                <w:sz w:val="30"/>
                <w:szCs w:val="30"/>
                <w:highlight w:val="none"/>
              </w:rPr>
            </w:pPr>
          </w:p>
        </w:tc>
        <w:tc>
          <w:tcPr>
            <w:tcW w:w="803" w:type="dxa"/>
            <w:noWrap w:val="0"/>
            <w:vAlign w:val="center"/>
          </w:tcPr>
          <w:p w14:paraId="33A45505">
            <w:pPr>
              <w:jc w:val="center"/>
              <w:rPr>
                <w:rFonts w:ascii="Times New Roman" w:hAnsi="Times New Roman" w:eastAsia="仿宋_GB2312"/>
                <w:color w:val="auto"/>
                <w:sz w:val="30"/>
                <w:szCs w:val="30"/>
                <w:highlight w:val="none"/>
              </w:rPr>
            </w:pPr>
          </w:p>
        </w:tc>
        <w:tc>
          <w:tcPr>
            <w:tcW w:w="1465" w:type="dxa"/>
            <w:noWrap w:val="0"/>
            <w:vAlign w:val="center"/>
          </w:tcPr>
          <w:p w14:paraId="09BF27B4">
            <w:pPr>
              <w:jc w:val="center"/>
              <w:rPr>
                <w:rFonts w:ascii="Times New Roman" w:hAnsi="Times New Roman" w:eastAsia="仿宋_GB2312"/>
                <w:color w:val="auto"/>
                <w:sz w:val="30"/>
                <w:szCs w:val="30"/>
                <w:highlight w:val="none"/>
              </w:rPr>
            </w:pPr>
          </w:p>
        </w:tc>
        <w:tc>
          <w:tcPr>
            <w:tcW w:w="803" w:type="dxa"/>
            <w:noWrap w:val="0"/>
            <w:vAlign w:val="center"/>
          </w:tcPr>
          <w:p w14:paraId="39F68F71">
            <w:pPr>
              <w:jc w:val="center"/>
              <w:rPr>
                <w:rFonts w:ascii="Times New Roman" w:hAnsi="Times New Roman" w:eastAsia="仿宋_GB2312"/>
                <w:color w:val="auto"/>
                <w:sz w:val="30"/>
                <w:szCs w:val="30"/>
                <w:highlight w:val="none"/>
              </w:rPr>
            </w:pPr>
          </w:p>
        </w:tc>
      </w:tr>
      <w:tr w14:paraId="0E43CE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1AB509ED">
            <w:pPr>
              <w:jc w:val="center"/>
              <w:rPr>
                <w:rFonts w:ascii="Times New Roman" w:hAnsi="Times New Roman" w:eastAsia="仿宋_GB2312"/>
                <w:color w:val="auto"/>
                <w:sz w:val="30"/>
                <w:szCs w:val="30"/>
                <w:highlight w:val="none"/>
              </w:rPr>
            </w:pPr>
          </w:p>
        </w:tc>
        <w:tc>
          <w:tcPr>
            <w:tcW w:w="1134" w:type="dxa"/>
            <w:noWrap w:val="0"/>
            <w:vAlign w:val="center"/>
          </w:tcPr>
          <w:p w14:paraId="08C031D8">
            <w:pPr>
              <w:jc w:val="center"/>
              <w:rPr>
                <w:rFonts w:ascii="Times New Roman" w:hAnsi="Times New Roman" w:eastAsia="仿宋_GB2312"/>
                <w:color w:val="auto"/>
                <w:sz w:val="30"/>
                <w:szCs w:val="30"/>
                <w:highlight w:val="none"/>
              </w:rPr>
            </w:pPr>
          </w:p>
        </w:tc>
        <w:tc>
          <w:tcPr>
            <w:tcW w:w="851" w:type="dxa"/>
            <w:noWrap w:val="0"/>
            <w:vAlign w:val="center"/>
          </w:tcPr>
          <w:p w14:paraId="43EEAD8D">
            <w:pPr>
              <w:jc w:val="center"/>
              <w:rPr>
                <w:rFonts w:ascii="Times New Roman" w:hAnsi="Times New Roman" w:eastAsia="仿宋_GB2312"/>
                <w:color w:val="auto"/>
                <w:sz w:val="30"/>
                <w:szCs w:val="30"/>
                <w:highlight w:val="none"/>
              </w:rPr>
            </w:pPr>
          </w:p>
        </w:tc>
        <w:tc>
          <w:tcPr>
            <w:tcW w:w="708" w:type="dxa"/>
            <w:noWrap w:val="0"/>
            <w:vAlign w:val="center"/>
          </w:tcPr>
          <w:p w14:paraId="34118CE7">
            <w:pPr>
              <w:jc w:val="center"/>
              <w:rPr>
                <w:rFonts w:ascii="Times New Roman" w:hAnsi="Times New Roman" w:eastAsia="仿宋_GB2312"/>
                <w:color w:val="auto"/>
                <w:sz w:val="30"/>
                <w:szCs w:val="30"/>
                <w:highlight w:val="none"/>
              </w:rPr>
            </w:pPr>
          </w:p>
        </w:tc>
        <w:tc>
          <w:tcPr>
            <w:tcW w:w="709" w:type="dxa"/>
            <w:noWrap w:val="0"/>
            <w:vAlign w:val="center"/>
          </w:tcPr>
          <w:p w14:paraId="3370E1D1">
            <w:pPr>
              <w:jc w:val="center"/>
              <w:rPr>
                <w:rFonts w:ascii="Times New Roman" w:hAnsi="Times New Roman" w:eastAsia="仿宋_GB2312"/>
                <w:color w:val="auto"/>
                <w:sz w:val="30"/>
                <w:szCs w:val="30"/>
                <w:highlight w:val="none"/>
              </w:rPr>
            </w:pPr>
          </w:p>
        </w:tc>
        <w:tc>
          <w:tcPr>
            <w:tcW w:w="851" w:type="dxa"/>
            <w:noWrap w:val="0"/>
            <w:vAlign w:val="center"/>
          </w:tcPr>
          <w:p w14:paraId="06AF6081">
            <w:pPr>
              <w:jc w:val="center"/>
              <w:rPr>
                <w:rFonts w:ascii="Times New Roman" w:hAnsi="Times New Roman" w:eastAsia="仿宋_GB2312"/>
                <w:color w:val="auto"/>
                <w:sz w:val="30"/>
                <w:szCs w:val="30"/>
                <w:highlight w:val="none"/>
              </w:rPr>
            </w:pPr>
          </w:p>
        </w:tc>
        <w:tc>
          <w:tcPr>
            <w:tcW w:w="850" w:type="dxa"/>
            <w:noWrap w:val="0"/>
            <w:vAlign w:val="center"/>
          </w:tcPr>
          <w:p w14:paraId="45745AF0">
            <w:pPr>
              <w:jc w:val="center"/>
              <w:rPr>
                <w:rFonts w:ascii="Times New Roman" w:hAnsi="Times New Roman" w:eastAsia="仿宋_GB2312"/>
                <w:color w:val="auto"/>
                <w:sz w:val="30"/>
                <w:szCs w:val="30"/>
                <w:highlight w:val="none"/>
              </w:rPr>
            </w:pPr>
          </w:p>
        </w:tc>
        <w:tc>
          <w:tcPr>
            <w:tcW w:w="803" w:type="dxa"/>
            <w:noWrap w:val="0"/>
            <w:vAlign w:val="center"/>
          </w:tcPr>
          <w:p w14:paraId="31103EA2">
            <w:pPr>
              <w:jc w:val="center"/>
              <w:rPr>
                <w:rFonts w:ascii="Times New Roman" w:hAnsi="Times New Roman" w:eastAsia="仿宋_GB2312"/>
                <w:color w:val="auto"/>
                <w:sz w:val="30"/>
                <w:szCs w:val="30"/>
                <w:highlight w:val="none"/>
              </w:rPr>
            </w:pPr>
          </w:p>
        </w:tc>
        <w:tc>
          <w:tcPr>
            <w:tcW w:w="1465" w:type="dxa"/>
            <w:noWrap w:val="0"/>
            <w:vAlign w:val="center"/>
          </w:tcPr>
          <w:p w14:paraId="2414AFD6">
            <w:pPr>
              <w:jc w:val="center"/>
              <w:rPr>
                <w:rFonts w:ascii="Times New Roman" w:hAnsi="Times New Roman" w:eastAsia="仿宋_GB2312"/>
                <w:color w:val="auto"/>
                <w:sz w:val="30"/>
                <w:szCs w:val="30"/>
                <w:highlight w:val="none"/>
              </w:rPr>
            </w:pPr>
          </w:p>
        </w:tc>
        <w:tc>
          <w:tcPr>
            <w:tcW w:w="803" w:type="dxa"/>
            <w:noWrap w:val="0"/>
            <w:vAlign w:val="center"/>
          </w:tcPr>
          <w:p w14:paraId="3DB55905">
            <w:pPr>
              <w:jc w:val="center"/>
              <w:rPr>
                <w:rFonts w:ascii="Times New Roman" w:hAnsi="Times New Roman" w:eastAsia="仿宋_GB2312"/>
                <w:color w:val="auto"/>
                <w:sz w:val="30"/>
                <w:szCs w:val="30"/>
                <w:highlight w:val="none"/>
              </w:rPr>
            </w:pPr>
          </w:p>
        </w:tc>
      </w:tr>
      <w:tr w14:paraId="1B4471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4A394BB9">
            <w:pPr>
              <w:jc w:val="center"/>
              <w:rPr>
                <w:rFonts w:ascii="Times New Roman" w:hAnsi="Times New Roman" w:eastAsia="仿宋_GB2312"/>
                <w:color w:val="auto"/>
                <w:sz w:val="30"/>
                <w:szCs w:val="30"/>
                <w:highlight w:val="none"/>
              </w:rPr>
            </w:pPr>
          </w:p>
        </w:tc>
        <w:tc>
          <w:tcPr>
            <w:tcW w:w="1134" w:type="dxa"/>
            <w:noWrap w:val="0"/>
            <w:vAlign w:val="center"/>
          </w:tcPr>
          <w:p w14:paraId="0131879F">
            <w:pPr>
              <w:jc w:val="center"/>
              <w:rPr>
                <w:rFonts w:ascii="Times New Roman" w:hAnsi="Times New Roman" w:eastAsia="仿宋_GB2312"/>
                <w:color w:val="auto"/>
                <w:sz w:val="30"/>
                <w:szCs w:val="30"/>
                <w:highlight w:val="none"/>
              </w:rPr>
            </w:pPr>
          </w:p>
        </w:tc>
        <w:tc>
          <w:tcPr>
            <w:tcW w:w="851" w:type="dxa"/>
            <w:noWrap w:val="0"/>
            <w:vAlign w:val="center"/>
          </w:tcPr>
          <w:p w14:paraId="3428C676">
            <w:pPr>
              <w:jc w:val="center"/>
              <w:rPr>
                <w:rFonts w:ascii="Times New Roman" w:hAnsi="Times New Roman" w:eastAsia="仿宋_GB2312"/>
                <w:color w:val="auto"/>
                <w:sz w:val="30"/>
                <w:szCs w:val="30"/>
                <w:highlight w:val="none"/>
              </w:rPr>
            </w:pPr>
          </w:p>
        </w:tc>
        <w:tc>
          <w:tcPr>
            <w:tcW w:w="708" w:type="dxa"/>
            <w:noWrap w:val="0"/>
            <w:vAlign w:val="center"/>
          </w:tcPr>
          <w:p w14:paraId="43D0FAAB">
            <w:pPr>
              <w:jc w:val="center"/>
              <w:rPr>
                <w:rFonts w:ascii="Times New Roman" w:hAnsi="Times New Roman" w:eastAsia="仿宋_GB2312"/>
                <w:color w:val="auto"/>
                <w:sz w:val="30"/>
                <w:szCs w:val="30"/>
                <w:highlight w:val="none"/>
              </w:rPr>
            </w:pPr>
          </w:p>
        </w:tc>
        <w:tc>
          <w:tcPr>
            <w:tcW w:w="709" w:type="dxa"/>
            <w:noWrap w:val="0"/>
            <w:vAlign w:val="center"/>
          </w:tcPr>
          <w:p w14:paraId="486BC1EB">
            <w:pPr>
              <w:jc w:val="center"/>
              <w:rPr>
                <w:rFonts w:ascii="Times New Roman" w:hAnsi="Times New Roman" w:eastAsia="仿宋_GB2312"/>
                <w:color w:val="auto"/>
                <w:sz w:val="30"/>
                <w:szCs w:val="30"/>
                <w:highlight w:val="none"/>
              </w:rPr>
            </w:pPr>
          </w:p>
        </w:tc>
        <w:tc>
          <w:tcPr>
            <w:tcW w:w="851" w:type="dxa"/>
            <w:noWrap w:val="0"/>
            <w:vAlign w:val="center"/>
          </w:tcPr>
          <w:p w14:paraId="1D6A7110">
            <w:pPr>
              <w:jc w:val="center"/>
              <w:rPr>
                <w:rFonts w:ascii="Times New Roman" w:hAnsi="Times New Roman" w:eastAsia="仿宋_GB2312"/>
                <w:color w:val="auto"/>
                <w:sz w:val="30"/>
                <w:szCs w:val="30"/>
                <w:highlight w:val="none"/>
              </w:rPr>
            </w:pPr>
          </w:p>
        </w:tc>
        <w:tc>
          <w:tcPr>
            <w:tcW w:w="850" w:type="dxa"/>
            <w:noWrap w:val="0"/>
            <w:vAlign w:val="center"/>
          </w:tcPr>
          <w:p w14:paraId="24FF831B">
            <w:pPr>
              <w:jc w:val="center"/>
              <w:rPr>
                <w:rFonts w:ascii="Times New Roman" w:hAnsi="Times New Roman" w:eastAsia="仿宋_GB2312"/>
                <w:color w:val="auto"/>
                <w:sz w:val="30"/>
                <w:szCs w:val="30"/>
                <w:highlight w:val="none"/>
              </w:rPr>
            </w:pPr>
          </w:p>
        </w:tc>
        <w:tc>
          <w:tcPr>
            <w:tcW w:w="803" w:type="dxa"/>
            <w:noWrap w:val="0"/>
            <w:vAlign w:val="center"/>
          </w:tcPr>
          <w:p w14:paraId="5ED5B316">
            <w:pPr>
              <w:jc w:val="center"/>
              <w:rPr>
                <w:rFonts w:ascii="Times New Roman" w:hAnsi="Times New Roman" w:eastAsia="仿宋_GB2312"/>
                <w:color w:val="auto"/>
                <w:sz w:val="30"/>
                <w:szCs w:val="30"/>
                <w:highlight w:val="none"/>
              </w:rPr>
            </w:pPr>
          </w:p>
        </w:tc>
        <w:tc>
          <w:tcPr>
            <w:tcW w:w="1465" w:type="dxa"/>
            <w:noWrap w:val="0"/>
            <w:vAlign w:val="center"/>
          </w:tcPr>
          <w:p w14:paraId="03CBBE62">
            <w:pPr>
              <w:jc w:val="center"/>
              <w:rPr>
                <w:rFonts w:ascii="Times New Roman" w:hAnsi="Times New Roman" w:eastAsia="仿宋_GB2312"/>
                <w:color w:val="auto"/>
                <w:sz w:val="30"/>
                <w:szCs w:val="30"/>
                <w:highlight w:val="none"/>
              </w:rPr>
            </w:pPr>
          </w:p>
        </w:tc>
        <w:tc>
          <w:tcPr>
            <w:tcW w:w="803" w:type="dxa"/>
            <w:noWrap w:val="0"/>
            <w:vAlign w:val="center"/>
          </w:tcPr>
          <w:p w14:paraId="0123E2D5">
            <w:pPr>
              <w:jc w:val="center"/>
              <w:rPr>
                <w:rFonts w:ascii="Times New Roman" w:hAnsi="Times New Roman" w:eastAsia="仿宋_GB2312"/>
                <w:color w:val="auto"/>
                <w:sz w:val="30"/>
                <w:szCs w:val="30"/>
                <w:highlight w:val="none"/>
              </w:rPr>
            </w:pPr>
          </w:p>
        </w:tc>
      </w:tr>
    </w:tbl>
    <w:p w14:paraId="38047576">
      <w:pPr>
        <w:spacing w:line="440" w:lineRule="exact"/>
        <w:rPr>
          <w:rFonts w:ascii="Times New Roman" w:hAnsi="Times New Roman" w:eastAsia="仿宋_GB2312"/>
          <w:color w:val="auto"/>
          <w:sz w:val="30"/>
          <w:szCs w:val="30"/>
          <w:highlight w:val="none"/>
        </w:rPr>
      </w:pPr>
    </w:p>
    <w:p w14:paraId="4CDDD8F1">
      <w:pPr>
        <w:spacing w:before="120" w:beforeLines="50" w:after="120" w:afterLines="50" w:line="440" w:lineRule="exact"/>
        <w:jc w:val="left"/>
        <w:rPr>
          <w:rFonts w:ascii="宋体" w:hAnsi="宋体"/>
          <w:color w:val="auto"/>
          <w:sz w:val="24"/>
          <w:szCs w:val="24"/>
          <w:highlight w:val="none"/>
        </w:rPr>
      </w:pPr>
      <w:r>
        <w:rPr>
          <w:rFonts w:ascii="宋体" w:hAnsi="宋体"/>
          <w:color w:val="auto"/>
          <w:sz w:val="24"/>
          <w:szCs w:val="24"/>
          <w:highlight w:val="none"/>
        </w:rPr>
        <w:t>附</w:t>
      </w:r>
      <w:bookmarkStart w:id="2239" w:name="_Toc296891266"/>
      <w:bookmarkStart w:id="2240" w:name="_Toc296944565"/>
      <w:bookmarkStart w:id="2241" w:name="_Toc296891054"/>
      <w:bookmarkStart w:id="2242" w:name="_Toc296346727"/>
      <w:bookmarkStart w:id="2243" w:name="_Toc267261693"/>
      <w:bookmarkStart w:id="2244" w:name="_Toc296503226"/>
      <w:bookmarkStart w:id="2245" w:name="_Toc296347225"/>
      <w:r>
        <w:rPr>
          <w:rFonts w:ascii="宋体" w:hAnsi="宋体"/>
          <w:color w:val="auto"/>
          <w:sz w:val="24"/>
          <w:szCs w:val="24"/>
          <w:highlight w:val="none"/>
        </w:rPr>
        <w:t>件3：</w:t>
      </w:r>
      <w:bookmarkEnd w:id="2239"/>
      <w:bookmarkEnd w:id="2240"/>
      <w:bookmarkEnd w:id="2241"/>
      <w:bookmarkEnd w:id="2242"/>
      <w:bookmarkEnd w:id="2243"/>
      <w:bookmarkEnd w:id="2244"/>
      <w:bookmarkEnd w:id="2245"/>
      <w:r>
        <w:rPr>
          <w:rFonts w:ascii="宋体" w:hAnsi="宋体"/>
          <w:color w:val="auto"/>
          <w:sz w:val="24"/>
          <w:szCs w:val="24"/>
          <w:highlight w:val="none"/>
        </w:rPr>
        <w:t xml:space="preserve">    </w:t>
      </w:r>
    </w:p>
    <w:p w14:paraId="036FB20E">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工程质量保修书</w:t>
      </w:r>
    </w:p>
    <w:p w14:paraId="125C36D3">
      <w:pPr>
        <w:spacing w:line="440" w:lineRule="exact"/>
        <w:ind w:firstLine="420" w:firstLineChars="200"/>
        <w:rPr>
          <w:rFonts w:ascii="宋体" w:hAnsi="宋体"/>
          <w:color w:val="auto"/>
          <w:szCs w:val="21"/>
          <w:highlight w:val="none"/>
        </w:rPr>
      </w:pPr>
      <w:r>
        <w:rPr>
          <w:rFonts w:ascii="宋体" w:hAnsi="宋体"/>
          <w:color w:val="auto"/>
          <w:szCs w:val="21"/>
          <w:highlight w:val="none"/>
        </w:rPr>
        <w:t>发包人（全称）：</w:t>
      </w:r>
      <w:r>
        <w:rPr>
          <w:rFonts w:ascii="宋体" w:hAnsi="宋体"/>
          <w:color w:val="auto"/>
          <w:szCs w:val="21"/>
          <w:highlight w:val="none"/>
          <w:u w:val="single"/>
        </w:rPr>
        <w:t xml:space="preserve">                                </w:t>
      </w:r>
      <w:r>
        <w:rPr>
          <w:rFonts w:ascii="宋体" w:hAnsi="宋体"/>
          <w:color w:val="auto"/>
          <w:szCs w:val="21"/>
          <w:highlight w:val="none"/>
        </w:rPr>
        <w:t xml:space="preserve"> </w:t>
      </w:r>
    </w:p>
    <w:p w14:paraId="1B709E01">
      <w:pPr>
        <w:spacing w:line="440" w:lineRule="exact"/>
        <w:rPr>
          <w:rFonts w:ascii="宋体" w:hAnsi="宋体"/>
          <w:color w:val="auto"/>
          <w:szCs w:val="21"/>
          <w:highlight w:val="none"/>
        </w:rPr>
      </w:pPr>
      <w:r>
        <w:rPr>
          <w:rFonts w:ascii="宋体" w:hAnsi="宋体"/>
          <w:color w:val="auto"/>
          <w:szCs w:val="21"/>
          <w:highlight w:val="none"/>
        </w:rPr>
        <w:t>　　承包人（全称）：</w:t>
      </w:r>
      <w:r>
        <w:rPr>
          <w:rFonts w:ascii="宋体" w:hAnsi="宋体"/>
          <w:color w:val="auto"/>
          <w:szCs w:val="21"/>
          <w:highlight w:val="none"/>
          <w:u w:val="single"/>
        </w:rPr>
        <w:t xml:space="preserve">                                </w:t>
      </w:r>
      <w:r>
        <w:rPr>
          <w:rFonts w:ascii="宋体" w:hAnsi="宋体"/>
          <w:color w:val="auto"/>
          <w:szCs w:val="21"/>
          <w:highlight w:val="none"/>
        </w:rPr>
        <w:t xml:space="preserve"> </w:t>
      </w:r>
    </w:p>
    <w:p w14:paraId="56FFDAA2">
      <w:pPr>
        <w:spacing w:line="440" w:lineRule="exact"/>
        <w:rPr>
          <w:rFonts w:ascii="宋体" w:hAnsi="宋体"/>
          <w:color w:val="auto"/>
          <w:szCs w:val="21"/>
          <w:highlight w:val="none"/>
        </w:rPr>
      </w:pPr>
    </w:p>
    <w:p w14:paraId="7BDCB06D">
      <w:pPr>
        <w:spacing w:line="360" w:lineRule="auto"/>
        <w:rPr>
          <w:rFonts w:ascii="宋体" w:hAnsi="宋体"/>
          <w:color w:val="auto"/>
          <w:szCs w:val="21"/>
          <w:highlight w:val="none"/>
        </w:rPr>
      </w:pPr>
      <w:r>
        <w:rPr>
          <w:rFonts w:ascii="宋体" w:hAnsi="宋体"/>
          <w:color w:val="auto"/>
          <w:szCs w:val="21"/>
          <w:highlight w:val="none"/>
        </w:rPr>
        <w:t>　　发包人和承包人根据《中华人民共和国建筑法》和《建设工程质量管理条例》，经协商一致就</w:t>
      </w:r>
      <w:r>
        <w:rPr>
          <w:rFonts w:ascii="宋体" w:hAnsi="宋体"/>
          <w:color w:val="auto"/>
          <w:szCs w:val="21"/>
          <w:highlight w:val="none"/>
          <w:u w:val="single"/>
        </w:rPr>
        <w:t xml:space="preserve">                </w:t>
      </w:r>
      <w:r>
        <w:rPr>
          <w:rFonts w:ascii="宋体" w:hAnsi="宋体"/>
          <w:color w:val="auto"/>
          <w:szCs w:val="21"/>
          <w:highlight w:val="none"/>
        </w:rPr>
        <w:t>（工程全称）签订工程质量保修书。</w:t>
      </w:r>
    </w:p>
    <w:p w14:paraId="6D8FE0BB">
      <w:pPr>
        <w:rPr>
          <w:rFonts w:ascii="Times New Roman" w:hAnsi="Times New Roman"/>
          <w:color w:val="auto"/>
          <w:szCs w:val="24"/>
          <w:highlight w:val="none"/>
        </w:rPr>
      </w:pPr>
      <w:r>
        <w:rPr>
          <w:rFonts w:ascii="Times New Roman" w:hAnsi="Times New Roman"/>
          <w:color w:val="auto"/>
          <w:szCs w:val="24"/>
          <w:highlight w:val="none"/>
        </w:rPr>
        <w:t>　　一、工程质量保修范围和内容</w:t>
      </w:r>
    </w:p>
    <w:p w14:paraId="648A71F9">
      <w:pPr>
        <w:spacing w:line="360" w:lineRule="auto"/>
        <w:rPr>
          <w:rFonts w:ascii="宋体" w:hAnsi="宋体"/>
          <w:color w:val="auto"/>
          <w:szCs w:val="21"/>
          <w:highlight w:val="none"/>
        </w:rPr>
      </w:pPr>
      <w:r>
        <w:rPr>
          <w:rFonts w:ascii="Times New Roman" w:hAnsi="Times New Roman" w:eastAsia="仿宋_GB2312"/>
          <w:color w:val="auto"/>
          <w:szCs w:val="21"/>
          <w:highlight w:val="none"/>
        </w:rPr>
        <w:t>　</w:t>
      </w:r>
      <w:r>
        <w:rPr>
          <w:rFonts w:ascii="宋体" w:hAnsi="宋体"/>
          <w:color w:val="auto"/>
          <w:szCs w:val="21"/>
          <w:highlight w:val="none"/>
        </w:rPr>
        <w:t>　承包人在质量保修期内，按照有关法律规定和合同约定，承担工程质量保修责任。</w:t>
      </w:r>
    </w:p>
    <w:p w14:paraId="3EDA33AF">
      <w:pPr>
        <w:spacing w:line="360" w:lineRule="auto"/>
        <w:rPr>
          <w:rFonts w:ascii="宋体" w:hAnsi="宋体"/>
          <w:color w:val="auto"/>
          <w:szCs w:val="21"/>
          <w:highlight w:val="none"/>
        </w:rPr>
      </w:pPr>
      <w:r>
        <w:rPr>
          <w:rFonts w:ascii="宋体" w:hAnsi="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6AB8B66">
      <w:pPr>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5BCF658D">
      <w:pPr>
        <w:rPr>
          <w:rFonts w:ascii="Times New Roman" w:hAnsi="Times New Roman"/>
          <w:color w:val="auto"/>
          <w:szCs w:val="24"/>
          <w:highlight w:val="none"/>
        </w:rPr>
      </w:pPr>
      <w:r>
        <w:rPr>
          <w:rFonts w:ascii="Times New Roman" w:hAnsi="Times New Roman"/>
          <w:color w:val="auto"/>
          <w:szCs w:val="24"/>
          <w:highlight w:val="none"/>
        </w:rPr>
        <w:t>　　二、质量保修期</w:t>
      </w:r>
    </w:p>
    <w:p w14:paraId="30BFDE20">
      <w:pPr>
        <w:spacing w:line="360" w:lineRule="auto"/>
        <w:ind w:firstLine="420" w:firstLineChars="200"/>
        <w:rPr>
          <w:rFonts w:ascii="宋体" w:hAnsi="宋体"/>
          <w:color w:val="auto"/>
          <w:szCs w:val="21"/>
          <w:highlight w:val="none"/>
        </w:rPr>
      </w:pPr>
      <w:r>
        <w:rPr>
          <w:rFonts w:ascii="宋体" w:hAnsi="宋体"/>
          <w:color w:val="auto"/>
          <w:szCs w:val="21"/>
          <w:highlight w:val="none"/>
        </w:rPr>
        <w:t>根据《建设工程质量管理条例》及有关规定，工程的质量保修期如下：</w:t>
      </w:r>
    </w:p>
    <w:p w14:paraId="4F87605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1．地基基础工程和主体结构工程为设计文件规定的工程合理使用年限；</w:t>
      </w:r>
    </w:p>
    <w:p w14:paraId="2093693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屋面防水工程、有防水要求的卫生间、房间和外墙面的防渗</w:t>
      </w:r>
      <w:r>
        <w:rPr>
          <w:rFonts w:hint="eastAsia" w:ascii="宋体" w:hAnsi="宋体"/>
          <w:color w:val="auto"/>
          <w:szCs w:val="21"/>
          <w:highlight w:val="none"/>
        </w:rPr>
        <w:t>为</w:t>
      </w:r>
      <w:r>
        <w:rPr>
          <w:rFonts w:hint="eastAsia" w:ascii="宋体" w:hAnsi="宋体"/>
          <w:color w:val="auto"/>
          <w:szCs w:val="21"/>
          <w:highlight w:val="none"/>
          <w:u w:val="single"/>
        </w:rPr>
        <w:t xml:space="preserve">        </w:t>
      </w:r>
      <w:r>
        <w:rPr>
          <w:rFonts w:ascii="宋体" w:hAnsi="宋体"/>
          <w:color w:val="auto"/>
          <w:szCs w:val="21"/>
          <w:highlight w:val="none"/>
        </w:rPr>
        <w:t>年；</w:t>
      </w:r>
    </w:p>
    <w:p w14:paraId="3BC0039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装修工程为</w:t>
      </w:r>
      <w:r>
        <w:rPr>
          <w:rFonts w:ascii="宋体" w:hAnsi="宋体"/>
          <w:color w:val="auto"/>
          <w:szCs w:val="21"/>
          <w:highlight w:val="none"/>
          <w:u w:val="single"/>
        </w:rPr>
        <w:t xml:space="preserve">         </w:t>
      </w:r>
      <w:r>
        <w:rPr>
          <w:rFonts w:ascii="宋体" w:hAnsi="宋体"/>
          <w:color w:val="auto"/>
          <w:szCs w:val="21"/>
          <w:highlight w:val="none"/>
        </w:rPr>
        <w:t>年；</w:t>
      </w:r>
    </w:p>
    <w:p w14:paraId="31314C1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电气管线、给排水管道、设备安装工程为</w:t>
      </w:r>
      <w:r>
        <w:rPr>
          <w:rFonts w:ascii="宋体" w:hAnsi="宋体"/>
          <w:color w:val="auto"/>
          <w:szCs w:val="21"/>
          <w:highlight w:val="none"/>
          <w:u w:val="single"/>
        </w:rPr>
        <w:t xml:space="preserve">         </w:t>
      </w:r>
      <w:r>
        <w:rPr>
          <w:rFonts w:ascii="宋体" w:hAnsi="宋体"/>
          <w:color w:val="auto"/>
          <w:szCs w:val="21"/>
          <w:highlight w:val="none"/>
        </w:rPr>
        <w:t>年；</w:t>
      </w:r>
    </w:p>
    <w:p w14:paraId="5ED0603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供热与供冷系统为</w:t>
      </w:r>
      <w:r>
        <w:rPr>
          <w:rFonts w:ascii="宋体" w:hAnsi="宋体"/>
          <w:color w:val="auto"/>
          <w:szCs w:val="21"/>
          <w:highlight w:val="none"/>
          <w:u w:val="single"/>
        </w:rPr>
        <w:t xml:space="preserve">         </w:t>
      </w:r>
      <w:r>
        <w:rPr>
          <w:rFonts w:ascii="宋体" w:hAnsi="宋体"/>
          <w:color w:val="auto"/>
          <w:szCs w:val="21"/>
          <w:highlight w:val="none"/>
        </w:rPr>
        <w:t>个采暖期、供冷期；</w:t>
      </w:r>
    </w:p>
    <w:p w14:paraId="76491C4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住宅小区内的给排水设施、道路等配套工程为</w:t>
      </w:r>
      <w:r>
        <w:rPr>
          <w:rFonts w:ascii="宋体" w:hAnsi="宋体"/>
          <w:color w:val="auto"/>
          <w:szCs w:val="21"/>
          <w:highlight w:val="none"/>
          <w:u w:val="single"/>
        </w:rPr>
        <w:t xml:space="preserve">         </w:t>
      </w:r>
      <w:r>
        <w:rPr>
          <w:rFonts w:ascii="宋体" w:hAnsi="宋体"/>
          <w:color w:val="auto"/>
          <w:szCs w:val="21"/>
          <w:highlight w:val="none"/>
        </w:rPr>
        <w:t>年；</w:t>
      </w:r>
    </w:p>
    <w:p w14:paraId="0F61377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w:t>
      </w:r>
      <w:r>
        <w:rPr>
          <w:rFonts w:ascii="宋体" w:hAnsi="宋体"/>
          <w:color w:val="auto"/>
          <w:szCs w:val="21"/>
          <w:highlight w:val="none"/>
        </w:rPr>
        <w:t>其他项目保修期限约定如下：</w:t>
      </w:r>
    </w:p>
    <w:p w14:paraId="682AF157">
      <w:pPr>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3E155084">
      <w:pPr>
        <w:spacing w:line="360" w:lineRule="auto"/>
        <w:rPr>
          <w:rFonts w:ascii="宋体" w:hAnsi="宋体"/>
          <w:color w:val="auto"/>
          <w:szCs w:val="21"/>
          <w:highlight w:val="none"/>
        </w:rPr>
      </w:pPr>
      <w:r>
        <w:rPr>
          <w:rFonts w:ascii="Times New Roman" w:hAnsi="Times New Roman" w:eastAsia="仿宋_GB2312"/>
          <w:color w:val="auto"/>
          <w:szCs w:val="21"/>
          <w:highlight w:val="none"/>
        </w:rPr>
        <w:t>　</w:t>
      </w:r>
      <w:r>
        <w:rPr>
          <w:rFonts w:ascii="宋体" w:hAnsi="宋体"/>
          <w:color w:val="auto"/>
          <w:szCs w:val="21"/>
          <w:highlight w:val="none"/>
        </w:rPr>
        <w:t>　质量保修期自工程竣工验收合格之日起计算。</w:t>
      </w:r>
    </w:p>
    <w:p w14:paraId="7488EC08">
      <w:pPr>
        <w:rPr>
          <w:rFonts w:ascii="Times New Roman" w:hAnsi="Times New Roman"/>
          <w:color w:val="auto"/>
          <w:szCs w:val="24"/>
          <w:highlight w:val="none"/>
        </w:rPr>
      </w:pPr>
      <w:r>
        <w:rPr>
          <w:rFonts w:ascii="Times New Roman" w:hAnsi="Times New Roman"/>
          <w:color w:val="auto"/>
          <w:szCs w:val="24"/>
          <w:highlight w:val="none"/>
        </w:rPr>
        <w:t>三、缺陷责任期</w:t>
      </w:r>
    </w:p>
    <w:p w14:paraId="7B43A2DA">
      <w:pPr>
        <w:spacing w:line="360" w:lineRule="auto"/>
        <w:ind w:firstLine="420" w:firstLineChars="200"/>
        <w:rPr>
          <w:rFonts w:ascii="宋体" w:hAnsi="宋体"/>
          <w:color w:val="auto"/>
          <w:szCs w:val="21"/>
          <w:highlight w:val="none"/>
        </w:rPr>
      </w:pPr>
      <w:r>
        <w:rPr>
          <w:rFonts w:ascii="宋体" w:hAnsi="宋体"/>
          <w:color w:val="auto"/>
          <w:szCs w:val="21"/>
          <w:highlight w:val="none"/>
        </w:rPr>
        <w:t>工程缺陷责任期为</w:t>
      </w:r>
      <w:r>
        <w:rPr>
          <w:rFonts w:ascii="宋体" w:hAnsi="宋体"/>
          <w:color w:val="auto"/>
          <w:szCs w:val="21"/>
          <w:highlight w:val="none"/>
          <w:u w:val="single"/>
        </w:rPr>
        <w:t xml:space="preserve">         </w:t>
      </w:r>
      <w:r>
        <w:rPr>
          <w:rFonts w:ascii="宋体" w:hAnsi="宋体"/>
          <w:color w:val="auto"/>
          <w:szCs w:val="21"/>
          <w:highlight w:val="none"/>
        </w:rPr>
        <w:t>个月，缺陷责任期自工程</w:t>
      </w:r>
      <w:r>
        <w:rPr>
          <w:rFonts w:hint="eastAsia" w:ascii="宋体" w:hAnsi="宋体"/>
          <w:color w:val="auto"/>
          <w:szCs w:val="21"/>
          <w:highlight w:val="none"/>
        </w:rPr>
        <w:t>通过竣工验收</w:t>
      </w:r>
      <w:r>
        <w:rPr>
          <w:rFonts w:ascii="宋体" w:hAnsi="宋体"/>
          <w:color w:val="auto"/>
          <w:szCs w:val="21"/>
          <w:highlight w:val="none"/>
        </w:rPr>
        <w:t>之日起计算。单位工程先于全部工程进行验收，单位工程缺陷责任期自单位工程验收合格之日起算。</w:t>
      </w:r>
    </w:p>
    <w:p w14:paraId="3881F197">
      <w:pPr>
        <w:spacing w:line="360" w:lineRule="auto"/>
        <w:ind w:firstLine="420" w:firstLineChars="200"/>
        <w:rPr>
          <w:rFonts w:ascii="宋体" w:hAnsi="宋体"/>
          <w:color w:val="auto"/>
          <w:szCs w:val="21"/>
          <w:highlight w:val="none"/>
        </w:rPr>
      </w:pPr>
      <w:r>
        <w:rPr>
          <w:rFonts w:ascii="宋体" w:hAnsi="宋体"/>
          <w:color w:val="auto"/>
          <w:szCs w:val="21"/>
          <w:highlight w:val="none"/>
        </w:rPr>
        <w:t>缺陷责任期终止后，发包人应退还剩余的质量保证金。</w:t>
      </w:r>
    </w:p>
    <w:p w14:paraId="2901DFB3">
      <w:pPr>
        <w:rPr>
          <w:rFonts w:ascii="Times New Roman" w:hAnsi="Times New Roman"/>
          <w:color w:val="auto"/>
          <w:szCs w:val="24"/>
          <w:highlight w:val="none"/>
        </w:rPr>
      </w:pPr>
      <w:r>
        <w:rPr>
          <w:rFonts w:ascii="Times New Roman" w:hAnsi="Times New Roman"/>
          <w:color w:val="auto"/>
          <w:szCs w:val="24"/>
          <w:highlight w:val="none"/>
        </w:rPr>
        <w:t xml:space="preserve">    四、质量保修责任</w:t>
      </w:r>
    </w:p>
    <w:p w14:paraId="3D1C6493">
      <w:pPr>
        <w:spacing w:line="360" w:lineRule="auto"/>
        <w:ind w:left="105" w:leftChars="50" w:firstLine="430" w:firstLineChars="205"/>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属于保修范围、内容的项目，承包人应当在接到保修通知之日起7天内派人保修。承包人不在约定期限内派人保修的，发包人可以委托他人修理。</w:t>
      </w:r>
    </w:p>
    <w:p w14:paraId="71DB8FF4">
      <w:pPr>
        <w:spacing w:line="360" w:lineRule="auto"/>
        <w:ind w:left="105" w:leftChars="50" w:firstLine="430" w:firstLineChars="205"/>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发生紧急事故需抢修的，承包人在接到事故通知后，应当立即到达事故现场抢修。</w:t>
      </w:r>
    </w:p>
    <w:p w14:paraId="44955021">
      <w:pPr>
        <w:spacing w:line="360" w:lineRule="auto"/>
        <w:ind w:left="105" w:leftChars="50" w:firstLine="430" w:firstLineChars="205"/>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3251E1C">
      <w:pPr>
        <w:spacing w:line="360" w:lineRule="auto"/>
        <w:ind w:left="420" w:leftChars="200" w:firstLine="105" w:firstLineChars="5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质量保修完成后，由发包人组织验收。</w:t>
      </w:r>
    </w:p>
    <w:p w14:paraId="19D57C95">
      <w:pPr>
        <w:rPr>
          <w:rFonts w:ascii="Times New Roman" w:hAnsi="Times New Roman"/>
          <w:color w:val="auto"/>
          <w:szCs w:val="24"/>
          <w:highlight w:val="none"/>
        </w:rPr>
      </w:pPr>
      <w:r>
        <w:rPr>
          <w:rFonts w:ascii="Times New Roman" w:hAnsi="Times New Roman"/>
          <w:color w:val="auto"/>
          <w:szCs w:val="24"/>
          <w:highlight w:val="none"/>
        </w:rPr>
        <w:t>　　五、保修费用</w:t>
      </w:r>
    </w:p>
    <w:p w14:paraId="0555E022">
      <w:pPr>
        <w:spacing w:line="360" w:lineRule="auto"/>
        <w:rPr>
          <w:rFonts w:ascii="宋体" w:hAnsi="宋体"/>
          <w:color w:val="auto"/>
          <w:szCs w:val="21"/>
          <w:highlight w:val="none"/>
        </w:rPr>
      </w:pPr>
      <w:r>
        <w:rPr>
          <w:rFonts w:ascii="Times New Roman" w:hAnsi="Times New Roman" w:eastAsia="仿宋_GB2312"/>
          <w:color w:val="auto"/>
          <w:szCs w:val="21"/>
          <w:highlight w:val="none"/>
        </w:rPr>
        <w:t>　</w:t>
      </w:r>
      <w:r>
        <w:rPr>
          <w:rFonts w:ascii="宋体" w:hAnsi="宋体"/>
          <w:color w:val="auto"/>
          <w:szCs w:val="21"/>
          <w:highlight w:val="none"/>
        </w:rPr>
        <w:t>　保修费用由造成质量缺陷的责任方承担。</w:t>
      </w:r>
    </w:p>
    <w:p w14:paraId="01BAB598">
      <w:pPr>
        <w:rPr>
          <w:rFonts w:hint="eastAsia" w:ascii="Times New Roman" w:hAnsi="Times New Roman"/>
          <w:color w:val="auto"/>
          <w:szCs w:val="24"/>
          <w:highlight w:val="none"/>
        </w:rPr>
      </w:pPr>
      <w:r>
        <w:rPr>
          <w:rFonts w:ascii="Times New Roman" w:hAnsi="Times New Roman"/>
          <w:color w:val="auto"/>
          <w:szCs w:val="24"/>
          <w:highlight w:val="none"/>
        </w:rPr>
        <w:t>六、双方约定的其他工程质量保修事项：</w:t>
      </w:r>
    </w:p>
    <w:p w14:paraId="14A22F58">
      <w:pPr>
        <w:rPr>
          <w:rFonts w:ascii="Times New Roman" w:hAnsi="Times New Roman"/>
          <w:color w:val="auto"/>
          <w:szCs w:val="24"/>
          <w:highlight w:val="none"/>
        </w:rPr>
      </w:pPr>
      <w:r>
        <w:rPr>
          <w:rFonts w:ascii="Times New Roman" w:hAnsi="Times New Roman"/>
          <w:color w:val="auto"/>
          <w:szCs w:val="24"/>
          <w:highlight w:val="non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hint="eastAsia" w:ascii="Times New Roman" w:hAnsi="Times New Roman"/>
          <w:color w:val="auto"/>
          <w:szCs w:val="24"/>
          <w:highlight w:val="none"/>
          <w:u w:val="single"/>
        </w:rPr>
        <w:t xml:space="preserve">                                                       </w:t>
      </w:r>
      <w:r>
        <w:rPr>
          <w:rFonts w:ascii="Times New Roman" w:hAnsi="Times New Roman"/>
          <w:color w:val="auto"/>
          <w:szCs w:val="24"/>
          <w:highlight w:val="none"/>
          <w:u w:val="single"/>
        </w:rPr>
        <w:t xml:space="preserve">  </w:t>
      </w:r>
      <w:r>
        <w:rPr>
          <w:rFonts w:ascii="Times New Roman" w:hAnsi="Times New Roman"/>
          <w:color w:val="auto"/>
          <w:szCs w:val="24"/>
          <w:highlight w:val="none"/>
        </w:rPr>
        <w:t>。</w:t>
      </w:r>
    </w:p>
    <w:p w14:paraId="11919DD2">
      <w:pPr>
        <w:spacing w:line="360" w:lineRule="auto"/>
        <w:ind w:firstLine="399" w:firstLineChars="190"/>
        <w:rPr>
          <w:rFonts w:hint="eastAsia" w:ascii="宋体" w:hAnsi="宋体"/>
          <w:color w:val="auto"/>
          <w:szCs w:val="21"/>
          <w:highlight w:val="none"/>
        </w:rPr>
      </w:pPr>
      <w:r>
        <w:rPr>
          <w:rFonts w:ascii="宋体" w:hAnsi="宋体"/>
          <w:color w:val="auto"/>
          <w:szCs w:val="21"/>
          <w:highlight w:val="none"/>
        </w:rPr>
        <w:t>工程质量保修书由发包人、承包人在工程竣工验收前共同签署，作为施工合同附件，其有效期限至保修期满。</w:t>
      </w:r>
    </w:p>
    <w:p w14:paraId="76D2F30C">
      <w:pPr>
        <w:spacing w:line="360" w:lineRule="auto"/>
        <w:ind w:firstLine="399" w:firstLineChars="190"/>
        <w:rPr>
          <w:rFonts w:hint="eastAsia" w:ascii="宋体" w:hAnsi="宋体"/>
          <w:color w:val="auto"/>
          <w:szCs w:val="21"/>
          <w:highlight w:val="none"/>
        </w:rPr>
      </w:pPr>
    </w:p>
    <w:p w14:paraId="1ACD8FF2">
      <w:pPr>
        <w:spacing w:line="360" w:lineRule="auto"/>
        <w:ind w:firstLine="399" w:firstLineChars="190"/>
        <w:rPr>
          <w:rFonts w:ascii="宋体" w:hAnsi="宋体"/>
          <w:color w:val="auto"/>
          <w:szCs w:val="21"/>
          <w:highlight w:val="none"/>
        </w:rPr>
      </w:pPr>
    </w:p>
    <w:p w14:paraId="3C1E966E">
      <w:pPr>
        <w:spacing w:line="360" w:lineRule="auto"/>
        <w:ind w:firstLine="420"/>
        <w:rPr>
          <w:rFonts w:ascii="宋体" w:hAnsi="宋体"/>
          <w:color w:val="auto"/>
          <w:szCs w:val="21"/>
          <w:highlight w:val="none"/>
        </w:rPr>
      </w:pPr>
    </w:p>
    <w:p w14:paraId="4183D866">
      <w:pPr>
        <w:spacing w:line="360" w:lineRule="auto"/>
        <w:ind w:firstLine="630" w:firstLineChars="300"/>
        <w:rPr>
          <w:rFonts w:ascii="宋体" w:hAnsi="宋体"/>
          <w:color w:val="auto"/>
          <w:szCs w:val="21"/>
          <w:highlight w:val="none"/>
        </w:rPr>
      </w:pPr>
      <w:r>
        <w:rPr>
          <w:rFonts w:ascii="宋体" w:hAnsi="宋体"/>
          <w:color w:val="auto"/>
          <w:szCs w:val="21"/>
          <w:highlight w:val="none"/>
        </w:rPr>
        <w:t>发包人(公章)：</w:t>
      </w:r>
      <w:r>
        <w:rPr>
          <w:rFonts w:ascii="宋体" w:hAnsi="宋体"/>
          <w:color w:val="auto"/>
          <w:szCs w:val="21"/>
          <w:highlight w:val="none"/>
          <w:u w:val="single"/>
        </w:rPr>
        <w:t xml:space="preserve"> 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承包人(公章)：</w:t>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p>
    <w:p w14:paraId="380A9514">
      <w:pPr>
        <w:spacing w:line="360" w:lineRule="auto"/>
        <w:ind w:firstLine="630" w:firstLineChars="300"/>
        <w:rPr>
          <w:rFonts w:ascii="宋体" w:hAnsi="宋体"/>
          <w:color w:val="auto"/>
          <w:szCs w:val="21"/>
          <w:highlight w:val="none"/>
        </w:rPr>
      </w:pPr>
      <w:r>
        <w:rPr>
          <w:rFonts w:ascii="宋体" w:hAnsi="宋体"/>
          <w:color w:val="auto"/>
          <w:szCs w:val="21"/>
          <w:highlight w:val="none"/>
        </w:rPr>
        <w:t>地  址：</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地  址：</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7D92A357">
      <w:pPr>
        <w:spacing w:line="360" w:lineRule="auto"/>
        <w:ind w:firstLine="630" w:firstLineChars="300"/>
        <w:rPr>
          <w:rFonts w:ascii="宋体" w:hAnsi="宋体"/>
          <w:color w:val="auto"/>
          <w:szCs w:val="21"/>
          <w:highlight w:val="none"/>
        </w:rPr>
      </w:pPr>
      <w:r>
        <w:rPr>
          <w:rFonts w:ascii="宋体" w:hAnsi="宋体"/>
          <w:color w:val="auto"/>
          <w:szCs w:val="21"/>
          <w:highlight w:val="none"/>
        </w:rPr>
        <w:t>法定代表人(签字)：</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法定代表人(签字)：</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7C8502C3">
      <w:pPr>
        <w:spacing w:line="360" w:lineRule="auto"/>
        <w:ind w:firstLine="630" w:firstLineChars="300"/>
        <w:rPr>
          <w:rFonts w:ascii="宋体" w:hAnsi="宋体"/>
          <w:color w:val="auto"/>
          <w:szCs w:val="21"/>
          <w:highlight w:val="none"/>
        </w:rPr>
      </w:pPr>
      <w:r>
        <w:rPr>
          <w:rFonts w:ascii="宋体" w:hAnsi="宋体"/>
          <w:color w:val="auto"/>
          <w:szCs w:val="21"/>
          <w:highlight w:val="none"/>
        </w:rPr>
        <w:t>委托代理人(签字)：</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委托代理人(签字)：</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3C0214F4">
      <w:pPr>
        <w:spacing w:line="360" w:lineRule="auto"/>
        <w:ind w:firstLine="630" w:firstLineChars="300"/>
        <w:rPr>
          <w:rFonts w:ascii="宋体" w:hAnsi="宋体"/>
          <w:color w:val="auto"/>
          <w:szCs w:val="21"/>
          <w:highlight w:val="none"/>
        </w:rPr>
      </w:pPr>
      <w:r>
        <w:rPr>
          <w:rFonts w:ascii="宋体" w:hAnsi="宋体"/>
          <w:color w:val="auto"/>
          <w:szCs w:val="21"/>
          <w:highlight w:val="none"/>
        </w:rPr>
        <w:t>电  话：</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电  话：</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17025544">
      <w:pPr>
        <w:spacing w:line="360" w:lineRule="auto"/>
        <w:ind w:firstLine="630" w:firstLineChars="300"/>
        <w:rPr>
          <w:rFonts w:ascii="宋体" w:hAnsi="宋体"/>
          <w:color w:val="auto"/>
          <w:szCs w:val="21"/>
          <w:highlight w:val="none"/>
        </w:rPr>
      </w:pPr>
      <w:r>
        <w:rPr>
          <w:rFonts w:ascii="宋体" w:hAnsi="宋体"/>
          <w:color w:val="auto"/>
          <w:szCs w:val="21"/>
          <w:highlight w:val="none"/>
        </w:rPr>
        <w:t>传  真：</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传  真：</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p>
    <w:p w14:paraId="52F9DB32">
      <w:pPr>
        <w:spacing w:line="360" w:lineRule="auto"/>
        <w:ind w:firstLine="630" w:firstLineChars="300"/>
        <w:rPr>
          <w:rFonts w:ascii="宋体" w:hAnsi="宋体"/>
          <w:color w:val="auto"/>
          <w:szCs w:val="21"/>
          <w:highlight w:val="none"/>
        </w:rPr>
      </w:pPr>
      <w:r>
        <w:rPr>
          <w:rFonts w:ascii="宋体" w:hAnsi="宋体"/>
          <w:color w:val="auto"/>
          <w:szCs w:val="21"/>
          <w:highlight w:val="none"/>
        </w:rPr>
        <w:t>开户银行：</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开户银行：</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p>
    <w:p w14:paraId="0D862B2E">
      <w:pPr>
        <w:spacing w:line="360" w:lineRule="auto"/>
        <w:ind w:firstLine="630" w:firstLineChars="300"/>
        <w:rPr>
          <w:rFonts w:ascii="宋体" w:hAnsi="宋体"/>
          <w:color w:val="auto"/>
          <w:szCs w:val="21"/>
          <w:highlight w:val="none"/>
        </w:rPr>
      </w:pPr>
      <w:r>
        <w:rPr>
          <w:rFonts w:ascii="宋体" w:hAnsi="宋体"/>
          <w:color w:val="auto"/>
          <w:szCs w:val="21"/>
          <w:highlight w:val="none"/>
        </w:rPr>
        <w:t>账  号：</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hint="eastAsia" w:ascii="宋体" w:hAnsi="宋体"/>
          <w:color w:val="auto"/>
          <w:szCs w:val="21"/>
          <w:highlight w:val="none"/>
        </w:rPr>
        <w:t xml:space="preserve">            </w:t>
      </w:r>
      <w:r>
        <w:rPr>
          <w:rFonts w:ascii="宋体" w:hAnsi="宋体"/>
          <w:color w:val="auto"/>
          <w:szCs w:val="21"/>
          <w:highlight w:val="none"/>
        </w:rPr>
        <w:t>账</w:t>
      </w:r>
      <w:r>
        <w:rPr>
          <w:rFonts w:hint="eastAsia" w:ascii="宋体" w:hAnsi="宋体"/>
          <w:color w:val="auto"/>
          <w:szCs w:val="21"/>
          <w:highlight w:val="none"/>
        </w:rPr>
        <w:t xml:space="preserve"> </w:t>
      </w:r>
      <w:r>
        <w:rPr>
          <w:rFonts w:ascii="宋体" w:hAnsi="宋体"/>
          <w:color w:val="auto"/>
          <w:szCs w:val="21"/>
          <w:highlight w:val="none"/>
        </w:rPr>
        <w:t xml:space="preserve"> 号：</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6038A231">
      <w:pPr>
        <w:spacing w:line="360" w:lineRule="auto"/>
        <w:ind w:firstLine="630" w:firstLineChars="300"/>
        <w:rPr>
          <w:rFonts w:ascii="宋体" w:hAnsi="宋体"/>
          <w:color w:val="auto"/>
          <w:szCs w:val="21"/>
          <w:highlight w:val="none"/>
        </w:rPr>
      </w:pPr>
      <w:r>
        <w:rPr>
          <w:rFonts w:ascii="宋体" w:hAnsi="宋体"/>
          <w:color w:val="auto"/>
          <w:szCs w:val="21"/>
          <w:highlight w:val="none"/>
        </w:rPr>
        <w:t>邮政编码：</w:t>
      </w:r>
      <w:r>
        <w:rPr>
          <w:rFonts w:ascii="宋体" w:hAnsi="宋体"/>
          <w:color w:val="auto"/>
          <w:szCs w:val="21"/>
          <w:highlight w:val="none"/>
          <w:u w:val="single"/>
        </w:rPr>
        <w:t xml:space="preserve">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邮政编码：</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r>
        <w:rPr>
          <w:rFonts w:ascii="宋体" w:hAnsi="宋体"/>
          <w:color w:val="auto"/>
          <w:szCs w:val="21"/>
          <w:highlight w:val="none"/>
          <w:u w:val="single"/>
        </w:rPr>
        <w:sym w:font="宋体" w:char="0020"/>
      </w:r>
    </w:p>
    <w:p w14:paraId="5A24C44E">
      <w:pPr>
        <w:spacing w:before="120" w:beforeLines="50" w:after="120" w:afterLines="50" w:line="440" w:lineRule="exact"/>
        <w:jc w:val="left"/>
        <w:rPr>
          <w:rFonts w:ascii="Times New Roman" w:hAnsi="Times New Roman" w:eastAsia="黑体"/>
          <w:color w:val="auto"/>
          <w:sz w:val="30"/>
          <w:szCs w:val="30"/>
          <w:highlight w:val="none"/>
        </w:rPr>
      </w:pPr>
      <w:r>
        <w:rPr>
          <w:rFonts w:ascii="Times New Roman" w:hAnsi="Times New Roman" w:eastAsia="仿宋_GB2312"/>
          <w:b/>
          <w:color w:val="auto"/>
          <w:szCs w:val="21"/>
          <w:highlight w:val="none"/>
        </w:rPr>
        <w:br w:type="page"/>
      </w:r>
      <w:r>
        <w:rPr>
          <w:rFonts w:ascii="宋体" w:hAnsi="宋体"/>
          <w:color w:val="auto"/>
          <w:sz w:val="24"/>
          <w:szCs w:val="24"/>
          <w:highlight w:val="none"/>
        </w:rPr>
        <w:t>附件4：</w:t>
      </w:r>
    </w:p>
    <w:p w14:paraId="176F6EBD">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主要建设工程文件目录</w:t>
      </w:r>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D2138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33226E62">
            <w:pPr>
              <w:keepNext/>
              <w:spacing w:line="440" w:lineRule="exact"/>
              <w:ind w:left="63" w:right="63"/>
              <w:rPr>
                <w:rFonts w:ascii="宋体" w:hAnsi="宋体"/>
                <w:color w:val="auto"/>
                <w:szCs w:val="21"/>
                <w:highlight w:val="none"/>
              </w:rPr>
            </w:pPr>
            <w:r>
              <w:rPr>
                <w:rFonts w:ascii="宋体" w:hAnsi="宋体"/>
                <w:color w:val="auto"/>
                <w:szCs w:val="21"/>
                <w:highlight w:val="none"/>
              </w:rPr>
              <w:t>文件名称</w:t>
            </w:r>
          </w:p>
        </w:tc>
        <w:tc>
          <w:tcPr>
            <w:tcW w:w="1276" w:type="dxa"/>
            <w:tcBorders>
              <w:top w:val="single" w:color="auto" w:sz="12" w:space="0"/>
              <w:bottom w:val="double" w:color="auto" w:sz="6" w:space="0"/>
            </w:tcBorders>
            <w:noWrap w:val="0"/>
            <w:vAlign w:val="center"/>
          </w:tcPr>
          <w:p w14:paraId="14016270">
            <w:pPr>
              <w:keepNext/>
              <w:spacing w:line="440" w:lineRule="exact"/>
              <w:ind w:left="63" w:right="63"/>
              <w:rPr>
                <w:rFonts w:ascii="宋体" w:hAnsi="宋体"/>
                <w:color w:val="auto"/>
                <w:szCs w:val="21"/>
                <w:highlight w:val="none"/>
              </w:rPr>
            </w:pPr>
            <w:r>
              <w:rPr>
                <w:rFonts w:ascii="宋体" w:hAnsi="宋体"/>
                <w:color w:val="auto"/>
                <w:szCs w:val="21"/>
                <w:highlight w:val="none"/>
              </w:rPr>
              <w:t>套数</w:t>
            </w:r>
          </w:p>
        </w:tc>
        <w:tc>
          <w:tcPr>
            <w:tcW w:w="1450" w:type="dxa"/>
            <w:tcBorders>
              <w:top w:val="single" w:color="auto" w:sz="12" w:space="0"/>
              <w:bottom w:val="double" w:color="auto" w:sz="6" w:space="0"/>
            </w:tcBorders>
            <w:noWrap w:val="0"/>
            <w:vAlign w:val="center"/>
          </w:tcPr>
          <w:p w14:paraId="58425EB9">
            <w:pPr>
              <w:keepNext/>
              <w:spacing w:line="440" w:lineRule="exact"/>
              <w:ind w:left="63" w:right="63"/>
              <w:rPr>
                <w:rFonts w:ascii="宋体" w:hAnsi="宋体"/>
                <w:color w:val="auto"/>
                <w:szCs w:val="21"/>
                <w:highlight w:val="none"/>
              </w:rPr>
            </w:pPr>
            <w:r>
              <w:rPr>
                <w:rFonts w:ascii="宋体" w:hAnsi="宋体"/>
                <w:color w:val="auto"/>
                <w:szCs w:val="21"/>
                <w:highlight w:val="none"/>
              </w:rPr>
              <w:t>费用</w:t>
            </w:r>
            <w:r>
              <w:rPr>
                <w:rFonts w:hint="eastAsia" w:ascii="宋体" w:hAnsi="宋体"/>
                <w:color w:val="auto"/>
                <w:szCs w:val="21"/>
                <w:highlight w:val="none"/>
              </w:rPr>
              <w:t>（元）</w:t>
            </w:r>
          </w:p>
        </w:tc>
        <w:tc>
          <w:tcPr>
            <w:tcW w:w="1243" w:type="dxa"/>
            <w:tcBorders>
              <w:top w:val="single" w:color="auto" w:sz="12" w:space="0"/>
              <w:bottom w:val="double" w:color="auto" w:sz="6" w:space="0"/>
            </w:tcBorders>
            <w:noWrap w:val="0"/>
            <w:vAlign w:val="center"/>
          </w:tcPr>
          <w:p w14:paraId="00A7A235">
            <w:pPr>
              <w:keepNext/>
              <w:spacing w:line="440" w:lineRule="exact"/>
              <w:ind w:left="63" w:right="63"/>
              <w:rPr>
                <w:rFonts w:ascii="宋体" w:hAnsi="宋体"/>
                <w:color w:val="auto"/>
                <w:szCs w:val="21"/>
                <w:highlight w:val="none"/>
              </w:rPr>
            </w:pPr>
            <w:r>
              <w:rPr>
                <w:rFonts w:ascii="宋体" w:hAnsi="宋体"/>
                <w:color w:val="auto"/>
                <w:szCs w:val="21"/>
                <w:highlight w:val="none"/>
              </w:rPr>
              <w:t>质量</w:t>
            </w:r>
          </w:p>
        </w:tc>
        <w:tc>
          <w:tcPr>
            <w:tcW w:w="1450" w:type="dxa"/>
            <w:tcBorders>
              <w:top w:val="single" w:color="auto" w:sz="12" w:space="0"/>
              <w:bottom w:val="double" w:color="auto" w:sz="6" w:space="0"/>
            </w:tcBorders>
            <w:noWrap w:val="0"/>
            <w:vAlign w:val="top"/>
          </w:tcPr>
          <w:p w14:paraId="42BBD3FB">
            <w:pPr>
              <w:spacing w:line="440" w:lineRule="exact"/>
              <w:jc w:val="center"/>
              <w:rPr>
                <w:rFonts w:ascii="宋体" w:hAnsi="宋体"/>
                <w:color w:val="auto"/>
                <w:szCs w:val="21"/>
                <w:highlight w:val="none"/>
              </w:rPr>
            </w:pPr>
            <w:r>
              <w:rPr>
                <w:rFonts w:ascii="宋体" w:hAnsi="宋体"/>
                <w:color w:val="auto"/>
                <w:szCs w:val="21"/>
                <w:highlight w:val="none"/>
              </w:rPr>
              <w:t>移交时间</w:t>
            </w:r>
          </w:p>
        </w:tc>
        <w:tc>
          <w:tcPr>
            <w:tcW w:w="1667" w:type="dxa"/>
            <w:tcBorders>
              <w:top w:val="single" w:color="auto" w:sz="12" w:space="0"/>
              <w:bottom w:val="double" w:color="auto" w:sz="6" w:space="0"/>
            </w:tcBorders>
            <w:noWrap w:val="0"/>
            <w:vAlign w:val="top"/>
          </w:tcPr>
          <w:p w14:paraId="20698BD8">
            <w:pPr>
              <w:spacing w:line="440" w:lineRule="exact"/>
              <w:jc w:val="center"/>
              <w:rPr>
                <w:rFonts w:ascii="宋体" w:hAnsi="宋体"/>
                <w:color w:val="auto"/>
                <w:szCs w:val="21"/>
                <w:highlight w:val="none"/>
              </w:rPr>
            </w:pPr>
            <w:r>
              <w:rPr>
                <w:rFonts w:ascii="宋体" w:hAnsi="宋体"/>
                <w:color w:val="auto"/>
                <w:szCs w:val="21"/>
                <w:highlight w:val="none"/>
              </w:rPr>
              <w:t>责任人</w:t>
            </w:r>
          </w:p>
        </w:tc>
      </w:tr>
      <w:tr w14:paraId="011F99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666BBEA6">
            <w:pPr>
              <w:keepNext/>
              <w:spacing w:line="440" w:lineRule="exact"/>
              <w:ind w:left="63" w:right="63"/>
              <w:rPr>
                <w:rFonts w:ascii="Times New Roman" w:hAnsi="Times New Roman" w:eastAsia="仿宋_GB2312"/>
                <w:color w:val="auto"/>
                <w:sz w:val="30"/>
                <w:szCs w:val="30"/>
                <w:highlight w:val="none"/>
              </w:rPr>
            </w:pPr>
          </w:p>
        </w:tc>
        <w:tc>
          <w:tcPr>
            <w:tcW w:w="1276" w:type="dxa"/>
            <w:tcBorders>
              <w:top w:val="double" w:color="auto" w:sz="6" w:space="0"/>
              <w:bottom w:val="single" w:color="auto" w:sz="6" w:space="0"/>
            </w:tcBorders>
            <w:noWrap w:val="0"/>
            <w:vAlign w:val="center"/>
          </w:tcPr>
          <w:p w14:paraId="6C365FEB">
            <w:pPr>
              <w:keepNext/>
              <w:spacing w:line="440" w:lineRule="exact"/>
              <w:ind w:left="63" w:right="63"/>
              <w:rPr>
                <w:rFonts w:ascii="Times New Roman" w:hAnsi="Times New Roman" w:eastAsia="仿宋_GB2312"/>
                <w:color w:val="auto"/>
                <w:sz w:val="30"/>
                <w:szCs w:val="30"/>
                <w:highlight w:val="none"/>
              </w:rPr>
            </w:pPr>
          </w:p>
        </w:tc>
        <w:tc>
          <w:tcPr>
            <w:tcW w:w="1450" w:type="dxa"/>
            <w:tcBorders>
              <w:top w:val="double" w:color="auto" w:sz="6" w:space="0"/>
              <w:bottom w:val="single" w:color="auto" w:sz="6" w:space="0"/>
            </w:tcBorders>
            <w:noWrap w:val="0"/>
            <w:vAlign w:val="center"/>
          </w:tcPr>
          <w:p w14:paraId="7138AABA">
            <w:pPr>
              <w:keepNext/>
              <w:spacing w:line="440" w:lineRule="exact"/>
              <w:ind w:left="63" w:right="63"/>
              <w:rPr>
                <w:rFonts w:ascii="Times New Roman" w:hAnsi="Times New Roman" w:eastAsia="仿宋_GB2312"/>
                <w:color w:val="auto"/>
                <w:sz w:val="30"/>
                <w:szCs w:val="30"/>
                <w:highlight w:val="none"/>
              </w:rPr>
            </w:pPr>
          </w:p>
        </w:tc>
        <w:tc>
          <w:tcPr>
            <w:tcW w:w="1243" w:type="dxa"/>
            <w:tcBorders>
              <w:top w:val="double" w:color="auto" w:sz="6" w:space="0"/>
              <w:bottom w:val="single" w:color="auto" w:sz="6" w:space="0"/>
            </w:tcBorders>
            <w:noWrap w:val="0"/>
            <w:vAlign w:val="center"/>
          </w:tcPr>
          <w:p w14:paraId="2E1A0802">
            <w:pPr>
              <w:keepNext/>
              <w:spacing w:line="440" w:lineRule="exact"/>
              <w:ind w:left="63" w:right="63"/>
              <w:rPr>
                <w:rFonts w:ascii="Times New Roman" w:hAnsi="Times New Roman" w:eastAsia="仿宋_GB2312"/>
                <w:color w:val="auto"/>
                <w:sz w:val="30"/>
                <w:szCs w:val="30"/>
                <w:highlight w:val="none"/>
              </w:rPr>
            </w:pPr>
          </w:p>
        </w:tc>
        <w:tc>
          <w:tcPr>
            <w:tcW w:w="1450" w:type="dxa"/>
            <w:tcBorders>
              <w:top w:val="double" w:color="auto" w:sz="6" w:space="0"/>
              <w:bottom w:val="single" w:color="auto" w:sz="6" w:space="0"/>
            </w:tcBorders>
            <w:noWrap w:val="0"/>
            <w:vAlign w:val="center"/>
          </w:tcPr>
          <w:p w14:paraId="12D9D46B">
            <w:pPr>
              <w:keepNext/>
              <w:spacing w:line="440" w:lineRule="exact"/>
              <w:ind w:left="63" w:right="63"/>
              <w:rPr>
                <w:rFonts w:ascii="Times New Roman" w:hAnsi="Times New Roman" w:eastAsia="仿宋_GB2312"/>
                <w:color w:val="auto"/>
                <w:sz w:val="30"/>
                <w:szCs w:val="30"/>
                <w:highlight w:val="none"/>
              </w:rPr>
            </w:pPr>
          </w:p>
        </w:tc>
        <w:tc>
          <w:tcPr>
            <w:tcW w:w="1667" w:type="dxa"/>
            <w:tcBorders>
              <w:top w:val="double" w:color="auto" w:sz="6" w:space="0"/>
              <w:bottom w:val="single" w:color="auto" w:sz="6" w:space="0"/>
            </w:tcBorders>
            <w:noWrap w:val="0"/>
            <w:vAlign w:val="center"/>
          </w:tcPr>
          <w:p w14:paraId="5278FC12">
            <w:pPr>
              <w:keepNext/>
              <w:spacing w:line="440" w:lineRule="exact"/>
              <w:ind w:left="63" w:right="63"/>
              <w:rPr>
                <w:rFonts w:ascii="Times New Roman" w:hAnsi="Times New Roman" w:eastAsia="仿宋_GB2312"/>
                <w:color w:val="auto"/>
                <w:sz w:val="30"/>
                <w:szCs w:val="30"/>
                <w:highlight w:val="none"/>
              </w:rPr>
            </w:pPr>
          </w:p>
        </w:tc>
      </w:tr>
      <w:tr w14:paraId="2D9C7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24F7B4D7">
            <w:pPr>
              <w:keepNext/>
              <w:spacing w:line="440" w:lineRule="exact"/>
              <w:ind w:left="63" w:right="63"/>
              <w:rPr>
                <w:rFonts w:ascii="Times New Roman" w:hAnsi="Times New Roman" w:eastAsia="仿宋_GB2312"/>
                <w:color w:val="auto"/>
                <w:sz w:val="30"/>
                <w:szCs w:val="30"/>
                <w:highlight w:val="none"/>
              </w:rPr>
            </w:pPr>
          </w:p>
        </w:tc>
        <w:tc>
          <w:tcPr>
            <w:tcW w:w="1276" w:type="dxa"/>
            <w:tcBorders>
              <w:top w:val="nil"/>
            </w:tcBorders>
            <w:noWrap w:val="0"/>
            <w:vAlign w:val="center"/>
          </w:tcPr>
          <w:p w14:paraId="68B3A8DC">
            <w:pPr>
              <w:keepNext/>
              <w:spacing w:line="440" w:lineRule="exact"/>
              <w:ind w:left="63" w:right="63"/>
              <w:rPr>
                <w:rFonts w:ascii="Times New Roman" w:hAnsi="Times New Roman" w:eastAsia="仿宋_GB2312"/>
                <w:color w:val="auto"/>
                <w:sz w:val="30"/>
                <w:szCs w:val="30"/>
                <w:highlight w:val="none"/>
              </w:rPr>
            </w:pPr>
          </w:p>
        </w:tc>
        <w:tc>
          <w:tcPr>
            <w:tcW w:w="1450" w:type="dxa"/>
            <w:tcBorders>
              <w:top w:val="nil"/>
            </w:tcBorders>
            <w:noWrap w:val="0"/>
            <w:vAlign w:val="center"/>
          </w:tcPr>
          <w:p w14:paraId="3396250C">
            <w:pPr>
              <w:keepNext/>
              <w:spacing w:line="440" w:lineRule="exact"/>
              <w:ind w:left="63" w:right="63"/>
              <w:rPr>
                <w:rFonts w:ascii="Times New Roman" w:hAnsi="Times New Roman" w:eastAsia="仿宋_GB2312"/>
                <w:color w:val="auto"/>
                <w:sz w:val="30"/>
                <w:szCs w:val="30"/>
                <w:highlight w:val="none"/>
              </w:rPr>
            </w:pPr>
          </w:p>
        </w:tc>
        <w:tc>
          <w:tcPr>
            <w:tcW w:w="1243" w:type="dxa"/>
            <w:tcBorders>
              <w:top w:val="nil"/>
            </w:tcBorders>
            <w:noWrap w:val="0"/>
            <w:vAlign w:val="center"/>
          </w:tcPr>
          <w:p w14:paraId="22017DE7">
            <w:pPr>
              <w:keepNext/>
              <w:spacing w:line="440" w:lineRule="exact"/>
              <w:ind w:left="63" w:right="63"/>
              <w:rPr>
                <w:rFonts w:ascii="Times New Roman" w:hAnsi="Times New Roman" w:eastAsia="仿宋_GB2312"/>
                <w:color w:val="auto"/>
                <w:sz w:val="30"/>
                <w:szCs w:val="30"/>
                <w:highlight w:val="none"/>
              </w:rPr>
            </w:pPr>
          </w:p>
        </w:tc>
        <w:tc>
          <w:tcPr>
            <w:tcW w:w="1450" w:type="dxa"/>
            <w:tcBorders>
              <w:top w:val="nil"/>
            </w:tcBorders>
            <w:noWrap w:val="0"/>
            <w:vAlign w:val="center"/>
          </w:tcPr>
          <w:p w14:paraId="379B40CE">
            <w:pPr>
              <w:keepNext/>
              <w:spacing w:line="440" w:lineRule="exact"/>
              <w:ind w:left="63" w:right="63"/>
              <w:rPr>
                <w:rFonts w:ascii="Times New Roman" w:hAnsi="Times New Roman" w:eastAsia="仿宋_GB2312"/>
                <w:color w:val="auto"/>
                <w:sz w:val="30"/>
                <w:szCs w:val="30"/>
                <w:highlight w:val="none"/>
              </w:rPr>
            </w:pPr>
          </w:p>
        </w:tc>
        <w:tc>
          <w:tcPr>
            <w:tcW w:w="1667" w:type="dxa"/>
            <w:tcBorders>
              <w:top w:val="nil"/>
            </w:tcBorders>
            <w:noWrap w:val="0"/>
            <w:vAlign w:val="center"/>
          </w:tcPr>
          <w:p w14:paraId="42D8774F">
            <w:pPr>
              <w:keepNext/>
              <w:spacing w:line="440" w:lineRule="exact"/>
              <w:ind w:left="63" w:right="63"/>
              <w:rPr>
                <w:rFonts w:ascii="Times New Roman" w:hAnsi="Times New Roman" w:eastAsia="仿宋_GB2312"/>
                <w:color w:val="auto"/>
                <w:sz w:val="30"/>
                <w:szCs w:val="30"/>
                <w:highlight w:val="none"/>
              </w:rPr>
            </w:pPr>
          </w:p>
        </w:tc>
      </w:tr>
      <w:tr w14:paraId="2C61E5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26522A1">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1605FF7A">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1EFE6DA0">
            <w:pPr>
              <w:keepNext/>
              <w:spacing w:line="440" w:lineRule="exact"/>
              <w:ind w:left="63" w:right="63"/>
              <w:rPr>
                <w:rFonts w:ascii="Times New Roman" w:hAnsi="Times New Roman" w:eastAsia="仿宋_GB2312"/>
                <w:color w:val="auto"/>
                <w:sz w:val="30"/>
                <w:szCs w:val="30"/>
                <w:highlight w:val="none"/>
              </w:rPr>
            </w:pPr>
          </w:p>
        </w:tc>
        <w:tc>
          <w:tcPr>
            <w:tcW w:w="1243" w:type="dxa"/>
            <w:noWrap w:val="0"/>
            <w:vAlign w:val="center"/>
          </w:tcPr>
          <w:p w14:paraId="1A3E2456">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0E2FA978">
            <w:pPr>
              <w:keepNext/>
              <w:spacing w:line="440" w:lineRule="exact"/>
              <w:ind w:left="63" w:right="63"/>
              <w:rPr>
                <w:rFonts w:ascii="Times New Roman" w:hAnsi="Times New Roman" w:eastAsia="仿宋_GB2312"/>
                <w:color w:val="auto"/>
                <w:sz w:val="30"/>
                <w:szCs w:val="30"/>
                <w:highlight w:val="none"/>
              </w:rPr>
            </w:pPr>
          </w:p>
        </w:tc>
        <w:tc>
          <w:tcPr>
            <w:tcW w:w="1667" w:type="dxa"/>
            <w:noWrap w:val="0"/>
            <w:vAlign w:val="center"/>
          </w:tcPr>
          <w:p w14:paraId="019C2B52">
            <w:pPr>
              <w:keepNext/>
              <w:spacing w:line="440" w:lineRule="exact"/>
              <w:ind w:left="63" w:right="63"/>
              <w:rPr>
                <w:rFonts w:ascii="Times New Roman" w:hAnsi="Times New Roman" w:eastAsia="仿宋_GB2312"/>
                <w:color w:val="auto"/>
                <w:sz w:val="30"/>
                <w:szCs w:val="30"/>
                <w:highlight w:val="none"/>
              </w:rPr>
            </w:pPr>
          </w:p>
        </w:tc>
      </w:tr>
      <w:tr w14:paraId="4380D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547C759">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2C36CF61">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02208B43">
            <w:pPr>
              <w:keepNext/>
              <w:spacing w:line="440" w:lineRule="exact"/>
              <w:ind w:left="63" w:right="63"/>
              <w:rPr>
                <w:rFonts w:ascii="Times New Roman" w:hAnsi="Times New Roman" w:eastAsia="仿宋_GB2312"/>
                <w:color w:val="auto"/>
                <w:sz w:val="30"/>
                <w:szCs w:val="30"/>
                <w:highlight w:val="none"/>
              </w:rPr>
            </w:pPr>
          </w:p>
        </w:tc>
        <w:tc>
          <w:tcPr>
            <w:tcW w:w="1243" w:type="dxa"/>
            <w:noWrap w:val="0"/>
            <w:vAlign w:val="center"/>
          </w:tcPr>
          <w:p w14:paraId="60D12B83">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73859E63">
            <w:pPr>
              <w:keepNext/>
              <w:spacing w:line="440" w:lineRule="exact"/>
              <w:ind w:left="63" w:right="63"/>
              <w:rPr>
                <w:rFonts w:ascii="Times New Roman" w:hAnsi="Times New Roman" w:eastAsia="仿宋_GB2312"/>
                <w:color w:val="auto"/>
                <w:sz w:val="30"/>
                <w:szCs w:val="30"/>
                <w:highlight w:val="none"/>
              </w:rPr>
            </w:pPr>
          </w:p>
        </w:tc>
        <w:tc>
          <w:tcPr>
            <w:tcW w:w="1667" w:type="dxa"/>
            <w:noWrap w:val="0"/>
            <w:vAlign w:val="center"/>
          </w:tcPr>
          <w:p w14:paraId="6476A6B4">
            <w:pPr>
              <w:keepNext/>
              <w:spacing w:line="440" w:lineRule="exact"/>
              <w:ind w:left="63" w:right="63"/>
              <w:rPr>
                <w:rFonts w:ascii="Times New Roman" w:hAnsi="Times New Roman" w:eastAsia="仿宋_GB2312"/>
                <w:color w:val="auto"/>
                <w:sz w:val="30"/>
                <w:szCs w:val="30"/>
                <w:highlight w:val="none"/>
              </w:rPr>
            </w:pPr>
          </w:p>
        </w:tc>
      </w:tr>
      <w:tr w14:paraId="237A7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F3BA938">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5488AB8C">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0FBD231A">
            <w:pPr>
              <w:keepNext/>
              <w:spacing w:line="440" w:lineRule="exact"/>
              <w:ind w:left="63" w:right="63"/>
              <w:rPr>
                <w:rFonts w:ascii="Times New Roman" w:hAnsi="Times New Roman" w:eastAsia="仿宋_GB2312"/>
                <w:color w:val="auto"/>
                <w:sz w:val="30"/>
                <w:szCs w:val="30"/>
                <w:highlight w:val="none"/>
              </w:rPr>
            </w:pPr>
          </w:p>
        </w:tc>
        <w:tc>
          <w:tcPr>
            <w:tcW w:w="1243" w:type="dxa"/>
            <w:noWrap w:val="0"/>
            <w:vAlign w:val="center"/>
          </w:tcPr>
          <w:p w14:paraId="02A74940">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650AE586">
            <w:pPr>
              <w:keepNext/>
              <w:spacing w:line="440" w:lineRule="exact"/>
              <w:ind w:left="63" w:right="63"/>
              <w:rPr>
                <w:rFonts w:ascii="Times New Roman" w:hAnsi="Times New Roman" w:eastAsia="仿宋_GB2312"/>
                <w:color w:val="auto"/>
                <w:sz w:val="30"/>
                <w:szCs w:val="30"/>
                <w:highlight w:val="none"/>
              </w:rPr>
            </w:pPr>
          </w:p>
        </w:tc>
        <w:tc>
          <w:tcPr>
            <w:tcW w:w="1667" w:type="dxa"/>
            <w:noWrap w:val="0"/>
            <w:vAlign w:val="center"/>
          </w:tcPr>
          <w:p w14:paraId="72E9C0F7">
            <w:pPr>
              <w:keepNext/>
              <w:spacing w:line="440" w:lineRule="exact"/>
              <w:ind w:left="63" w:right="63"/>
              <w:rPr>
                <w:rFonts w:ascii="Times New Roman" w:hAnsi="Times New Roman" w:eastAsia="仿宋_GB2312"/>
                <w:color w:val="auto"/>
                <w:sz w:val="30"/>
                <w:szCs w:val="30"/>
                <w:highlight w:val="none"/>
              </w:rPr>
            </w:pPr>
          </w:p>
        </w:tc>
      </w:tr>
      <w:tr w14:paraId="7B245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FDB57CC">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74E8BBE1">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4FC346AC">
            <w:pPr>
              <w:keepNext/>
              <w:spacing w:line="440" w:lineRule="exact"/>
              <w:ind w:left="63" w:right="63"/>
              <w:rPr>
                <w:rFonts w:ascii="Times New Roman" w:hAnsi="Times New Roman" w:eastAsia="仿宋_GB2312"/>
                <w:color w:val="auto"/>
                <w:sz w:val="30"/>
                <w:szCs w:val="30"/>
                <w:highlight w:val="none"/>
              </w:rPr>
            </w:pPr>
          </w:p>
        </w:tc>
        <w:tc>
          <w:tcPr>
            <w:tcW w:w="1243" w:type="dxa"/>
            <w:noWrap w:val="0"/>
            <w:vAlign w:val="center"/>
          </w:tcPr>
          <w:p w14:paraId="0064F453">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5CD05F9D">
            <w:pPr>
              <w:keepNext/>
              <w:spacing w:line="440" w:lineRule="exact"/>
              <w:ind w:left="63" w:right="63"/>
              <w:rPr>
                <w:rFonts w:ascii="Times New Roman" w:hAnsi="Times New Roman" w:eastAsia="仿宋_GB2312"/>
                <w:color w:val="auto"/>
                <w:sz w:val="30"/>
                <w:szCs w:val="30"/>
                <w:highlight w:val="none"/>
              </w:rPr>
            </w:pPr>
          </w:p>
        </w:tc>
        <w:tc>
          <w:tcPr>
            <w:tcW w:w="1667" w:type="dxa"/>
            <w:noWrap w:val="0"/>
            <w:vAlign w:val="center"/>
          </w:tcPr>
          <w:p w14:paraId="0DC067DF">
            <w:pPr>
              <w:keepNext/>
              <w:spacing w:line="440" w:lineRule="exact"/>
              <w:ind w:left="63" w:right="63"/>
              <w:rPr>
                <w:rFonts w:ascii="Times New Roman" w:hAnsi="Times New Roman" w:eastAsia="仿宋_GB2312"/>
                <w:color w:val="auto"/>
                <w:sz w:val="30"/>
                <w:szCs w:val="30"/>
                <w:highlight w:val="none"/>
              </w:rPr>
            </w:pPr>
          </w:p>
        </w:tc>
      </w:tr>
      <w:tr w14:paraId="12E70A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907F41D">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6709E8D3">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65694006">
            <w:pPr>
              <w:keepNext/>
              <w:spacing w:line="440" w:lineRule="exact"/>
              <w:ind w:left="63" w:right="63"/>
              <w:rPr>
                <w:rFonts w:ascii="Times New Roman" w:hAnsi="Times New Roman" w:eastAsia="仿宋_GB2312"/>
                <w:color w:val="auto"/>
                <w:sz w:val="30"/>
                <w:szCs w:val="30"/>
                <w:highlight w:val="none"/>
              </w:rPr>
            </w:pPr>
          </w:p>
        </w:tc>
        <w:tc>
          <w:tcPr>
            <w:tcW w:w="1243" w:type="dxa"/>
            <w:noWrap w:val="0"/>
            <w:vAlign w:val="center"/>
          </w:tcPr>
          <w:p w14:paraId="6BA6F0F6">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27B66C24">
            <w:pPr>
              <w:keepNext/>
              <w:spacing w:line="440" w:lineRule="exact"/>
              <w:ind w:left="63" w:right="63"/>
              <w:rPr>
                <w:rFonts w:ascii="Times New Roman" w:hAnsi="Times New Roman" w:eastAsia="仿宋_GB2312"/>
                <w:color w:val="auto"/>
                <w:sz w:val="30"/>
                <w:szCs w:val="30"/>
                <w:highlight w:val="none"/>
              </w:rPr>
            </w:pPr>
          </w:p>
        </w:tc>
        <w:tc>
          <w:tcPr>
            <w:tcW w:w="1667" w:type="dxa"/>
            <w:noWrap w:val="0"/>
            <w:vAlign w:val="center"/>
          </w:tcPr>
          <w:p w14:paraId="349DFE52">
            <w:pPr>
              <w:keepNext/>
              <w:spacing w:line="440" w:lineRule="exact"/>
              <w:ind w:left="63" w:right="63"/>
              <w:rPr>
                <w:rFonts w:ascii="Times New Roman" w:hAnsi="Times New Roman" w:eastAsia="仿宋_GB2312"/>
                <w:color w:val="auto"/>
                <w:sz w:val="30"/>
                <w:szCs w:val="30"/>
                <w:highlight w:val="none"/>
              </w:rPr>
            </w:pPr>
          </w:p>
        </w:tc>
      </w:tr>
      <w:tr w14:paraId="22B7B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8D1F178">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1BC5BABB">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6EF4060A">
            <w:pPr>
              <w:keepNext/>
              <w:spacing w:line="440" w:lineRule="exact"/>
              <w:ind w:left="63" w:right="63"/>
              <w:rPr>
                <w:rFonts w:ascii="Times New Roman" w:hAnsi="Times New Roman" w:eastAsia="仿宋_GB2312"/>
                <w:color w:val="auto"/>
                <w:sz w:val="30"/>
                <w:szCs w:val="30"/>
                <w:highlight w:val="none"/>
              </w:rPr>
            </w:pPr>
          </w:p>
        </w:tc>
        <w:tc>
          <w:tcPr>
            <w:tcW w:w="1243" w:type="dxa"/>
            <w:noWrap w:val="0"/>
            <w:vAlign w:val="center"/>
          </w:tcPr>
          <w:p w14:paraId="6A2DCD07">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04ED9DA3">
            <w:pPr>
              <w:keepNext/>
              <w:spacing w:line="440" w:lineRule="exact"/>
              <w:ind w:left="63" w:right="63"/>
              <w:rPr>
                <w:rFonts w:ascii="Times New Roman" w:hAnsi="Times New Roman" w:eastAsia="仿宋_GB2312"/>
                <w:color w:val="auto"/>
                <w:sz w:val="30"/>
                <w:szCs w:val="30"/>
                <w:highlight w:val="none"/>
              </w:rPr>
            </w:pPr>
          </w:p>
        </w:tc>
        <w:tc>
          <w:tcPr>
            <w:tcW w:w="1667" w:type="dxa"/>
            <w:noWrap w:val="0"/>
            <w:vAlign w:val="center"/>
          </w:tcPr>
          <w:p w14:paraId="78CDBFE3">
            <w:pPr>
              <w:keepNext/>
              <w:spacing w:line="440" w:lineRule="exact"/>
              <w:ind w:left="63" w:right="63"/>
              <w:rPr>
                <w:rFonts w:ascii="Times New Roman" w:hAnsi="Times New Roman" w:eastAsia="仿宋_GB2312"/>
                <w:color w:val="auto"/>
                <w:sz w:val="30"/>
                <w:szCs w:val="30"/>
                <w:highlight w:val="none"/>
              </w:rPr>
            </w:pPr>
          </w:p>
        </w:tc>
      </w:tr>
      <w:tr w14:paraId="04E66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C15DB54">
            <w:pPr>
              <w:rPr>
                <w:rFonts w:ascii="Times New Roman" w:hAnsi="Times New Roman" w:eastAsia="仿宋_GB2312"/>
                <w:color w:val="auto"/>
                <w:sz w:val="30"/>
                <w:szCs w:val="30"/>
                <w:highlight w:val="none"/>
              </w:rPr>
            </w:pPr>
          </w:p>
        </w:tc>
        <w:tc>
          <w:tcPr>
            <w:tcW w:w="1276" w:type="dxa"/>
            <w:noWrap w:val="0"/>
            <w:vAlign w:val="top"/>
          </w:tcPr>
          <w:p w14:paraId="79C15F16">
            <w:pPr>
              <w:rPr>
                <w:rFonts w:ascii="Times New Roman" w:hAnsi="Times New Roman" w:eastAsia="仿宋_GB2312"/>
                <w:color w:val="auto"/>
                <w:sz w:val="30"/>
                <w:szCs w:val="30"/>
                <w:highlight w:val="none"/>
              </w:rPr>
            </w:pPr>
          </w:p>
        </w:tc>
        <w:tc>
          <w:tcPr>
            <w:tcW w:w="1450" w:type="dxa"/>
            <w:noWrap w:val="0"/>
            <w:vAlign w:val="top"/>
          </w:tcPr>
          <w:p w14:paraId="21347382">
            <w:pPr>
              <w:rPr>
                <w:rFonts w:ascii="Times New Roman" w:hAnsi="Times New Roman" w:eastAsia="仿宋_GB2312"/>
                <w:color w:val="auto"/>
                <w:sz w:val="30"/>
                <w:szCs w:val="30"/>
                <w:highlight w:val="none"/>
              </w:rPr>
            </w:pPr>
          </w:p>
        </w:tc>
        <w:tc>
          <w:tcPr>
            <w:tcW w:w="1243" w:type="dxa"/>
            <w:noWrap w:val="0"/>
            <w:vAlign w:val="top"/>
          </w:tcPr>
          <w:p w14:paraId="7C537E7E">
            <w:pPr>
              <w:rPr>
                <w:rFonts w:ascii="Times New Roman" w:hAnsi="Times New Roman" w:eastAsia="仿宋_GB2312"/>
                <w:color w:val="auto"/>
                <w:sz w:val="30"/>
                <w:szCs w:val="30"/>
                <w:highlight w:val="none"/>
              </w:rPr>
            </w:pPr>
          </w:p>
        </w:tc>
        <w:tc>
          <w:tcPr>
            <w:tcW w:w="1450" w:type="dxa"/>
            <w:noWrap w:val="0"/>
            <w:vAlign w:val="top"/>
          </w:tcPr>
          <w:p w14:paraId="5C58C9EE">
            <w:pPr>
              <w:rPr>
                <w:rFonts w:ascii="Times New Roman" w:hAnsi="Times New Roman" w:eastAsia="仿宋_GB2312"/>
                <w:color w:val="auto"/>
                <w:sz w:val="30"/>
                <w:szCs w:val="30"/>
                <w:highlight w:val="none"/>
              </w:rPr>
            </w:pPr>
          </w:p>
        </w:tc>
        <w:tc>
          <w:tcPr>
            <w:tcW w:w="1667" w:type="dxa"/>
            <w:noWrap w:val="0"/>
            <w:vAlign w:val="top"/>
          </w:tcPr>
          <w:p w14:paraId="0591A6AC">
            <w:pPr>
              <w:rPr>
                <w:rFonts w:ascii="Times New Roman" w:hAnsi="Times New Roman" w:eastAsia="仿宋_GB2312"/>
                <w:color w:val="auto"/>
                <w:sz w:val="30"/>
                <w:szCs w:val="30"/>
                <w:highlight w:val="none"/>
              </w:rPr>
            </w:pPr>
          </w:p>
        </w:tc>
      </w:tr>
      <w:tr w14:paraId="19745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1541928">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202F0292">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6BAE85F2">
            <w:pPr>
              <w:keepNext/>
              <w:spacing w:line="440" w:lineRule="exact"/>
              <w:ind w:left="63" w:right="63"/>
              <w:rPr>
                <w:rFonts w:ascii="Times New Roman" w:hAnsi="Times New Roman" w:eastAsia="仿宋_GB2312"/>
                <w:color w:val="auto"/>
                <w:sz w:val="30"/>
                <w:szCs w:val="30"/>
                <w:highlight w:val="none"/>
              </w:rPr>
            </w:pPr>
          </w:p>
        </w:tc>
        <w:tc>
          <w:tcPr>
            <w:tcW w:w="1243" w:type="dxa"/>
            <w:noWrap w:val="0"/>
            <w:vAlign w:val="center"/>
          </w:tcPr>
          <w:p w14:paraId="48823DB9">
            <w:pPr>
              <w:keepNext/>
              <w:spacing w:line="440" w:lineRule="exact"/>
              <w:ind w:left="63" w:right="63"/>
              <w:rPr>
                <w:rFonts w:ascii="Times New Roman" w:hAnsi="Times New Roman" w:eastAsia="仿宋_GB2312"/>
                <w:color w:val="auto"/>
                <w:sz w:val="30"/>
                <w:szCs w:val="30"/>
                <w:highlight w:val="none"/>
              </w:rPr>
            </w:pPr>
          </w:p>
        </w:tc>
        <w:tc>
          <w:tcPr>
            <w:tcW w:w="1450" w:type="dxa"/>
            <w:noWrap w:val="0"/>
            <w:vAlign w:val="center"/>
          </w:tcPr>
          <w:p w14:paraId="3D6823CB">
            <w:pPr>
              <w:keepNext/>
              <w:spacing w:line="440" w:lineRule="exact"/>
              <w:ind w:left="63" w:right="63"/>
              <w:rPr>
                <w:rFonts w:ascii="Times New Roman" w:hAnsi="Times New Roman" w:eastAsia="仿宋_GB2312"/>
                <w:color w:val="auto"/>
                <w:sz w:val="30"/>
                <w:szCs w:val="30"/>
                <w:highlight w:val="none"/>
              </w:rPr>
            </w:pPr>
          </w:p>
        </w:tc>
        <w:tc>
          <w:tcPr>
            <w:tcW w:w="1667" w:type="dxa"/>
            <w:noWrap w:val="0"/>
            <w:vAlign w:val="center"/>
          </w:tcPr>
          <w:p w14:paraId="785C9096">
            <w:pPr>
              <w:keepNext/>
              <w:spacing w:line="440" w:lineRule="exact"/>
              <w:ind w:left="63" w:right="63"/>
              <w:rPr>
                <w:rFonts w:ascii="Times New Roman" w:hAnsi="Times New Roman" w:eastAsia="仿宋_GB2312"/>
                <w:color w:val="auto"/>
                <w:sz w:val="30"/>
                <w:szCs w:val="30"/>
                <w:highlight w:val="none"/>
              </w:rPr>
            </w:pPr>
          </w:p>
        </w:tc>
      </w:tr>
      <w:tr w14:paraId="0E740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3AC542B">
            <w:pPr>
              <w:rPr>
                <w:rFonts w:ascii="Times New Roman" w:hAnsi="Times New Roman" w:eastAsia="仿宋_GB2312"/>
                <w:color w:val="auto"/>
                <w:sz w:val="30"/>
                <w:szCs w:val="30"/>
                <w:highlight w:val="none"/>
              </w:rPr>
            </w:pPr>
          </w:p>
        </w:tc>
        <w:tc>
          <w:tcPr>
            <w:tcW w:w="1276" w:type="dxa"/>
            <w:noWrap w:val="0"/>
            <w:vAlign w:val="top"/>
          </w:tcPr>
          <w:p w14:paraId="4398249A">
            <w:pPr>
              <w:rPr>
                <w:rFonts w:ascii="Times New Roman" w:hAnsi="Times New Roman" w:eastAsia="仿宋_GB2312"/>
                <w:color w:val="auto"/>
                <w:sz w:val="30"/>
                <w:szCs w:val="30"/>
                <w:highlight w:val="none"/>
              </w:rPr>
            </w:pPr>
          </w:p>
        </w:tc>
        <w:tc>
          <w:tcPr>
            <w:tcW w:w="1450" w:type="dxa"/>
            <w:noWrap w:val="0"/>
            <w:vAlign w:val="top"/>
          </w:tcPr>
          <w:p w14:paraId="0F53021F">
            <w:pPr>
              <w:rPr>
                <w:rFonts w:ascii="Times New Roman" w:hAnsi="Times New Roman" w:eastAsia="仿宋_GB2312"/>
                <w:color w:val="auto"/>
                <w:sz w:val="30"/>
                <w:szCs w:val="30"/>
                <w:highlight w:val="none"/>
              </w:rPr>
            </w:pPr>
          </w:p>
        </w:tc>
        <w:tc>
          <w:tcPr>
            <w:tcW w:w="1243" w:type="dxa"/>
            <w:noWrap w:val="0"/>
            <w:vAlign w:val="top"/>
          </w:tcPr>
          <w:p w14:paraId="562C0FAA">
            <w:pPr>
              <w:rPr>
                <w:rFonts w:ascii="Times New Roman" w:hAnsi="Times New Roman" w:eastAsia="仿宋_GB2312"/>
                <w:color w:val="auto"/>
                <w:sz w:val="30"/>
                <w:szCs w:val="30"/>
                <w:highlight w:val="none"/>
              </w:rPr>
            </w:pPr>
          </w:p>
        </w:tc>
        <w:tc>
          <w:tcPr>
            <w:tcW w:w="1450" w:type="dxa"/>
            <w:noWrap w:val="0"/>
            <w:vAlign w:val="top"/>
          </w:tcPr>
          <w:p w14:paraId="417D4717">
            <w:pPr>
              <w:rPr>
                <w:rFonts w:ascii="Times New Roman" w:hAnsi="Times New Roman" w:eastAsia="仿宋_GB2312"/>
                <w:color w:val="auto"/>
                <w:sz w:val="30"/>
                <w:szCs w:val="30"/>
                <w:highlight w:val="none"/>
              </w:rPr>
            </w:pPr>
          </w:p>
        </w:tc>
        <w:tc>
          <w:tcPr>
            <w:tcW w:w="1667" w:type="dxa"/>
            <w:noWrap w:val="0"/>
            <w:vAlign w:val="top"/>
          </w:tcPr>
          <w:p w14:paraId="7B283C06">
            <w:pPr>
              <w:rPr>
                <w:rFonts w:ascii="Times New Roman" w:hAnsi="Times New Roman" w:eastAsia="仿宋_GB2312"/>
                <w:color w:val="auto"/>
                <w:sz w:val="30"/>
                <w:szCs w:val="30"/>
                <w:highlight w:val="none"/>
              </w:rPr>
            </w:pPr>
          </w:p>
        </w:tc>
      </w:tr>
      <w:tr w14:paraId="77073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C8CFAC3">
            <w:pPr>
              <w:rPr>
                <w:rFonts w:ascii="Times New Roman" w:hAnsi="Times New Roman" w:eastAsia="仿宋_GB2312"/>
                <w:color w:val="auto"/>
                <w:sz w:val="30"/>
                <w:szCs w:val="30"/>
                <w:highlight w:val="none"/>
              </w:rPr>
            </w:pPr>
          </w:p>
        </w:tc>
        <w:tc>
          <w:tcPr>
            <w:tcW w:w="1276" w:type="dxa"/>
            <w:noWrap w:val="0"/>
            <w:vAlign w:val="top"/>
          </w:tcPr>
          <w:p w14:paraId="5511954C">
            <w:pPr>
              <w:rPr>
                <w:rFonts w:ascii="Times New Roman" w:hAnsi="Times New Roman" w:eastAsia="仿宋_GB2312"/>
                <w:color w:val="auto"/>
                <w:sz w:val="30"/>
                <w:szCs w:val="30"/>
                <w:highlight w:val="none"/>
              </w:rPr>
            </w:pPr>
          </w:p>
        </w:tc>
        <w:tc>
          <w:tcPr>
            <w:tcW w:w="1450" w:type="dxa"/>
            <w:noWrap w:val="0"/>
            <w:vAlign w:val="top"/>
          </w:tcPr>
          <w:p w14:paraId="6F08D0ED">
            <w:pPr>
              <w:rPr>
                <w:rFonts w:ascii="Times New Roman" w:hAnsi="Times New Roman" w:eastAsia="仿宋_GB2312"/>
                <w:color w:val="auto"/>
                <w:sz w:val="30"/>
                <w:szCs w:val="30"/>
                <w:highlight w:val="none"/>
              </w:rPr>
            </w:pPr>
          </w:p>
        </w:tc>
        <w:tc>
          <w:tcPr>
            <w:tcW w:w="1243" w:type="dxa"/>
            <w:noWrap w:val="0"/>
            <w:vAlign w:val="top"/>
          </w:tcPr>
          <w:p w14:paraId="12F8BAF3">
            <w:pPr>
              <w:rPr>
                <w:rFonts w:ascii="Times New Roman" w:hAnsi="Times New Roman" w:eastAsia="仿宋_GB2312"/>
                <w:color w:val="auto"/>
                <w:sz w:val="30"/>
                <w:szCs w:val="30"/>
                <w:highlight w:val="none"/>
              </w:rPr>
            </w:pPr>
          </w:p>
        </w:tc>
        <w:tc>
          <w:tcPr>
            <w:tcW w:w="1450" w:type="dxa"/>
            <w:noWrap w:val="0"/>
            <w:vAlign w:val="top"/>
          </w:tcPr>
          <w:p w14:paraId="158013D5">
            <w:pPr>
              <w:rPr>
                <w:rFonts w:ascii="Times New Roman" w:hAnsi="Times New Roman" w:eastAsia="仿宋_GB2312"/>
                <w:color w:val="auto"/>
                <w:sz w:val="30"/>
                <w:szCs w:val="30"/>
                <w:highlight w:val="none"/>
              </w:rPr>
            </w:pPr>
          </w:p>
        </w:tc>
        <w:tc>
          <w:tcPr>
            <w:tcW w:w="1667" w:type="dxa"/>
            <w:noWrap w:val="0"/>
            <w:vAlign w:val="top"/>
          </w:tcPr>
          <w:p w14:paraId="27A648CC">
            <w:pPr>
              <w:rPr>
                <w:rFonts w:ascii="Times New Roman" w:hAnsi="Times New Roman" w:eastAsia="仿宋_GB2312"/>
                <w:color w:val="auto"/>
                <w:sz w:val="30"/>
                <w:szCs w:val="30"/>
                <w:highlight w:val="none"/>
              </w:rPr>
            </w:pPr>
          </w:p>
        </w:tc>
      </w:tr>
      <w:tr w14:paraId="3E70B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9BFF232">
            <w:pPr>
              <w:rPr>
                <w:rFonts w:ascii="Times New Roman" w:hAnsi="Times New Roman" w:eastAsia="仿宋_GB2312"/>
                <w:color w:val="auto"/>
                <w:sz w:val="30"/>
                <w:szCs w:val="30"/>
                <w:highlight w:val="none"/>
              </w:rPr>
            </w:pPr>
          </w:p>
        </w:tc>
        <w:tc>
          <w:tcPr>
            <w:tcW w:w="1276" w:type="dxa"/>
            <w:noWrap w:val="0"/>
            <w:vAlign w:val="top"/>
          </w:tcPr>
          <w:p w14:paraId="34F3A587">
            <w:pPr>
              <w:rPr>
                <w:rFonts w:ascii="Times New Roman" w:hAnsi="Times New Roman" w:eastAsia="仿宋_GB2312"/>
                <w:color w:val="auto"/>
                <w:sz w:val="30"/>
                <w:szCs w:val="30"/>
                <w:highlight w:val="none"/>
              </w:rPr>
            </w:pPr>
          </w:p>
        </w:tc>
        <w:tc>
          <w:tcPr>
            <w:tcW w:w="1450" w:type="dxa"/>
            <w:noWrap w:val="0"/>
            <w:vAlign w:val="top"/>
          </w:tcPr>
          <w:p w14:paraId="589AD011">
            <w:pPr>
              <w:rPr>
                <w:rFonts w:ascii="Times New Roman" w:hAnsi="Times New Roman" w:eastAsia="仿宋_GB2312"/>
                <w:color w:val="auto"/>
                <w:sz w:val="30"/>
                <w:szCs w:val="30"/>
                <w:highlight w:val="none"/>
              </w:rPr>
            </w:pPr>
          </w:p>
        </w:tc>
        <w:tc>
          <w:tcPr>
            <w:tcW w:w="1243" w:type="dxa"/>
            <w:noWrap w:val="0"/>
            <w:vAlign w:val="top"/>
          </w:tcPr>
          <w:p w14:paraId="6CF9E41C">
            <w:pPr>
              <w:rPr>
                <w:rFonts w:ascii="Times New Roman" w:hAnsi="Times New Roman" w:eastAsia="仿宋_GB2312"/>
                <w:color w:val="auto"/>
                <w:sz w:val="30"/>
                <w:szCs w:val="30"/>
                <w:highlight w:val="none"/>
              </w:rPr>
            </w:pPr>
          </w:p>
        </w:tc>
        <w:tc>
          <w:tcPr>
            <w:tcW w:w="1450" w:type="dxa"/>
            <w:noWrap w:val="0"/>
            <w:vAlign w:val="top"/>
          </w:tcPr>
          <w:p w14:paraId="38AAD672">
            <w:pPr>
              <w:rPr>
                <w:rFonts w:ascii="Times New Roman" w:hAnsi="Times New Roman" w:eastAsia="仿宋_GB2312"/>
                <w:color w:val="auto"/>
                <w:sz w:val="30"/>
                <w:szCs w:val="30"/>
                <w:highlight w:val="none"/>
              </w:rPr>
            </w:pPr>
          </w:p>
        </w:tc>
        <w:tc>
          <w:tcPr>
            <w:tcW w:w="1667" w:type="dxa"/>
            <w:noWrap w:val="0"/>
            <w:vAlign w:val="top"/>
          </w:tcPr>
          <w:p w14:paraId="3F65100F">
            <w:pPr>
              <w:rPr>
                <w:rFonts w:ascii="Times New Roman" w:hAnsi="Times New Roman" w:eastAsia="仿宋_GB2312"/>
                <w:color w:val="auto"/>
                <w:sz w:val="30"/>
                <w:szCs w:val="30"/>
                <w:highlight w:val="none"/>
              </w:rPr>
            </w:pPr>
          </w:p>
        </w:tc>
      </w:tr>
      <w:tr w14:paraId="43AC6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C859ABA">
            <w:pPr>
              <w:rPr>
                <w:rFonts w:ascii="Times New Roman" w:hAnsi="Times New Roman" w:eastAsia="仿宋_GB2312"/>
                <w:color w:val="auto"/>
                <w:sz w:val="30"/>
                <w:szCs w:val="30"/>
                <w:highlight w:val="none"/>
              </w:rPr>
            </w:pPr>
          </w:p>
        </w:tc>
        <w:tc>
          <w:tcPr>
            <w:tcW w:w="1276" w:type="dxa"/>
            <w:noWrap w:val="0"/>
            <w:vAlign w:val="top"/>
          </w:tcPr>
          <w:p w14:paraId="4C82C8E5">
            <w:pPr>
              <w:rPr>
                <w:rFonts w:ascii="Times New Roman" w:hAnsi="Times New Roman" w:eastAsia="仿宋_GB2312"/>
                <w:color w:val="auto"/>
                <w:sz w:val="30"/>
                <w:szCs w:val="30"/>
                <w:highlight w:val="none"/>
              </w:rPr>
            </w:pPr>
          </w:p>
        </w:tc>
        <w:tc>
          <w:tcPr>
            <w:tcW w:w="1450" w:type="dxa"/>
            <w:noWrap w:val="0"/>
            <w:vAlign w:val="top"/>
          </w:tcPr>
          <w:p w14:paraId="4138A566">
            <w:pPr>
              <w:rPr>
                <w:rFonts w:ascii="Times New Roman" w:hAnsi="Times New Roman" w:eastAsia="仿宋_GB2312"/>
                <w:color w:val="auto"/>
                <w:sz w:val="30"/>
                <w:szCs w:val="30"/>
                <w:highlight w:val="none"/>
              </w:rPr>
            </w:pPr>
          </w:p>
        </w:tc>
        <w:tc>
          <w:tcPr>
            <w:tcW w:w="1243" w:type="dxa"/>
            <w:noWrap w:val="0"/>
            <w:vAlign w:val="top"/>
          </w:tcPr>
          <w:p w14:paraId="6A809F06">
            <w:pPr>
              <w:rPr>
                <w:rFonts w:ascii="Times New Roman" w:hAnsi="Times New Roman" w:eastAsia="仿宋_GB2312"/>
                <w:color w:val="auto"/>
                <w:sz w:val="30"/>
                <w:szCs w:val="30"/>
                <w:highlight w:val="none"/>
              </w:rPr>
            </w:pPr>
          </w:p>
        </w:tc>
        <w:tc>
          <w:tcPr>
            <w:tcW w:w="1450" w:type="dxa"/>
            <w:noWrap w:val="0"/>
            <w:vAlign w:val="top"/>
          </w:tcPr>
          <w:p w14:paraId="5A6B8CD5">
            <w:pPr>
              <w:rPr>
                <w:rFonts w:ascii="Times New Roman" w:hAnsi="Times New Roman" w:eastAsia="仿宋_GB2312"/>
                <w:color w:val="auto"/>
                <w:sz w:val="30"/>
                <w:szCs w:val="30"/>
                <w:highlight w:val="none"/>
              </w:rPr>
            </w:pPr>
          </w:p>
        </w:tc>
        <w:tc>
          <w:tcPr>
            <w:tcW w:w="1667" w:type="dxa"/>
            <w:noWrap w:val="0"/>
            <w:vAlign w:val="top"/>
          </w:tcPr>
          <w:p w14:paraId="3DF6D00C">
            <w:pPr>
              <w:rPr>
                <w:rFonts w:ascii="Times New Roman" w:hAnsi="Times New Roman" w:eastAsia="仿宋_GB2312"/>
                <w:color w:val="auto"/>
                <w:sz w:val="30"/>
                <w:szCs w:val="30"/>
                <w:highlight w:val="none"/>
              </w:rPr>
            </w:pPr>
          </w:p>
        </w:tc>
      </w:tr>
      <w:tr w14:paraId="6C621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5B0A155">
            <w:pPr>
              <w:rPr>
                <w:rFonts w:ascii="Times New Roman" w:hAnsi="Times New Roman" w:eastAsia="仿宋_GB2312"/>
                <w:color w:val="auto"/>
                <w:sz w:val="30"/>
                <w:szCs w:val="30"/>
                <w:highlight w:val="none"/>
              </w:rPr>
            </w:pPr>
          </w:p>
        </w:tc>
        <w:tc>
          <w:tcPr>
            <w:tcW w:w="1276" w:type="dxa"/>
            <w:noWrap w:val="0"/>
            <w:vAlign w:val="top"/>
          </w:tcPr>
          <w:p w14:paraId="48BB128F">
            <w:pPr>
              <w:rPr>
                <w:rFonts w:ascii="Times New Roman" w:hAnsi="Times New Roman" w:eastAsia="仿宋_GB2312"/>
                <w:color w:val="auto"/>
                <w:sz w:val="30"/>
                <w:szCs w:val="30"/>
                <w:highlight w:val="none"/>
              </w:rPr>
            </w:pPr>
          </w:p>
        </w:tc>
        <w:tc>
          <w:tcPr>
            <w:tcW w:w="1450" w:type="dxa"/>
            <w:noWrap w:val="0"/>
            <w:vAlign w:val="top"/>
          </w:tcPr>
          <w:p w14:paraId="36F70D0D">
            <w:pPr>
              <w:rPr>
                <w:rFonts w:ascii="Times New Roman" w:hAnsi="Times New Roman" w:eastAsia="仿宋_GB2312"/>
                <w:color w:val="auto"/>
                <w:sz w:val="30"/>
                <w:szCs w:val="30"/>
                <w:highlight w:val="none"/>
              </w:rPr>
            </w:pPr>
          </w:p>
        </w:tc>
        <w:tc>
          <w:tcPr>
            <w:tcW w:w="1243" w:type="dxa"/>
            <w:noWrap w:val="0"/>
            <w:vAlign w:val="top"/>
          </w:tcPr>
          <w:p w14:paraId="1E6464BB">
            <w:pPr>
              <w:rPr>
                <w:rFonts w:ascii="Times New Roman" w:hAnsi="Times New Roman" w:eastAsia="仿宋_GB2312"/>
                <w:color w:val="auto"/>
                <w:sz w:val="30"/>
                <w:szCs w:val="30"/>
                <w:highlight w:val="none"/>
              </w:rPr>
            </w:pPr>
          </w:p>
        </w:tc>
        <w:tc>
          <w:tcPr>
            <w:tcW w:w="1450" w:type="dxa"/>
            <w:noWrap w:val="0"/>
            <w:vAlign w:val="top"/>
          </w:tcPr>
          <w:p w14:paraId="213D1EFB">
            <w:pPr>
              <w:rPr>
                <w:rFonts w:ascii="Times New Roman" w:hAnsi="Times New Roman" w:eastAsia="仿宋_GB2312"/>
                <w:color w:val="auto"/>
                <w:sz w:val="30"/>
                <w:szCs w:val="30"/>
                <w:highlight w:val="none"/>
              </w:rPr>
            </w:pPr>
          </w:p>
        </w:tc>
        <w:tc>
          <w:tcPr>
            <w:tcW w:w="1667" w:type="dxa"/>
            <w:noWrap w:val="0"/>
            <w:vAlign w:val="top"/>
          </w:tcPr>
          <w:p w14:paraId="5D44B962">
            <w:pPr>
              <w:rPr>
                <w:rFonts w:ascii="Times New Roman" w:hAnsi="Times New Roman" w:eastAsia="仿宋_GB2312"/>
                <w:color w:val="auto"/>
                <w:sz w:val="30"/>
                <w:szCs w:val="30"/>
                <w:highlight w:val="none"/>
              </w:rPr>
            </w:pPr>
          </w:p>
        </w:tc>
      </w:tr>
      <w:tr w14:paraId="7929C9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D68D055">
            <w:pPr>
              <w:rPr>
                <w:rFonts w:ascii="Times New Roman" w:hAnsi="Times New Roman" w:eastAsia="仿宋_GB2312"/>
                <w:color w:val="auto"/>
                <w:sz w:val="30"/>
                <w:szCs w:val="30"/>
                <w:highlight w:val="none"/>
              </w:rPr>
            </w:pPr>
          </w:p>
        </w:tc>
        <w:tc>
          <w:tcPr>
            <w:tcW w:w="1276" w:type="dxa"/>
            <w:noWrap w:val="0"/>
            <w:vAlign w:val="top"/>
          </w:tcPr>
          <w:p w14:paraId="6C1B6774">
            <w:pPr>
              <w:rPr>
                <w:rFonts w:ascii="Times New Roman" w:hAnsi="Times New Roman" w:eastAsia="仿宋_GB2312"/>
                <w:color w:val="auto"/>
                <w:sz w:val="30"/>
                <w:szCs w:val="30"/>
                <w:highlight w:val="none"/>
              </w:rPr>
            </w:pPr>
          </w:p>
        </w:tc>
        <w:tc>
          <w:tcPr>
            <w:tcW w:w="1450" w:type="dxa"/>
            <w:noWrap w:val="0"/>
            <w:vAlign w:val="top"/>
          </w:tcPr>
          <w:p w14:paraId="2445CA28">
            <w:pPr>
              <w:rPr>
                <w:rFonts w:ascii="Times New Roman" w:hAnsi="Times New Roman" w:eastAsia="仿宋_GB2312"/>
                <w:color w:val="auto"/>
                <w:sz w:val="30"/>
                <w:szCs w:val="30"/>
                <w:highlight w:val="none"/>
              </w:rPr>
            </w:pPr>
          </w:p>
        </w:tc>
        <w:tc>
          <w:tcPr>
            <w:tcW w:w="1243" w:type="dxa"/>
            <w:noWrap w:val="0"/>
            <w:vAlign w:val="top"/>
          </w:tcPr>
          <w:p w14:paraId="77E09A62">
            <w:pPr>
              <w:rPr>
                <w:rFonts w:ascii="Times New Roman" w:hAnsi="Times New Roman" w:eastAsia="仿宋_GB2312"/>
                <w:color w:val="auto"/>
                <w:sz w:val="30"/>
                <w:szCs w:val="30"/>
                <w:highlight w:val="none"/>
              </w:rPr>
            </w:pPr>
          </w:p>
        </w:tc>
        <w:tc>
          <w:tcPr>
            <w:tcW w:w="1450" w:type="dxa"/>
            <w:noWrap w:val="0"/>
            <w:vAlign w:val="top"/>
          </w:tcPr>
          <w:p w14:paraId="4E50E62F">
            <w:pPr>
              <w:rPr>
                <w:rFonts w:ascii="Times New Roman" w:hAnsi="Times New Roman" w:eastAsia="仿宋_GB2312"/>
                <w:color w:val="auto"/>
                <w:sz w:val="30"/>
                <w:szCs w:val="30"/>
                <w:highlight w:val="none"/>
              </w:rPr>
            </w:pPr>
          </w:p>
        </w:tc>
        <w:tc>
          <w:tcPr>
            <w:tcW w:w="1667" w:type="dxa"/>
            <w:noWrap w:val="0"/>
            <w:vAlign w:val="top"/>
          </w:tcPr>
          <w:p w14:paraId="2C2C507F">
            <w:pPr>
              <w:rPr>
                <w:rFonts w:ascii="Times New Roman" w:hAnsi="Times New Roman" w:eastAsia="仿宋_GB2312"/>
                <w:color w:val="auto"/>
                <w:sz w:val="30"/>
                <w:szCs w:val="30"/>
                <w:highlight w:val="none"/>
              </w:rPr>
            </w:pPr>
          </w:p>
        </w:tc>
      </w:tr>
      <w:tr w14:paraId="3B6CA5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017C979">
            <w:pPr>
              <w:rPr>
                <w:rFonts w:ascii="Times New Roman" w:hAnsi="Times New Roman" w:eastAsia="仿宋_GB2312"/>
                <w:color w:val="auto"/>
                <w:sz w:val="30"/>
                <w:szCs w:val="30"/>
                <w:highlight w:val="none"/>
              </w:rPr>
            </w:pPr>
          </w:p>
        </w:tc>
        <w:tc>
          <w:tcPr>
            <w:tcW w:w="1276" w:type="dxa"/>
            <w:noWrap w:val="0"/>
            <w:vAlign w:val="top"/>
          </w:tcPr>
          <w:p w14:paraId="4585406D">
            <w:pPr>
              <w:rPr>
                <w:rFonts w:ascii="Times New Roman" w:hAnsi="Times New Roman" w:eastAsia="仿宋_GB2312"/>
                <w:color w:val="auto"/>
                <w:sz w:val="30"/>
                <w:szCs w:val="30"/>
                <w:highlight w:val="none"/>
              </w:rPr>
            </w:pPr>
          </w:p>
        </w:tc>
        <w:tc>
          <w:tcPr>
            <w:tcW w:w="1450" w:type="dxa"/>
            <w:noWrap w:val="0"/>
            <w:vAlign w:val="top"/>
          </w:tcPr>
          <w:p w14:paraId="2A5D7FBA">
            <w:pPr>
              <w:rPr>
                <w:rFonts w:ascii="Times New Roman" w:hAnsi="Times New Roman" w:eastAsia="仿宋_GB2312"/>
                <w:color w:val="auto"/>
                <w:sz w:val="30"/>
                <w:szCs w:val="30"/>
                <w:highlight w:val="none"/>
              </w:rPr>
            </w:pPr>
          </w:p>
        </w:tc>
        <w:tc>
          <w:tcPr>
            <w:tcW w:w="1243" w:type="dxa"/>
            <w:noWrap w:val="0"/>
            <w:vAlign w:val="top"/>
          </w:tcPr>
          <w:p w14:paraId="244CFEFE">
            <w:pPr>
              <w:rPr>
                <w:rFonts w:ascii="Times New Roman" w:hAnsi="Times New Roman" w:eastAsia="仿宋_GB2312"/>
                <w:color w:val="auto"/>
                <w:sz w:val="30"/>
                <w:szCs w:val="30"/>
                <w:highlight w:val="none"/>
              </w:rPr>
            </w:pPr>
          </w:p>
        </w:tc>
        <w:tc>
          <w:tcPr>
            <w:tcW w:w="1450" w:type="dxa"/>
            <w:noWrap w:val="0"/>
            <w:vAlign w:val="top"/>
          </w:tcPr>
          <w:p w14:paraId="4A17205D">
            <w:pPr>
              <w:rPr>
                <w:rFonts w:ascii="Times New Roman" w:hAnsi="Times New Roman" w:eastAsia="仿宋_GB2312"/>
                <w:color w:val="auto"/>
                <w:sz w:val="30"/>
                <w:szCs w:val="30"/>
                <w:highlight w:val="none"/>
              </w:rPr>
            </w:pPr>
          </w:p>
        </w:tc>
        <w:tc>
          <w:tcPr>
            <w:tcW w:w="1667" w:type="dxa"/>
            <w:noWrap w:val="0"/>
            <w:vAlign w:val="top"/>
          </w:tcPr>
          <w:p w14:paraId="2FD3BBD2">
            <w:pPr>
              <w:rPr>
                <w:rFonts w:ascii="Times New Roman" w:hAnsi="Times New Roman" w:eastAsia="仿宋_GB2312"/>
                <w:color w:val="auto"/>
                <w:sz w:val="30"/>
                <w:szCs w:val="30"/>
                <w:highlight w:val="none"/>
              </w:rPr>
            </w:pPr>
          </w:p>
        </w:tc>
      </w:tr>
      <w:tr w14:paraId="64502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A47F80">
            <w:pPr>
              <w:rPr>
                <w:rFonts w:ascii="Times New Roman" w:hAnsi="Times New Roman" w:eastAsia="仿宋_GB2312"/>
                <w:color w:val="auto"/>
                <w:sz w:val="30"/>
                <w:szCs w:val="30"/>
                <w:highlight w:val="none"/>
              </w:rPr>
            </w:pPr>
          </w:p>
        </w:tc>
        <w:tc>
          <w:tcPr>
            <w:tcW w:w="1276" w:type="dxa"/>
            <w:noWrap w:val="0"/>
            <w:vAlign w:val="top"/>
          </w:tcPr>
          <w:p w14:paraId="07CE4754">
            <w:pPr>
              <w:rPr>
                <w:rFonts w:ascii="Times New Roman" w:hAnsi="Times New Roman" w:eastAsia="仿宋_GB2312"/>
                <w:color w:val="auto"/>
                <w:sz w:val="30"/>
                <w:szCs w:val="30"/>
                <w:highlight w:val="none"/>
              </w:rPr>
            </w:pPr>
          </w:p>
        </w:tc>
        <w:tc>
          <w:tcPr>
            <w:tcW w:w="1450" w:type="dxa"/>
            <w:noWrap w:val="0"/>
            <w:vAlign w:val="top"/>
          </w:tcPr>
          <w:p w14:paraId="1A12F57C">
            <w:pPr>
              <w:rPr>
                <w:rFonts w:ascii="Times New Roman" w:hAnsi="Times New Roman" w:eastAsia="仿宋_GB2312"/>
                <w:color w:val="auto"/>
                <w:sz w:val="30"/>
                <w:szCs w:val="30"/>
                <w:highlight w:val="none"/>
              </w:rPr>
            </w:pPr>
          </w:p>
        </w:tc>
        <w:tc>
          <w:tcPr>
            <w:tcW w:w="1243" w:type="dxa"/>
            <w:noWrap w:val="0"/>
            <w:vAlign w:val="top"/>
          </w:tcPr>
          <w:p w14:paraId="3D18A047">
            <w:pPr>
              <w:rPr>
                <w:rFonts w:ascii="Times New Roman" w:hAnsi="Times New Roman" w:eastAsia="仿宋_GB2312"/>
                <w:color w:val="auto"/>
                <w:sz w:val="30"/>
                <w:szCs w:val="30"/>
                <w:highlight w:val="none"/>
              </w:rPr>
            </w:pPr>
          </w:p>
        </w:tc>
        <w:tc>
          <w:tcPr>
            <w:tcW w:w="1450" w:type="dxa"/>
            <w:noWrap w:val="0"/>
            <w:vAlign w:val="top"/>
          </w:tcPr>
          <w:p w14:paraId="0AF5C3FB">
            <w:pPr>
              <w:rPr>
                <w:rFonts w:ascii="Times New Roman" w:hAnsi="Times New Roman" w:eastAsia="仿宋_GB2312"/>
                <w:color w:val="auto"/>
                <w:sz w:val="30"/>
                <w:szCs w:val="30"/>
                <w:highlight w:val="none"/>
              </w:rPr>
            </w:pPr>
          </w:p>
        </w:tc>
        <w:tc>
          <w:tcPr>
            <w:tcW w:w="1667" w:type="dxa"/>
            <w:noWrap w:val="0"/>
            <w:vAlign w:val="top"/>
          </w:tcPr>
          <w:p w14:paraId="2A4F8CDD">
            <w:pPr>
              <w:rPr>
                <w:rFonts w:ascii="Times New Roman" w:hAnsi="Times New Roman" w:eastAsia="仿宋_GB2312"/>
                <w:color w:val="auto"/>
                <w:sz w:val="30"/>
                <w:szCs w:val="30"/>
                <w:highlight w:val="none"/>
              </w:rPr>
            </w:pPr>
          </w:p>
        </w:tc>
      </w:tr>
      <w:tr w14:paraId="316288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6E6AC28">
            <w:pPr>
              <w:rPr>
                <w:rFonts w:ascii="Times New Roman" w:hAnsi="Times New Roman" w:eastAsia="仿宋_GB2312"/>
                <w:color w:val="auto"/>
                <w:sz w:val="30"/>
                <w:szCs w:val="30"/>
                <w:highlight w:val="none"/>
              </w:rPr>
            </w:pPr>
          </w:p>
        </w:tc>
        <w:tc>
          <w:tcPr>
            <w:tcW w:w="1276" w:type="dxa"/>
            <w:noWrap w:val="0"/>
            <w:vAlign w:val="top"/>
          </w:tcPr>
          <w:p w14:paraId="00A9A9CD">
            <w:pPr>
              <w:rPr>
                <w:rFonts w:ascii="Times New Roman" w:hAnsi="Times New Roman" w:eastAsia="仿宋_GB2312"/>
                <w:color w:val="auto"/>
                <w:sz w:val="30"/>
                <w:szCs w:val="30"/>
                <w:highlight w:val="none"/>
              </w:rPr>
            </w:pPr>
          </w:p>
        </w:tc>
        <w:tc>
          <w:tcPr>
            <w:tcW w:w="1450" w:type="dxa"/>
            <w:noWrap w:val="0"/>
            <w:vAlign w:val="top"/>
          </w:tcPr>
          <w:p w14:paraId="7DC70B38">
            <w:pPr>
              <w:rPr>
                <w:rFonts w:ascii="Times New Roman" w:hAnsi="Times New Roman" w:eastAsia="仿宋_GB2312"/>
                <w:color w:val="auto"/>
                <w:sz w:val="30"/>
                <w:szCs w:val="30"/>
                <w:highlight w:val="none"/>
              </w:rPr>
            </w:pPr>
          </w:p>
        </w:tc>
        <w:tc>
          <w:tcPr>
            <w:tcW w:w="1243" w:type="dxa"/>
            <w:noWrap w:val="0"/>
            <w:vAlign w:val="top"/>
          </w:tcPr>
          <w:p w14:paraId="282412C0">
            <w:pPr>
              <w:rPr>
                <w:rFonts w:ascii="Times New Roman" w:hAnsi="Times New Roman" w:eastAsia="仿宋_GB2312"/>
                <w:color w:val="auto"/>
                <w:sz w:val="30"/>
                <w:szCs w:val="30"/>
                <w:highlight w:val="none"/>
              </w:rPr>
            </w:pPr>
          </w:p>
        </w:tc>
        <w:tc>
          <w:tcPr>
            <w:tcW w:w="1450" w:type="dxa"/>
            <w:noWrap w:val="0"/>
            <w:vAlign w:val="top"/>
          </w:tcPr>
          <w:p w14:paraId="79ACFCE2">
            <w:pPr>
              <w:rPr>
                <w:rFonts w:ascii="Times New Roman" w:hAnsi="Times New Roman" w:eastAsia="仿宋_GB2312"/>
                <w:color w:val="auto"/>
                <w:sz w:val="30"/>
                <w:szCs w:val="30"/>
                <w:highlight w:val="none"/>
              </w:rPr>
            </w:pPr>
          </w:p>
        </w:tc>
        <w:tc>
          <w:tcPr>
            <w:tcW w:w="1667" w:type="dxa"/>
            <w:noWrap w:val="0"/>
            <w:vAlign w:val="top"/>
          </w:tcPr>
          <w:p w14:paraId="360CB8DD">
            <w:pPr>
              <w:rPr>
                <w:rFonts w:ascii="Times New Roman" w:hAnsi="Times New Roman" w:eastAsia="仿宋_GB2312"/>
                <w:color w:val="auto"/>
                <w:sz w:val="30"/>
                <w:szCs w:val="30"/>
                <w:highlight w:val="none"/>
              </w:rPr>
            </w:pPr>
          </w:p>
        </w:tc>
      </w:tr>
    </w:tbl>
    <w:p w14:paraId="53B98808">
      <w:pPr>
        <w:spacing w:line="440" w:lineRule="exact"/>
        <w:rPr>
          <w:rFonts w:hint="eastAsia" w:ascii="Times New Roman" w:hAnsi="Times New Roman" w:eastAsia="仿宋_GB2312"/>
          <w:color w:val="auto"/>
          <w:sz w:val="30"/>
          <w:szCs w:val="30"/>
          <w:highlight w:val="none"/>
        </w:rPr>
      </w:pPr>
    </w:p>
    <w:p w14:paraId="1C34C52B">
      <w:pPr>
        <w:spacing w:before="120" w:beforeLines="50" w:after="120" w:afterLines="50" w:line="440" w:lineRule="exact"/>
        <w:jc w:val="lef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宋体" w:hAnsi="宋体"/>
          <w:color w:val="auto"/>
          <w:sz w:val="24"/>
          <w:szCs w:val="24"/>
          <w:highlight w:val="none"/>
        </w:rPr>
        <w:t>附</w:t>
      </w:r>
      <w:bookmarkStart w:id="2246" w:name="_Toc267261698"/>
      <w:bookmarkStart w:id="2247" w:name="_Toc296891267"/>
      <w:bookmarkStart w:id="2248" w:name="_Toc296944566"/>
      <w:bookmarkStart w:id="2249" w:name="_Toc296347226"/>
      <w:bookmarkStart w:id="2250" w:name="_Toc296503227"/>
      <w:bookmarkStart w:id="2251" w:name="_Toc296346728"/>
      <w:bookmarkStart w:id="2252" w:name="_Toc296891055"/>
      <w:r>
        <w:rPr>
          <w:rFonts w:ascii="宋体" w:hAnsi="宋体"/>
          <w:color w:val="auto"/>
          <w:sz w:val="24"/>
          <w:szCs w:val="24"/>
          <w:highlight w:val="none"/>
        </w:rPr>
        <w:t>件5：</w:t>
      </w:r>
    </w:p>
    <w:bookmarkEnd w:id="2246"/>
    <w:bookmarkEnd w:id="2247"/>
    <w:bookmarkEnd w:id="2248"/>
    <w:bookmarkEnd w:id="2249"/>
    <w:bookmarkEnd w:id="2250"/>
    <w:bookmarkEnd w:id="2251"/>
    <w:bookmarkEnd w:id="2252"/>
    <w:p w14:paraId="3B2D8A51">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承包人用于本工程施工的机械设备表</w:t>
      </w:r>
    </w:p>
    <w:tbl>
      <w:tblPr>
        <w:tblStyle w:val="15"/>
        <w:tblW w:w="89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417"/>
        <w:gridCol w:w="851"/>
        <w:gridCol w:w="709"/>
        <w:gridCol w:w="850"/>
        <w:gridCol w:w="851"/>
        <w:gridCol w:w="1276"/>
        <w:gridCol w:w="1275"/>
        <w:gridCol w:w="992"/>
      </w:tblGrid>
      <w:tr w14:paraId="1EA18D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738" w:type="dxa"/>
            <w:tcBorders>
              <w:top w:val="single" w:color="auto" w:sz="12" w:space="0"/>
              <w:bottom w:val="double" w:color="auto" w:sz="6" w:space="0"/>
            </w:tcBorders>
            <w:noWrap w:val="0"/>
            <w:vAlign w:val="center"/>
          </w:tcPr>
          <w:p w14:paraId="6B8088F1">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序号</w:t>
            </w:r>
          </w:p>
        </w:tc>
        <w:tc>
          <w:tcPr>
            <w:tcW w:w="1417" w:type="dxa"/>
            <w:tcBorders>
              <w:top w:val="single" w:color="auto" w:sz="12" w:space="0"/>
              <w:bottom w:val="double" w:color="auto" w:sz="6" w:space="0"/>
            </w:tcBorders>
            <w:noWrap w:val="0"/>
            <w:vAlign w:val="center"/>
          </w:tcPr>
          <w:p w14:paraId="6E42FAF9">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机械或设备名称</w:t>
            </w:r>
          </w:p>
        </w:tc>
        <w:tc>
          <w:tcPr>
            <w:tcW w:w="851" w:type="dxa"/>
            <w:tcBorders>
              <w:top w:val="single" w:color="auto" w:sz="12" w:space="0"/>
              <w:bottom w:val="double" w:color="auto" w:sz="6" w:space="0"/>
            </w:tcBorders>
            <w:noWrap w:val="0"/>
            <w:vAlign w:val="center"/>
          </w:tcPr>
          <w:p w14:paraId="26735B3C">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规格</w:t>
            </w:r>
          </w:p>
          <w:p w14:paraId="0CF8F95F">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型号</w:t>
            </w:r>
          </w:p>
        </w:tc>
        <w:tc>
          <w:tcPr>
            <w:tcW w:w="709" w:type="dxa"/>
            <w:tcBorders>
              <w:top w:val="single" w:color="auto" w:sz="12" w:space="0"/>
              <w:bottom w:val="double" w:color="auto" w:sz="6" w:space="0"/>
            </w:tcBorders>
            <w:noWrap w:val="0"/>
            <w:vAlign w:val="center"/>
          </w:tcPr>
          <w:p w14:paraId="0DD9AB6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数量</w:t>
            </w:r>
          </w:p>
        </w:tc>
        <w:tc>
          <w:tcPr>
            <w:tcW w:w="850" w:type="dxa"/>
            <w:tcBorders>
              <w:top w:val="single" w:color="auto" w:sz="12" w:space="0"/>
              <w:bottom w:val="double" w:color="auto" w:sz="6" w:space="0"/>
            </w:tcBorders>
            <w:noWrap w:val="0"/>
            <w:vAlign w:val="center"/>
          </w:tcPr>
          <w:p w14:paraId="6C936F8B">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产地</w:t>
            </w:r>
          </w:p>
        </w:tc>
        <w:tc>
          <w:tcPr>
            <w:tcW w:w="851" w:type="dxa"/>
            <w:tcBorders>
              <w:top w:val="single" w:color="auto" w:sz="12" w:space="0"/>
              <w:bottom w:val="double" w:color="auto" w:sz="6" w:space="0"/>
            </w:tcBorders>
            <w:noWrap w:val="0"/>
            <w:vAlign w:val="center"/>
          </w:tcPr>
          <w:p w14:paraId="10B3E60A">
            <w:pPr>
              <w:keepNext/>
              <w:spacing w:line="440" w:lineRule="exact"/>
              <w:ind w:left="63" w:right="63"/>
              <w:jc w:val="center"/>
              <w:rPr>
                <w:rFonts w:hint="eastAsia" w:ascii="宋体" w:hAnsi="宋体"/>
                <w:color w:val="auto"/>
                <w:szCs w:val="21"/>
                <w:highlight w:val="none"/>
              </w:rPr>
            </w:pPr>
            <w:r>
              <w:rPr>
                <w:rFonts w:ascii="宋体" w:hAnsi="宋体"/>
                <w:color w:val="auto"/>
                <w:szCs w:val="21"/>
                <w:highlight w:val="none"/>
              </w:rPr>
              <w:t>制造</w:t>
            </w:r>
          </w:p>
          <w:p w14:paraId="0044316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年份</w:t>
            </w:r>
          </w:p>
        </w:tc>
        <w:tc>
          <w:tcPr>
            <w:tcW w:w="1276" w:type="dxa"/>
            <w:tcBorders>
              <w:top w:val="single" w:color="auto" w:sz="12" w:space="0"/>
              <w:bottom w:val="double" w:color="auto" w:sz="6" w:space="0"/>
            </w:tcBorders>
            <w:noWrap w:val="0"/>
            <w:vAlign w:val="center"/>
          </w:tcPr>
          <w:p w14:paraId="57069AFD">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额定功率(kW)</w:t>
            </w:r>
          </w:p>
        </w:tc>
        <w:tc>
          <w:tcPr>
            <w:tcW w:w="1275" w:type="dxa"/>
            <w:tcBorders>
              <w:top w:val="single" w:color="auto" w:sz="12" w:space="0"/>
              <w:bottom w:val="double" w:color="auto" w:sz="6" w:space="0"/>
            </w:tcBorders>
            <w:noWrap w:val="0"/>
            <w:vAlign w:val="center"/>
          </w:tcPr>
          <w:p w14:paraId="014B1B65">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生产能力</w:t>
            </w:r>
          </w:p>
        </w:tc>
        <w:tc>
          <w:tcPr>
            <w:tcW w:w="992" w:type="dxa"/>
            <w:tcBorders>
              <w:top w:val="single" w:color="auto" w:sz="12" w:space="0"/>
              <w:bottom w:val="double" w:color="auto" w:sz="6" w:space="0"/>
            </w:tcBorders>
            <w:noWrap w:val="0"/>
            <w:vAlign w:val="center"/>
          </w:tcPr>
          <w:p w14:paraId="30B7790B">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备注</w:t>
            </w:r>
          </w:p>
        </w:tc>
      </w:tr>
      <w:tr w14:paraId="1ADF5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tcBorders>
              <w:top w:val="double" w:color="auto" w:sz="6" w:space="0"/>
              <w:bottom w:val="single" w:color="auto" w:sz="6" w:space="0"/>
            </w:tcBorders>
            <w:noWrap w:val="0"/>
            <w:vAlign w:val="center"/>
          </w:tcPr>
          <w:p w14:paraId="2E64C80A">
            <w:pPr>
              <w:keepNext/>
              <w:spacing w:line="440" w:lineRule="exact"/>
              <w:ind w:left="63" w:right="63"/>
              <w:rPr>
                <w:rFonts w:ascii="Times New Roman" w:hAnsi="Times New Roman" w:eastAsia="仿宋_GB2312"/>
                <w:color w:val="auto"/>
                <w:sz w:val="30"/>
                <w:szCs w:val="30"/>
                <w:highlight w:val="none"/>
              </w:rPr>
            </w:pPr>
          </w:p>
        </w:tc>
        <w:tc>
          <w:tcPr>
            <w:tcW w:w="1417" w:type="dxa"/>
            <w:tcBorders>
              <w:top w:val="double" w:color="auto" w:sz="6" w:space="0"/>
              <w:bottom w:val="single" w:color="auto" w:sz="6" w:space="0"/>
            </w:tcBorders>
            <w:noWrap w:val="0"/>
            <w:vAlign w:val="center"/>
          </w:tcPr>
          <w:p w14:paraId="7E9E3B3B">
            <w:pPr>
              <w:keepNext/>
              <w:spacing w:line="440" w:lineRule="exact"/>
              <w:ind w:left="63" w:right="63"/>
              <w:rPr>
                <w:rFonts w:ascii="Times New Roman" w:hAnsi="Times New Roman" w:eastAsia="仿宋_GB2312"/>
                <w:color w:val="auto"/>
                <w:sz w:val="30"/>
                <w:szCs w:val="30"/>
                <w:highlight w:val="none"/>
              </w:rPr>
            </w:pPr>
          </w:p>
        </w:tc>
        <w:tc>
          <w:tcPr>
            <w:tcW w:w="851" w:type="dxa"/>
            <w:tcBorders>
              <w:top w:val="double" w:color="auto" w:sz="6" w:space="0"/>
              <w:bottom w:val="single" w:color="auto" w:sz="6" w:space="0"/>
            </w:tcBorders>
            <w:noWrap w:val="0"/>
            <w:vAlign w:val="center"/>
          </w:tcPr>
          <w:p w14:paraId="4A461F86">
            <w:pPr>
              <w:keepNext/>
              <w:spacing w:line="440" w:lineRule="exact"/>
              <w:ind w:left="63" w:right="63"/>
              <w:rPr>
                <w:rFonts w:ascii="Times New Roman" w:hAnsi="Times New Roman" w:eastAsia="仿宋_GB2312"/>
                <w:color w:val="auto"/>
                <w:sz w:val="30"/>
                <w:szCs w:val="30"/>
                <w:highlight w:val="none"/>
              </w:rPr>
            </w:pPr>
          </w:p>
        </w:tc>
        <w:tc>
          <w:tcPr>
            <w:tcW w:w="709" w:type="dxa"/>
            <w:tcBorders>
              <w:top w:val="double" w:color="auto" w:sz="6" w:space="0"/>
              <w:bottom w:val="single" w:color="auto" w:sz="6" w:space="0"/>
            </w:tcBorders>
            <w:noWrap w:val="0"/>
            <w:vAlign w:val="center"/>
          </w:tcPr>
          <w:p w14:paraId="0EDDC88E">
            <w:pPr>
              <w:keepNext/>
              <w:spacing w:line="440" w:lineRule="exact"/>
              <w:ind w:left="63" w:right="63"/>
              <w:rPr>
                <w:rFonts w:ascii="Times New Roman" w:hAnsi="Times New Roman" w:eastAsia="仿宋_GB2312"/>
                <w:color w:val="auto"/>
                <w:sz w:val="30"/>
                <w:szCs w:val="30"/>
                <w:highlight w:val="none"/>
              </w:rPr>
            </w:pPr>
          </w:p>
        </w:tc>
        <w:tc>
          <w:tcPr>
            <w:tcW w:w="850" w:type="dxa"/>
            <w:tcBorders>
              <w:top w:val="double" w:color="auto" w:sz="6" w:space="0"/>
              <w:bottom w:val="single" w:color="auto" w:sz="6" w:space="0"/>
            </w:tcBorders>
            <w:noWrap w:val="0"/>
            <w:vAlign w:val="center"/>
          </w:tcPr>
          <w:p w14:paraId="487D3219">
            <w:pPr>
              <w:keepNext/>
              <w:spacing w:line="440" w:lineRule="exact"/>
              <w:ind w:left="63" w:right="63"/>
              <w:rPr>
                <w:rFonts w:ascii="Times New Roman" w:hAnsi="Times New Roman" w:eastAsia="仿宋_GB2312"/>
                <w:color w:val="auto"/>
                <w:sz w:val="30"/>
                <w:szCs w:val="30"/>
                <w:highlight w:val="none"/>
              </w:rPr>
            </w:pPr>
          </w:p>
        </w:tc>
        <w:tc>
          <w:tcPr>
            <w:tcW w:w="851" w:type="dxa"/>
            <w:tcBorders>
              <w:top w:val="double" w:color="auto" w:sz="6" w:space="0"/>
              <w:bottom w:val="single" w:color="auto" w:sz="6" w:space="0"/>
            </w:tcBorders>
            <w:noWrap w:val="0"/>
            <w:vAlign w:val="center"/>
          </w:tcPr>
          <w:p w14:paraId="2EAD0488">
            <w:pPr>
              <w:keepNext/>
              <w:spacing w:line="440" w:lineRule="exact"/>
              <w:ind w:left="63" w:right="63"/>
              <w:rPr>
                <w:rFonts w:ascii="Times New Roman" w:hAnsi="Times New Roman" w:eastAsia="仿宋_GB2312"/>
                <w:color w:val="auto"/>
                <w:sz w:val="30"/>
                <w:szCs w:val="30"/>
                <w:highlight w:val="none"/>
              </w:rPr>
            </w:pPr>
          </w:p>
        </w:tc>
        <w:tc>
          <w:tcPr>
            <w:tcW w:w="1276" w:type="dxa"/>
            <w:tcBorders>
              <w:top w:val="double" w:color="auto" w:sz="6" w:space="0"/>
              <w:bottom w:val="single" w:color="auto" w:sz="6" w:space="0"/>
            </w:tcBorders>
            <w:noWrap w:val="0"/>
            <w:vAlign w:val="center"/>
          </w:tcPr>
          <w:p w14:paraId="3CB44343">
            <w:pPr>
              <w:keepNext/>
              <w:spacing w:line="440" w:lineRule="exact"/>
              <w:ind w:left="63" w:right="63"/>
              <w:rPr>
                <w:rFonts w:ascii="Times New Roman" w:hAnsi="Times New Roman" w:eastAsia="仿宋_GB2312"/>
                <w:color w:val="auto"/>
                <w:sz w:val="30"/>
                <w:szCs w:val="30"/>
                <w:highlight w:val="none"/>
              </w:rPr>
            </w:pPr>
          </w:p>
        </w:tc>
        <w:tc>
          <w:tcPr>
            <w:tcW w:w="1275" w:type="dxa"/>
            <w:tcBorders>
              <w:top w:val="double" w:color="auto" w:sz="6" w:space="0"/>
              <w:bottom w:val="single" w:color="auto" w:sz="6" w:space="0"/>
            </w:tcBorders>
            <w:noWrap w:val="0"/>
            <w:vAlign w:val="center"/>
          </w:tcPr>
          <w:p w14:paraId="497E17F2">
            <w:pPr>
              <w:keepNext/>
              <w:spacing w:line="440" w:lineRule="exact"/>
              <w:ind w:left="63" w:right="63"/>
              <w:rPr>
                <w:rFonts w:ascii="Times New Roman" w:hAnsi="Times New Roman" w:eastAsia="仿宋_GB2312"/>
                <w:color w:val="auto"/>
                <w:sz w:val="30"/>
                <w:szCs w:val="30"/>
                <w:highlight w:val="none"/>
              </w:rPr>
            </w:pPr>
          </w:p>
        </w:tc>
        <w:tc>
          <w:tcPr>
            <w:tcW w:w="992" w:type="dxa"/>
            <w:tcBorders>
              <w:top w:val="double" w:color="auto" w:sz="6" w:space="0"/>
              <w:bottom w:val="single" w:color="auto" w:sz="6" w:space="0"/>
            </w:tcBorders>
            <w:noWrap w:val="0"/>
            <w:vAlign w:val="center"/>
          </w:tcPr>
          <w:p w14:paraId="62F0755F">
            <w:pPr>
              <w:keepNext/>
              <w:spacing w:line="440" w:lineRule="exact"/>
              <w:ind w:left="63" w:right="63"/>
              <w:rPr>
                <w:rFonts w:ascii="Times New Roman" w:hAnsi="Times New Roman" w:eastAsia="仿宋_GB2312"/>
                <w:color w:val="auto"/>
                <w:sz w:val="30"/>
                <w:szCs w:val="30"/>
                <w:highlight w:val="none"/>
              </w:rPr>
            </w:pPr>
          </w:p>
        </w:tc>
      </w:tr>
      <w:tr w14:paraId="22D7B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tcBorders>
              <w:top w:val="nil"/>
            </w:tcBorders>
            <w:noWrap w:val="0"/>
            <w:vAlign w:val="center"/>
          </w:tcPr>
          <w:p w14:paraId="4E458B9D">
            <w:pPr>
              <w:keepNext/>
              <w:spacing w:line="440" w:lineRule="exact"/>
              <w:ind w:left="63" w:right="63"/>
              <w:rPr>
                <w:rFonts w:ascii="Times New Roman" w:hAnsi="Times New Roman" w:eastAsia="仿宋_GB2312"/>
                <w:color w:val="auto"/>
                <w:sz w:val="30"/>
                <w:szCs w:val="30"/>
                <w:highlight w:val="none"/>
              </w:rPr>
            </w:pPr>
          </w:p>
        </w:tc>
        <w:tc>
          <w:tcPr>
            <w:tcW w:w="1417" w:type="dxa"/>
            <w:tcBorders>
              <w:top w:val="nil"/>
            </w:tcBorders>
            <w:noWrap w:val="0"/>
            <w:vAlign w:val="center"/>
          </w:tcPr>
          <w:p w14:paraId="3CBBBC9D">
            <w:pPr>
              <w:keepNext/>
              <w:spacing w:line="440" w:lineRule="exact"/>
              <w:ind w:left="63" w:right="63"/>
              <w:rPr>
                <w:rFonts w:ascii="Times New Roman" w:hAnsi="Times New Roman" w:eastAsia="仿宋_GB2312"/>
                <w:color w:val="auto"/>
                <w:sz w:val="30"/>
                <w:szCs w:val="30"/>
                <w:highlight w:val="none"/>
              </w:rPr>
            </w:pPr>
          </w:p>
        </w:tc>
        <w:tc>
          <w:tcPr>
            <w:tcW w:w="851" w:type="dxa"/>
            <w:tcBorders>
              <w:top w:val="nil"/>
            </w:tcBorders>
            <w:noWrap w:val="0"/>
            <w:vAlign w:val="center"/>
          </w:tcPr>
          <w:p w14:paraId="00B48C21">
            <w:pPr>
              <w:keepNext/>
              <w:spacing w:line="440" w:lineRule="exact"/>
              <w:ind w:left="63" w:right="63"/>
              <w:rPr>
                <w:rFonts w:ascii="Times New Roman" w:hAnsi="Times New Roman" w:eastAsia="仿宋_GB2312"/>
                <w:color w:val="auto"/>
                <w:sz w:val="30"/>
                <w:szCs w:val="30"/>
                <w:highlight w:val="none"/>
              </w:rPr>
            </w:pPr>
          </w:p>
        </w:tc>
        <w:tc>
          <w:tcPr>
            <w:tcW w:w="709" w:type="dxa"/>
            <w:tcBorders>
              <w:top w:val="nil"/>
            </w:tcBorders>
            <w:noWrap w:val="0"/>
            <w:vAlign w:val="center"/>
          </w:tcPr>
          <w:p w14:paraId="39882A9B">
            <w:pPr>
              <w:keepNext/>
              <w:spacing w:line="440" w:lineRule="exact"/>
              <w:ind w:left="63" w:right="63"/>
              <w:rPr>
                <w:rFonts w:ascii="Times New Roman" w:hAnsi="Times New Roman" w:eastAsia="仿宋_GB2312"/>
                <w:color w:val="auto"/>
                <w:sz w:val="30"/>
                <w:szCs w:val="30"/>
                <w:highlight w:val="none"/>
              </w:rPr>
            </w:pPr>
          </w:p>
        </w:tc>
        <w:tc>
          <w:tcPr>
            <w:tcW w:w="850" w:type="dxa"/>
            <w:tcBorders>
              <w:top w:val="nil"/>
            </w:tcBorders>
            <w:noWrap w:val="0"/>
            <w:vAlign w:val="center"/>
          </w:tcPr>
          <w:p w14:paraId="189104EA">
            <w:pPr>
              <w:keepNext/>
              <w:spacing w:line="440" w:lineRule="exact"/>
              <w:ind w:left="63" w:right="63"/>
              <w:rPr>
                <w:rFonts w:ascii="Times New Roman" w:hAnsi="Times New Roman" w:eastAsia="仿宋_GB2312"/>
                <w:color w:val="auto"/>
                <w:sz w:val="30"/>
                <w:szCs w:val="30"/>
                <w:highlight w:val="none"/>
              </w:rPr>
            </w:pPr>
          </w:p>
        </w:tc>
        <w:tc>
          <w:tcPr>
            <w:tcW w:w="851" w:type="dxa"/>
            <w:tcBorders>
              <w:top w:val="nil"/>
            </w:tcBorders>
            <w:noWrap w:val="0"/>
            <w:vAlign w:val="center"/>
          </w:tcPr>
          <w:p w14:paraId="02170C6C">
            <w:pPr>
              <w:keepNext/>
              <w:spacing w:line="440" w:lineRule="exact"/>
              <w:ind w:left="63" w:right="63"/>
              <w:rPr>
                <w:rFonts w:ascii="Times New Roman" w:hAnsi="Times New Roman" w:eastAsia="仿宋_GB2312"/>
                <w:color w:val="auto"/>
                <w:sz w:val="30"/>
                <w:szCs w:val="30"/>
                <w:highlight w:val="none"/>
              </w:rPr>
            </w:pPr>
          </w:p>
        </w:tc>
        <w:tc>
          <w:tcPr>
            <w:tcW w:w="1276" w:type="dxa"/>
            <w:tcBorders>
              <w:top w:val="nil"/>
            </w:tcBorders>
            <w:noWrap w:val="0"/>
            <w:vAlign w:val="center"/>
          </w:tcPr>
          <w:p w14:paraId="701CEFA9">
            <w:pPr>
              <w:keepNext/>
              <w:spacing w:line="440" w:lineRule="exact"/>
              <w:ind w:left="63" w:right="63"/>
              <w:rPr>
                <w:rFonts w:ascii="Times New Roman" w:hAnsi="Times New Roman" w:eastAsia="仿宋_GB2312"/>
                <w:color w:val="auto"/>
                <w:sz w:val="30"/>
                <w:szCs w:val="30"/>
                <w:highlight w:val="none"/>
              </w:rPr>
            </w:pPr>
          </w:p>
        </w:tc>
        <w:tc>
          <w:tcPr>
            <w:tcW w:w="1275" w:type="dxa"/>
            <w:tcBorders>
              <w:top w:val="nil"/>
            </w:tcBorders>
            <w:noWrap w:val="0"/>
            <w:vAlign w:val="center"/>
          </w:tcPr>
          <w:p w14:paraId="255AD18E">
            <w:pPr>
              <w:keepNext/>
              <w:spacing w:line="440" w:lineRule="exact"/>
              <w:ind w:left="63" w:right="63"/>
              <w:rPr>
                <w:rFonts w:ascii="Times New Roman" w:hAnsi="Times New Roman" w:eastAsia="仿宋_GB2312"/>
                <w:color w:val="auto"/>
                <w:sz w:val="30"/>
                <w:szCs w:val="30"/>
                <w:highlight w:val="none"/>
              </w:rPr>
            </w:pPr>
          </w:p>
        </w:tc>
        <w:tc>
          <w:tcPr>
            <w:tcW w:w="992" w:type="dxa"/>
            <w:tcBorders>
              <w:top w:val="nil"/>
            </w:tcBorders>
            <w:noWrap w:val="0"/>
            <w:vAlign w:val="center"/>
          </w:tcPr>
          <w:p w14:paraId="15C86385">
            <w:pPr>
              <w:keepNext/>
              <w:spacing w:line="440" w:lineRule="exact"/>
              <w:ind w:left="63" w:right="63"/>
              <w:rPr>
                <w:rFonts w:ascii="Times New Roman" w:hAnsi="Times New Roman" w:eastAsia="仿宋_GB2312"/>
                <w:color w:val="auto"/>
                <w:sz w:val="30"/>
                <w:szCs w:val="30"/>
                <w:highlight w:val="none"/>
              </w:rPr>
            </w:pPr>
          </w:p>
        </w:tc>
      </w:tr>
      <w:tr w14:paraId="54F0F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1FC7A8A4">
            <w:pPr>
              <w:keepNext/>
              <w:spacing w:line="440" w:lineRule="exact"/>
              <w:ind w:left="63" w:right="63"/>
              <w:rPr>
                <w:rFonts w:ascii="Times New Roman" w:hAnsi="Times New Roman" w:eastAsia="仿宋_GB2312"/>
                <w:color w:val="auto"/>
                <w:sz w:val="30"/>
                <w:szCs w:val="30"/>
                <w:highlight w:val="none"/>
              </w:rPr>
            </w:pPr>
          </w:p>
        </w:tc>
        <w:tc>
          <w:tcPr>
            <w:tcW w:w="1417" w:type="dxa"/>
            <w:noWrap w:val="0"/>
            <w:vAlign w:val="center"/>
          </w:tcPr>
          <w:p w14:paraId="4AF6165D">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4D7CDEA4">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05AF4CA5">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60E693DF">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6FE513D9">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0A455B96">
            <w:pPr>
              <w:keepNext/>
              <w:spacing w:line="440" w:lineRule="exact"/>
              <w:ind w:left="63" w:right="63"/>
              <w:rPr>
                <w:rFonts w:ascii="Times New Roman" w:hAnsi="Times New Roman" w:eastAsia="仿宋_GB2312"/>
                <w:color w:val="auto"/>
                <w:sz w:val="30"/>
                <w:szCs w:val="30"/>
                <w:highlight w:val="none"/>
              </w:rPr>
            </w:pPr>
          </w:p>
        </w:tc>
        <w:tc>
          <w:tcPr>
            <w:tcW w:w="1275" w:type="dxa"/>
            <w:noWrap w:val="0"/>
            <w:vAlign w:val="center"/>
          </w:tcPr>
          <w:p w14:paraId="6045F8CC">
            <w:pPr>
              <w:keepNext/>
              <w:spacing w:line="440" w:lineRule="exact"/>
              <w:ind w:left="63" w:right="63"/>
              <w:rPr>
                <w:rFonts w:ascii="Times New Roman" w:hAnsi="Times New Roman" w:eastAsia="仿宋_GB2312"/>
                <w:color w:val="auto"/>
                <w:sz w:val="30"/>
                <w:szCs w:val="30"/>
                <w:highlight w:val="none"/>
              </w:rPr>
            </w:pPr>
          </w:p>
        </w:tc>
        <w:tc>
          <w:tcPr>
            <w:tcW w:w="992" w:type="dxa"/>
            <w:noWrap w:val="0"/>
            <w:vAlign w:val="center"/>
          </w:tcPr>
          <w:p w14:paraId="49FD9C24">
            <w:pPr>
              <w:keepNext/>
              <w:spacing w:line="440" w:lineRule="exact"/>
              <w:ind w:left="63" w:right="63"/>
              <w:rPr>
                <w:rFonts w:ascii="Times New Roman" w:hAnsi="Times New Roman" w:eastAsia="仿宋_GB2312"/>
                <w:color w:val="auto"/>
                <w:sz w:val="30"/>
                <w:szCs w:val="30"/>
                <w:highlight w:val="none"/>
              </w:rPr>
            </w:pPr>
          </w:p>
        </w:tc>
      </w:tr>
      <w:tr w14:paraId="5F4824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3AADB17E">
            <w:pPr>
              <w:keepNext/>
              <w:spacing w:line="440" w:lineRule="exact"/>
              <w:ind w:left="63" w:right="63"/>
              <w:rPr>
                <w:rFonts w:ascii="Times New Roman" w:hAnsi="Times New Roman" w:eastAsia="仿宋_GB2312"/>
                <w:color w:val="auto"/>
                <w:sz w:val="30"/>
                <w:szCs w:val="30"/>
                <w:highlight w:val="none"/>
              </w:rPr>
            </w:pPr>
          </w:p>
        </w:tc>
        <w:tc>
          <w:tcPr>
            <w:tcW w:w="1417" w:type="dxa"/>
            <w:noWrap w:val="0"/>
            <w:vAlign w:val="center"/>
          </w:tcPr>
          <w:p w14:paraId="06614F77">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4F370FE5">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6B815110">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35ECFEA5">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6AD001FC">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0FA5DC54">
            <w:pPr>
              <w:keepNext/>
              <w:spacing w:line="440" w:lineRule="exact"/>
              <w:ind w:left="63" w:right="63"/>
              <w:rPr>
                <w:rFonts w:ascii="Times New Roman" w:hAnsi="Times New Roman" w:eastAsia="仿宋_GB2312"/>
                <w:color w:val="auto"/>
                <w:sz w:val="30"/>
                <w:szCs w:val="30"/>
                <w:highlight w:val="none"/>
              </w:rPr>
            </w:pPr>
          </w:p>
        </w:tc>
        <w:tc>
          <w:tcPr>
            <w:tcW w:w="1275" w:type="dxa"/>
            <w:noWrap w:val="0"/>
            <w:vAlign w:val="center"/>
          </w:tcPr>
          <w:p w14:paraId="1594C696">
            <w:pPr>
              <w:keepNext/>
              <w:spacing w:line="440" w:lineRule="exact"/>
              <w:ind w:left="63" w:right="63"/>
              <w:rPr>
                <w:rFonts w:ascii="Times New Roman" w:hAnsi="Times New Roman" w:eastAsia="仿宋_GB2312"/>
                <w:color w:val="auto"/>
                <w:sz w:val="30"/>
                <w:szCs w:val="30"/>
                <w:highlight w:val="none"/>
              </w:rPr>
            </w:pPr>
          </w:p>
        </w:tc>
        <w:tc>
          <w:tcPr>
            <w:tcW w:w="992" w:type="dxa"/>
            <w:noWrap w:val="0"/>
            <w:vAlign w:val="center"/>
          </w:tcPr>
          <w:p w14:paraId="3024FFBC">
            <w:pPr>
              <w:keepNext/>
              <w:spacing w:line="440" w:lineRule="exact"/>
              <w:ind w:left="63" w:right="63"/>
              <w:rPr>
                <w:rFonts w:ascii="Times New Roman" w:hAnsi="Times New Roman" w:eastAsia="仿宋_GB2312"/>
                <w:color w:val="auto"/>
                <w:sz w:val="30"/>
                <w:szCs w:val="30"/>
                <w:highlight w:val="none"/>
              </w:rPr>
            </w:pPr>
          </w:p>
        </w:tc>
      </w:tr>
      <w:tr w14:paraId="2904F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6E7E4CE2">
            <w:pPr>
              <w:keepNext/>
              <w:spacing w:line="440" w:lineRule="exact"/>
              <w:ind w:left="63" w:right="63"/>
              <w:rPr>
                <w:rFonts w:ascii="Times New Roman" w:hAnsi="Times New Roman" w:eastAsia="仿宋_GB2312"/>
                <w:color w:val="auto"/>
                <w:sz w:val="30"/>
                <w:szCs w:val="30"/>
                <w:highlight w:val="none"/>
              </w:rPr>
            </w:pPr>
          </w:p>
        </w:tc>
        <w:tc>
          <w:tcPr>
            <w:tcW w:w="1417" w:type="dxa"/>
            <w:noWrap w:val="0"/>
            <w:vAlign w:val="center"/>
          </w:tcPr>
          <w:p w14:paraId="688C3706">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42BA4FF6">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68427CAA">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7DBC8D3E">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5F2B03B3">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41F73985">
            <w:pPr>
              <w:keepNext/>
              <w:spacing w:line="440" w:lineRule="exact"/>
              <w:ind w:left="63" w:right="63"/>
              <w:rPr>
                <w:rFonts w:ascii="Times New Roman" w:hAnsi="Times New Roman" w:eastAsia="仿宋_GB2312"/>
                <w:color w:val="auto"/>
                <w:sz w:val="30"/>
                <w:szCs w:val="30"/>
                <w:highlight w:val="none"/>
              </w:rPr>
            </w:pPr>
          </w:p>
        </w:tc>
        <w:tc>
          <w:tcPr>
            <w:tcW w:w="1275" w:type="dxa"/>
            <w:noWrap w:val="0"/>
            <w:vAlign w:val="center"/>
          </w:tcPr>
          <w:p w14:paraId="7656179A">
            <w:pPr>
              <w:keepNext/>
              <w:spacing w:line="440" w:lineRule="exact"/>
              <w:ind w:left="63" w:right="63"/>
              <w:rPr>
                <w:rFonts w:ascii="Times New Roman" w:hAnsi="Times New Roman" w:eastAsia="仿宋_GB2312"/>
                <w:color w:val="auto"/>
                <w:sz w:val="30"/>
                <w:szCs w:val="30"/>
                <w:highlight w:val="none"/>
              </w:rPr>
            </w:pPr>
          </w:p>
        </w:tc>
        <w:tc>
          <w:tcPr>
            <w:tcW w:w="992" w:type="dxa"/>
            <w:noWrap w:val="0"/>
            <w:vAlign w:val="center"/>
          </w:tcPr>
          <w:p w14:paraId="4722B832">
            <w:pPr>
              <w:keepNext/>
              <w:spacing w:line="440" w:lineRule="exact"/>
              <w:ind w:left="63" w:right="63"/>
              <w:rPr>
                <w:rFonts w:ascii="Times New Roman" w:hAnsi="Times New Roman" w:eastAsia="仿宋_GB2312"/>
                <w:color w:val="auto"/>
                <w:sz w:val="30"/>
                <w:szCs w:val="30"/>
                <w:highlight w:val="none"/>
              </w:rPr>
            </w:pPr>
          </w:p>
        </w:tc>
      </w:tr>
      <w:tr w14:paraId="566F39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5524F5EF">
            <w:pPr>
              <w:keepNext/>
              <w:spacing w:line="440" w:lineRule="exact"/>
              <w:ind w:left="63" w:right="63"/>
              <w:rPr>
                <w:rFonts w:ascii="Times New Roman" w:hAnsi="Times New Roman" w:eastAsia="仿宋_GB2312"/>
                <w:color w:val="auto"/>
                <w:sz w:val="30"/>
                <w:szCs w:val="30"/>
                <w:highlight w:val="none"/>
              </w:rPr>
            </w:pPr>
          </w:p>
        </w:tc>
        <w:tc>
          <w:tcPr>
            <w:tcW w:w="1417" w:type="dxa"/>
            <w:noWrap w:val="0"/>
            <w:vAlign w:val="center"/>
          </w:tcPr>
          <w:p w14:paraId="49E1071B">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7C368697">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143FEFEE">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52394871">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5283CD79">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2364993A">
            <w:pPr>
              <w:keepNext/>
              <w:spacing w:line="440" w:lineRule="exact"/>
              <w:ind w:left="63" w:right="63"/>
              <w:rPr>
                <w:rFonts w:ascii="Times New Roman" w:hAnsi="Times New Roman" w:eastAsia="仿宋_GB2312"/>
                <w:color w:val="auto"/>
                <w:sz w:val="30"/>
                <w:szCs w:val="30"/>
                <w:highlight w:val="none"/>
              </w:rPr>
            </w:pPr>
          </w:p>
        </w:tc>
        <w:tc>
          <w:tcPr>
            <w:tcW w:w="1275" w:type="dxa"/>
            <w:noWrap w:val="0"/>
            <w:vAlign w:val="center"/>
          </w:tcPr>
          <w:p w14:paraId="343D483D">
            <w:pPr>
              <w:keepNext/>
              <w:spacing w:line="440" w:lineRule="exact"/>
              <w:ind w:left="63" w:right="63"/>
              <w:rPr>
                <w:rFonts w:ascii="Times New Roman" w:hAnsi="Times New Roman" w:eastAsia="仿宋_GB2312"/>
                <w:color w:val="auto"/>
                <w:sz w:val="30"/>
                <w:szCs w:val="30"/>
                <w:highlight w:val="none"/>
              </w:rPr>
            </w:pPr>
          </w:p>
        </w:tc>
        <w:tc>
          <w:tcPr>
            <w:tcW w:w="992" w:type="dxa"/>
            <w:noWrap w:val="0"/>
            <w:vAlign w:val="center"/>
          </w:tcPr>
          <w:p w14:paraId="6BCDD815">
            <w:pPr>
              <w:keepNext/>
              <w:spacing w:line="440" w:lineRule="exact"/>
              <w:ind w:left="63" w:right="63"/>
              <w:rPr>
                <w:rFonts w:ascii="Times New Roman" w:hAnsi="Times New Roman" w:eastAsia="仿宋_GB2312"/>
                <w:color w:val="auto"/>
                <w:sz w:val="30"/>
                <w:szCs w:val="30"/>
                <w:highlight w:val="none"/>
              </w:rPr>
            </w:pPr>
          </w:p>
        </w:tc>
      </w:tr>
      <w:tr w14:paraId="01D12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5966132E">
            <w:pPr>
              <w:keepNext/>
              <w:spacing w:line="440" w:lineRule="exact"/>
              <w:ind w:left="63" w:right="63"/>
              <w:rPr>
                <w:rFonts w:ascii="Times New Roman" w:hAnsi="Times New Roman" w:eastAsia="仿宋_GB2312"/>
                <w:color w:val="auto"/>
                <w:sz w:val="30"/>
                <w:szCs w:val="30"/>
                <w:highlight w:val="none"/>
              </w:rPr>
            </w:pPr>
          </w:p>
        </w:tc>
        <w:tc>
          <w:tcPr>
            <w:tcW w:w="1417" w:type="dxa"/>
            <w:noWrap w:val="0"/>
            <w:vAlign w:val="center"/>
          </w:tcPr>
          <w:p w14:paraId="74712C8D">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65044535">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40C474B2">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1620B186">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5734B587">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13E32F50">
            <w:pPr>
              <w:keepNext/>
              <w:spacing w:line="440" w:lineRule="exact"/>
              <w:ind w:left="63" w:right="63"/>
              <w:rPr>
                <w:rFonts w:ascii="Times New Roman" w:hAnsi="Times New Roman" w:eastAsia="仿宋_GB2312"/>
                <w:color w:val="auto"/>
                <w:sz w:val="30"/>
                <w:szCs w:val="30"/>
                <w:highlight w:val="none"/>
              </w:rPr>
            </w:pPr>
          </w:p>
        </w:tc>
        <w:tc>
          <w:tcPr>
            <w:tcW w:w="1275" w:type="dxa"/>
            <w:noWrap w:val="0"/>
            <w:vAlign w:val="center"/>
          </w:tcPr>
          <w:p w14:paraId="72B5344A">
            <w:pPr>
              <w:keepNext/>
              <w:spacing w:line="440" w:lineRule="exact"/>
              <w:ind w:left="63" w:right="63"/>
              <w:rPr>
                <w:rFonts w:ascii="Times New Roman" w:hAnsi="Times New Roman" w:eastAsia="仿宋_GB2312"/>
                <w:color w:val="auto"/>
                <w:sz w:val="30"/>
                <w:szCs w:val="30"/>
                <w:highlight w:val="none"/>
              </w:rPr>
            </w:pPr>
          </w:p>
        </w:tc>
        <w:tc>
          <w:tcPr>
            <w:tcW w:w="992" w:type="dxa"/>
            <w:noWrap w:val="0"/>
            <w:vAlign w:val="center"/>
          </w:tcPr>
          <w:p w14:paraId="207B8356">
            <w:pPr>
              <w:keepNext/>
              <w:spacing w:line="440" w:lineRule="exact"/>
              <w:ind w:left="63" w:right="63"/>
              <w:rPr>
                <w:rFonts w:ascii="Times New Roman" w:hAnsi="Times New Roman" w:eastAsia="仿宋_GB2312"/>
                <w:color w:val="auto"/>
                <w:sz w:val="30"/>
                <w:szCs w:val="30"/>
                <w:highlight w:val="none"/>
              </w:rPr>
            </w:pPr>
          </w:p>
        </w:tc>
      </w:tr>
      <w:tr w14:paraId="3F1ED4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0441174B">
            <w:pPr>
              <w:keepNext/>
              <w:spacing w:line="440" w:lineRule="exact"/>
              <w:ind w:left="63" w:right="63"/>
              <w:rPr>
                <w:rFonts w:ascii="Times New Roman" w:hAnsi="Times New Roman" w:eastAsia="仿宋_GB2312"/>
                <w:color w:val="auto"/>
                <w:sz w:val="30"/>
                <w:szCs w:val="30"/>
                <w:highlight w:val="none"/>
              </w:rPr>
            </w:pPr>
          </w:p>
        </w:tc>
        <w:tc>
          <w:tcPr>
            <w:tcW w:w="1417" w:type="dxa"/>
            <w:noWrap w:val="0"/>
            <w:vAlign w:val="center"/>
          </w:tcPr>
          <w:p w14:paraId="0DC99003">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1FC51548">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580BA971">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16F544D5">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1FDAD9B7">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49F3D8BD">
            <w:pPr>
              <w:keepNext/>
              <w:spacing w:line="440" w:lineRule="exact"/>
              <w:ind w:left="63" w:right="63"/>
              <w:rPr>
                <w:rFonts w:ascii="Times New Roman" w:hAnsi="Times New Roman" w:eastAsia="仿宋_GB2312"/>
                <w:color w:val="auto"/>
                <w:sz w:val="30"/>
                <w:szCs w:val="30"/>
                <w:highlight w:val="none"/>
              </w:rPr>
            </w:pPr>
          </w:p>
        </w:tc>
        <w:tc>
          <w:tcPr>
            <w:tcW w:w="1275" w:type="dxa"/>
            <w:noWrap w:val="0"/>
            <w:vAlign w:val="center"/>
          </w:tcPr>
          <w:p w14:paraId="08DA9A2D">
            <w:pPr>
              <w:keepNext/>
              <w:spacing w:line="440" w:lineRule="exact"/>
              <w:ind w:left="63" w:right="63"/>
              <w:rPr>
                <w:rFonts w:ascii="Times New Roman" w:hAnsi="Times New Roman" w:eastAsia="仿宋_GB2312"/>
                <w:color w:val="auto"/>
                <w:sz w:val="30"/>
                <w:szCs w:val="30"/>
                <w:highlight w:val="none"/>
              </w:rPr>
            </w:pPr>
          </w:p>
        </w:tc>
        <w:tc>
          <w:tcPr>
            <w:tcW w:w="992" w:type="dxa"/>
            <w:noWrap w:val="0"/>
            <w:vAlign w:val="center"/>
          </w:tcPr>
          <w:p w14:paraId="22BE1FA0">
            <w:pPr>
              <w:keepNext/>
              <w:spacing w:line="440" w:lineRule="exact"/>
              <w:ind w:left="63" w:right="63"/>
              <w:rPr>
                <w:rFonts w:ascii="Times New Roman" w:hAnsi="Times New Roman" w:eastAsia="仿宋_GB2312"/>
                <w:color w:val="auto"/>
                <w:sz w:val="30"/>
                <w:szCs w:val="30"/>
                <w:highlight w:val="none"/>
              </w:rPr>
            </w:pPr>
          </w:p>
        </w:tc>
      </w:tr>
      <w:tr w14:paraId="679740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1E5439EB">
            <w:pPr>
              <w:rPr>
                <w:rFonts w:ascii="Times New Roman" w:hAnsi="Times New Roman" w:eastAsia="仿宋_GB2312"/>
                <w:color w:val="auto"/>
                <w:sz w:val="30"/>
                <w:szCs w:val="30"/>
                <w:highlight w:val="none"/>
              </w:rPr>
            </w:pPr>
          </w:p>
        </w:tc>
        <w:tc>
          <w:tcPr>
            <w:tcW w:w="1417" w:type="dxa"/>
            <w:noWrap w:val="0"/>
            <w:vAlign w:val="top"/>
          </w:tcPr>
          <w:p w14:paraId="6FE2C01F">
            <w:pPr>
              <w:rPr>
                <w:rFonts w:ascii="Times New Roman" w:hAnsi="Times New Roman" w:eastAsia="仿宋_GB2312"/>
                <w:color w:val="auto"/>
                <w:sz w:val="30"/>
                <w:szCs w:val="30"/>
                <w:highlight w:val="none"/>
              </w:rPr>
            </w:pPr>
          </w:p>
        </w:tc>
        <w:tc>
          <w:tcPr>
            <w:tcW w:w="851" w:type="dxa"/>
            <w:noWrap w:val="0"/>
            <w:vAlign w:val="top"/>
          </w:tcPr>
          <w:p w14:paraId="603E3E28">
            <w:pPr>
              <w:rPr>
                <w:rFonts w:ascii="Times New Roman" w:hAnsi="Times New Roman" w:eastAsia="仿宋_GB2312"/>
                <w:color w:val="auto"/>
                <w:sz w:val="30"/>
                <w:szCs w:val="30"/>
                <w:highlight w:val="none"/>
              </w:rPr>
            </w:pPr>
          </w:p>
        </w:tc>
        <w:tc>
          <w:tcPr>
            <w:tcW w:w="709" w:type="dxa"/>
            <w:noWrap w:val="0"/>
            <w:vAlign w:val="top"/>
          </w:tcPr>
          <w:p w14:paraId="5BE70882">
            <w:pPr>
              <w:rPr>
                <w:rFonts w:ascii="Times New Roman" w:hAnsi="Times New Roman" w:eastAsia="仿宋_GB2312"/>
                <w:color w:val="auto"/>
                <w:sz w:val="30"/>
                <w:szCs w:val="30"/>
                <w:highlight w:val="none"/>
              </w:rPr>
            </w:pPr>
          </w:p>
        </w:tc>
        <w:tc>
          <w:tcPr>
            <w:tcW w:w="850" w:type="dxa"/>
            <w:noWrap w:val="0"/>
            <w:vAlign w:val="top"/>
          </w:tcPr>
          <w:p w14:paraId="78ACB2BE">
            <w:pPr>
              <w:rPr>
                <w:rFonts w:ascii="Times New Roman" w:hAnsi="Times New Roman" w:eastAsia="仿宋_GB2312"/>
                <w:color w:val="auto"/>
                <w:sz w:val="30"/>
                <w:szCs w:val="30"/>
                <w:highlight w:val="none"/>
              </w:rPr>
            </w:pPr>
          </w:p>
        </w:tc>
        <w:tc>
          <w:tcPr>
            <w:tcW w:w="851" w:type="dxa"/>
            <w:noWrap w:val="0"/>
            <w:vAlign w:val="top"/>
          </w:tcPr>
          <w:p w14:paraId="61A2C3D7">
            <w:pPr>
              <w:rPr>
                <w:rFonts w:ascii="Times New Roman" w:hAnsi="Times New Roman" w:eastAsia="仿宋_GB2312"/>
                <w:color w:val="auto"/>
                <w:sz w:val="30"/>
                <w:szCs w:val="30"/>
                <w:highlight w:val="none"/>
              </w:rPr>
            </w:pPr>
          </w:p>
        </w:tc>
        <w:tc>
          <w:tcPr>
            <w:tcW w:w="1276" w:type="dxa"/>
            <w:noWrap w:val="0"/>
            <w:vAlign w:val="top"/>
          </w:tcPr>
          <w:p w14:paraId="49705E9A">
            <w:pPr>
              <w:rPr>
                <w:rFonts w:ascii="Times New Roman" w:hAnsi="Times New Roman" w:eastAsia="仿宋_GB2312"/>
                <w:color w:val="auto"/>
                <w:sz w:val="30"/>
                <w:szCs w:val="30"/>
                <w:highlight w:val="none"/>
              </w:rPr>
            </w:pPr>
          </w:p>
        </w:tc>
        <w:tc>
          <w:tcPr>
            <w:tcW w:w="1275" w:type="dxa"/>
            <w:noWrap w:val="0"/>
            <w:vAlign w:val="top"/>
          </w:tcPr>
          <w:p w14:paraId="17E7A43B">
            <w:pPr>
              <w:rPr>
                <w:rFonts w:ascii="Times New Roman" w:hAnsi="Times New Roman" w:eastAsia="仿宋_GB2312"/>
                <w:color w:val="auto"/>
                <w:sz w:val="30"/>
                <w:szCs w:val="30"/>
                <w:highlight w:val="none"/>
              </w:rPr>
            </w:pPr>
          </w:p>
        </w:tc>
        <w:tc>
          <w:tcPr>
            <w:tcW w:w="992" w:type="dxa"/>
            <w:noWrap w:val="0"/>
            <w:vAlign w:val="top"/>
          </w:tcPr>
          <w:p w14:paraId="63F0E5FE">
            <w:pPr>
              <w:rPr>
                <w:rFonts w:ascii="Times New Roman" w:hAnsi="Times New Roman" w:eastAsia="仿宋_GB2312"/>
                <w:color w:val="auto"/>
                <w:sz w:val="30"/>
                <w:szCs w:val="30"/>
                <w:highlight w:val="none"/>
              </w:rPr>
            </w:pPr>
          </w:p>
        </w:tc>
      </w:tr>
      <w:tr w14:paraId="2FCC4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1220408A">
            <w:pPr>
              <w:keepNext/>
              <w:spacing w:line="440" w:lineRule="exact"/>
              <w:ind w:left="63" w:right="63"/>
              <w:rPr>
                <w:rFonts w:ascii="Times New Roman" w:hAnsi="Times New Roman" w:eastAsia="仿宋_GB2312"/>
                <w:color w:val="auto"/>
                <w:sz w:val="30"/>
                <w:szCs w:val="30"/>
                <w:highlight w:val="none"/>
              </w:rPr>
            </w:pPr>
          </w:p>
        </w:tc>
        <w:tc>
          <w:tcPr>
            <w:tcW w:w="1417" w:type="dxa"/>
            <w:noWrap w:val="0"/>
            <w:vAlign w:val="center"/>
          </w:tcPr>
          <w:p w14:paraId="0FA743C8">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2634FD55">
            <w:pPr>
              <w:keepNext/>
              <w:spacing w:line="440" w:lineRule="exact"/>
              <w:ind w:left="63" w:right="63"/>
              <w:rPr>
                <w:rFonts w:ascii="Times New Roman" w:hAnsi="Times New Roman" w:eastAsia="仿宋_GB2312"/>
                <w:color w:val="auto"/>
                <w:sz w:val="30"/>
                <w:szCs w:val="30"/>
                <w:highlight w:val="none"/>
              </w:rPr>
            </w:pPr>
          </w:p>
        </w:tc>
        <w:tc>
          <w:tcPr>
            <w:tcW w:w="709" w:type="dxa"/>
            <w:noWrap w:val="0"/>
            <w:vAlign w:val="center"/>
          </w:tcPr>
          <w:p w14:paraId="3AB2BE47">
            <w:pPr>
              <w:keepNext/>
              <w:spacing w:line="440" w:lineRule="exact"/>
              <w:ind w:left="63" w:right="63"/>
              <w:rPr>
                <w:rFonts w:ascii="Times New Roman" w:hAnsi="Times New Roman" w:eastAsia="仿宋_GB2312"/>
                <w:color w:val="auto"/>
                <w:sz w:val="30"/>
                <w:szCs w:val="30"/>
                <w:highlight w:val="none"/>
              </w:rPr>
            </w:pPr>
          </w:p>
        </w:tc>
        <w:tc>
          <w:tcPr>
            <w:tcW w:w="850" w:type="dxa"/>
            <w:noWrap w:val="0"/>
            <w:vAlign w:val="center"/>
          </w:tcPr>
          <w:p w14:paraId="1C075D54">
            <w:pPr>
              <w:keepNext/>
              <w:spacing w:line="440" w:lineRule="exact"/>
              <w:ind w:left="63" w:right="63"/>
              <w:rPr>
                <w:rFonts w:ascii="Times New Roman" w:hAnsi="Times New Roman" w:eastAsia="仿宋_GB2312"/>
                <w:color w:val="auto"/>
                <w:sz w:val="30"/>
                <w:szCs w:val="30"/>
                <w:highlight w:val="none"/>
              </w:rPr>
            </w:pPr>
          </w:p>
        </w:tc>
        <w:tc>
          <w:tcPr>
            <w:tcW w:w="851" w:type="dxa"/>
            <w:noWrap w:val="0"/>
            <w:vAlign w:val="center"/>
          </w:tcPr>
          <w:p w14:paraId="6F4E9030">
            <w:pPr>
              <w:keepNext/>
              <w:spacing w:line="440" w:lineRule="exact"/>
              <w:ind w:left="63" w:right="63"/>
              <w:rPr>
                <w:rFonts w:ascii="Times New Roman" w:hAnsi="Times New Roman" w:eastAsia="仿宋_GB2312"/>
                <w:color w:val="auto"/>
                <w:sz w:val="30"/>
                <w:szCs w:val="30"/>
                <w:highlight w:val="none"/>
              </w:rPr>
            </w:pPr>
          </w:p>
        </w:tc>
        <w:tc>
          <w:tcPr>
            <w:tcW w:w="1276" w:type="dxa"/>
            <w:noWrap w:val="0"/>
            <w:vAlign w:val="center"/>
          </w:tcPr>
          <w:p w14:paraId="2073656C">
            <w:pPr>
              <w:keepNext/>
              <w:spacing w:line="440" w:lineRule="exact"/>
              <w:ind w:left="63" w:right="63"/>
              <w:rPr>
                <w:rFonts w:ascii="Times New Roman" w:hAnsi="Times New Roman" w:eastAsia="仿宋_GB2312"/>
                <w:color w:val="auto"/>
                <w:sz w:val="30"/>
                <w:szCs w:val="30"/>
                <w:highlight w:val="none"/>
              </w:rPr>
            </w:pPr>
          </w:p>
        </w:tc>
        <w:tc>
          <w:tcPr>
            <w:tcW w:w="1275" w:type="dxa"/>
            <w:noWrap w:val="0"/>
            <w:vAlign w:val="center"/>
          </w:tcPr>
          <w:p w14:paraId="4BB6F08D">
            <w:pPr>
              <w:keepNext/>
              <w:spacing w:line="440" w:lineRule="exact"/>
              <w:ind w:left="63" w:right="63"/>
              <w:rPr>
                <w:rFonts w:ascii="Times New Roman" w:hAnsi="Times New Roman" w:eastAsia="仿宋_GB2312"/>
                <w:color w:val="auto"/>
                <w:sz w:val="30"/>
                <w:szCs w:val="30"/>
                <w:highlight w:val="none"/>
              </w:rPr>
            </w:pPr>
          </w:p>
        </w:tc>
        <w:tc>
          <w:tcPr>
            <w:tcW w:w="992" w:type="dxa"/>
            <w:noWrap w:val="0"/>
            <w:vAlign w:val="center"/>
          </w:tcPr>
          <w:p w14:paraId="17846B6D">
            <w:pPr>
              <w:keepNext/>
              <w:spacing w:line="440" w:lineRule="exact"/>
              <w:ind w:left="63" w:right="63"/>
              <w:rPr>
                <w:rFonts w:ascii="Times New Roman" w:hAnsi="Times New Roman" w:eastAsia="仿宋_GB2312"/>
                <w:color w:val="auto"/>
                <w:sz w:val="30"/>
                <w:szCs w:val="30"/>
                <w:highlight w:val="none"/>
              </w:rPr>
            </w:pPr>
          </w:p>
        </w:tc>
      </w:tr>
      <w:tr w14:paraId="778A5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0EC40BB0">
            <w:pPr>
              <w:rPr>
                <w:rFonts w:ascii="Times New Roman" w:hAnsi="Times New Roman" w:eastAsia="仿宋_GB2312"/>
                <w:color w:val="auto"/>
                <w:sz w:val="30"/>
                <w:szCs w:val="30"/>
                <w:highlight w:val="none"/>
              </w:rPr>
            </w:pPr>
          </w:p>
        </w:tc>
        <w:tc>
          <w:tcPr>
            <w:tcW w:w="1417" w:type="dxa"/>
            <w:noWrap w:val="0"/>
            <w:vAlign w:val="top"/>
          </w:tcPr>
          <w:p w14:paraId="60BB9D40">
            <w:pPr>
              <w:rPr>
                <w:rFonts w:ascii="Times New Roman" w:hAnsi="Times New Roman" w:eastAsia="仿宋_GB2312"/>
                <w:color w:val="auto"/>
                <w:sz w:val="30"/>
                <w:szCs w:val="30"/>
                <w:highlight w:val="none"/>
              </w:rPr>
            </w:pPr>
          </w:p>
        </w:tc>
        <w:tc>
          <w:tcPr>
            <w:tcW w:w="851" w:type="dxa"/>
            <w:noWrap w:val="0"/>
            <w:vAlign w:val="top"/>
          </w:tcPr>
          <w:p w14:paraId="67FAE308">
            <w:pPr>
              <w:rPr>
                <w:rFonts w:ascii="Times New Roman" w:hAnsi="Times New Roman" w:eastAsia="仿宋_GB2312"/>
                <w:color w:val="auto"/>
                <w:sz w:val="30"/>
                <w:szCs w:val="30"/>
                <w:highlight w:val="none"/>
              </w:rPr>
            </w:pPr>
          </w:p>
        </w:tc>
        <w:tc>
          <w:tcPr>
            <w:tcW w:w="709" w:type="dxa"/>
            <w:noWrap w:val="0"/>
            <w:vAlign w:val="top"/>
          </w:tcPr>
          <w:p w14:paraId="1B8CFFB3">
            <w:pPr>
              <w:rPr>
                <w:rFonts w:ascii="Times New Roman" w:hAnsi="Times New Roman" w:eastAsia="仿宋_GB2312"/>
                <w:color w:val="auto"/>
                <w:sz w:val="30"/>
                <w:szCs w:val="30"/>
                <w:highlight w:val="none"/>
              </w:rPr>
            </w:pPr>
          </w:p>
        </w:tc>
        <w:tc>
          <w:tcPr>
            <w:tcW w:w="850" w:type="dxa"/>
            <w:noWrap w:val="0"/>
            <w:vAlign w:val="top"/>
          </w:tcPr>
          <w:p w14:paraId="4ACA5B78">
            <w:pPr>
              <w:rPr>
                <w:rFonts w:ascii="Times New Roman" w:hAnsi="Times New Roman" w:eastAsia="仿宋_GB2312"/>
                <w:color w:val="auto"/>
                <w:sz w:val="30"/>
                <w:szCs w:val="30"/>
                <w:highlight w:val="none"/>
              </w:rPr>
            </w:pPr>
          </w:p>
        </w:tc>
        <w:tc>
          <w:tcPr>
            <w:tcW w:w="851" w:type="dxa"/>
            <w:noWrap w:val="0"/>
            <w:vAlign w:val="top"/>
          </w:tcPr>
          <w:p w14:paraId="10AC35F3">
            <w:pPr>
              <w:rPr>
                <w:rFonts w:ascii="Times New Roman" w:hAnsi="Times New Roman" w:eastAsia="仿宋_GB2312"/>
                <w:color w:val="auto"/>
                <w:sz w:val="30"/>
                <w:szCs w:val="30"/>
                <w:highlight w:val="none"/>
              </w:rPr>
            </w:pPr>
          </w:p>
        </w:tc>
        <w:tc>
          <w:tcPr>
            <w:tcW w:w="1276" w:type="dxa"/>
            <w:noWrap w:val="0"/>
            <w:vAlign w:val="top"/>
          </w:tcPr>
          <w:p w14:paraId="6A9792AB">
            <w:pPr>
              <w:rPr>
                <w:rFonts w:ascii="Times New Roman" w:hAnsi="Times New Roman" w:eastAsia="仿宋_GB2312"/>
                <w:color w:val="auto"/>
                <w:sz w:val="30"/>
                <w:szCs w:val="30"/>
                <w:highlight w:val="none"/>
              </w:rPr>
            </w:pPr>
          </w:p>
        </w:tc>
        <w:tc>
          <w:tcPr>
            <w:tcW w:w="1275" w:type="dxa"/>
            <w:noWrap w:val="0"/>
            <w:vAlign w:val="top"/>
          </w:tcPr>
          <w:p w14:paraId="1B50820B">
            <w:pPr>
              <w:rPr>
                <w:rFonts w:ascii="Times New Roman" w:hAnsi="Times New Roman" w:eastAsia="仿宋_GB2312"/>
                <w:color w:val="auto"/>
                <w:sz w:val="30"/>
                <w:szCs w:val="30"/>
                <w:highlight w:val="none"/>
              </w:rPr>
            </w:pPr>
          </w:p>
        </w:tc>
        <w:tc>
          <w:tcPr>
            <w:tcW w:w="992" w:type="dxa"/>
            <w:noWrap w:val="0"/>
            <w:vAlign w:val="top"/>
          </w:tcPr>
          <w:p w14:paraId="0C477AC2">
            <w:pPr>
              <w:rPr>
                <w:rFonts w:ascii="Times New Roman" w:hAnsi="Times New Roman" w:eastAsia="仿宋_GB2312"/>
                <w:color w:val="auto"/>
                <w:sz w:val="30"/>
                <w:szCs w:val="30"/>
                <w:highlight w:val="none"/>
              </w:rPr>
            </w:pPr>
          </w:p>
        </w:tc>
      </w:tr>
      <w:tr w14:paraId="405339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1C7E3584">
            <w:pPr>
              <w:rPr>
                <w:rFonts w:ascii="Times New Roman" w:hAnsi="Times New Roman" w:eastAsia="仿宋_GB2312"/>
                <w:color w:val="auto"/>
                <w:sz w:val="30"/>
                <w:szCs w:val="30"/>
                <w:highlight w:val="none"/>
              </w:rPr>
            </w:pPr>
          </w:p>
        </w:tc>
        <w:tc>
          <w:tcPr>
            <w:tcW w:w="1417" w:type="dxa"/>
            <w:noWrap w:val="0"/>
            <w:vAlign w:val="top"/>
          </w:tcPr>
          <w:p w14:paraId="48D3E075">
            <w:pPr>
              <w:rPr>
                <w:rFonts w:ascii="Times New Roman" w:hAnsi="Times New Roman" w:eastAsia="仿宋_GB2312"/>
                <w:color w:val="auto"/>
                <w:sz w:val="30"/>
                <w:szCs w:val="30"/>
                <w:highlight w:val="none"/>
              </w:rPr>
            </w:pPr>
          </w:p>
        </w:tc>
        <w:tc>
          <w:tcPr>
            <w:tcW w:w="851" w:type="dxa"/>
            <w:noWrap w:val="0"/>
            <w:vAlign w:val="top"/>
          </w:tcPr>
          <w:p w14:paraId="49F88CA0">
            <w:pPr>
              <w:rPr>
                <w:rFonts w:ascii="Times New Roman" w:hAnsi="Times New Roman" w:eastAsia="仿宋_GB2312"/>
                <w:color w:val="auto"/>
                <w:sz w:val="30"/>
                <w:szCs w:val="30"/>
                <w:highlight w:val="none"/>
              </w:rPr>
            </w:pPr>
          </w:p>
        </w:tc>
        <w:tc>
          <w:tcPr>
            <w:tcW w:w="709" w:type="dxa"/>
            <w:noWrap w:val="0"/>
            <w:vAlign w:val="top"/>
          </w:tcPr>
          <w:p w14:paraId="61D6D341">
            <w:pPr>
              <w:rPr>
                <w:rFonts w:ascii="Times New Roman" w:hAnsi="Times New Roman" w:eastAsia="仿宋_GB2312"/>
                <w:color w:val="auto"/>
                <w:sz w:val="30"/>
                <w:szCs w:val="30"/>
                <w:highlight w:val="none"/>
              </w:rPr>
            </w:pPr>
          </w:p>
        </w:tc>
        <w:tc>
          <w:tcPr>
            <w:tcW w:w="850" w:type="dxa"/>
            <w:noWrap w:val="0"/>
            <w:vAlign w:val="top"/>
          </w:tcPr>
          <w:p w14:paraId="74627C83">
            <w:pPr>
              <w:rPr>
                <w:rFonts w:ascii="Times New Roman" w:hAnsi="Times New Roman" w:eastAsia="仿宋_GB2312"/>
                <w:color w:val="auto"/>
                <w:sz w:val="30"/>
                <w:szCs w:val="30"/>
                <w:highlight w:val="none"/>
              </w:rPr>
            </w:pPr>
          </w:p>
        </w:tc>
        <w:tc>
          <w:tcPr>
            <w:tcW w:w="851" w:type="dxa"/>
            <w:noWrap w:val="0"/>
            <w:vAlign w:val="top"/>
          </w:tcPr>
          <w:p w14:paraId="6B52DCCB">
            <w:pPr>
              <w:rPr>
                <w:rFonts w:ascii="Times New Roman" w:hAnsi="Times New Roman" w:eastAsia="仿宋_GB2312"/>
                <w:color w:val="auto"/>
                <w:sz w:val="30"/>
                <w:szCs w:val="30"/>
                <w:highlight w:val="none"/>
              </w:rPr>
            </w:pPr>
          </w:p>
        </w:tc>
        <w:tc>
          <w:tcPr>
            <w:tcW w:w="1276" w:type="dxa"/>
            <w:noWrap w:val="0"/>
            <w:vAlign w:val="top"/>
          </w:tcPr>
          <w:p w14:paraId="13327593">
            <w:pPr>
              <w:rPr>
                <w:rFonts w:ascii="Times New Roman" w:hAnsi="Times New Roman" w:eastAsia="仿宋_GB2312"/>
                <w:color w:val="auto"/>
                <w:sz w:val="30"/>
                <w:szCs w:val="30"/>
                <w:highlight w:val="none"/>
              </w:rPr>
            </w:pPr>
          </w:p>
        </w:tc>
        <w:tc>
          <w:tcPr>
            <w:tcW w:w="1275" w:type="dxa"/>
            <w:noWrap w:val="0"/>
            <w:vAlign w:val="top"/>
          </w:tcPr>
          <w:p w14:paraId="74D9BEBC">
            <w:pPr>
              <w:rPr>
                <w:rFonts w:ascii="Times New Roman" w:hAnsi="Times New Roman" w:eastAsia="仿宋_GB2312"/>
                <w:color w:val="auto"/>
                <w:sz w:val="30"/>
                <w:szCs w:val="30"/>
                <w:highlight w:val="none"/>
              </w:rPr>
            </w:pPr>
          </w:p>
        </w:tc>
        <w:tc>
          <w:tcPr>
            <w:tcW w:w="992" w:type="dxa"/>
            <w:noWrap w:val="0"/>
            <w:vAlign w:val="top"/>
          </w:tcPr>
          <w:p w14:paraId="06CA7654">
            <w:pPr>
              <w:rPr>
                <w:rFonts w:ascii="Times New Roman" w:hAnsi="Times New Roman" w:eastAsia="仿宋_GB2312"/>
                <w:color w:val="auto"/>
                <w:sz w:val="30"/>
                <w:szCs w:val="30"/>
                <w:highlight w:val="none"/>
              </w:rPr>
            </w:pPr>
          </w:p>
        </w:tc>
      </w:tr>
      <w:tr w14:paraId="68ED36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5EAF662F">
            <w:pPr>
              <w:rPr>
                <w:rFonts w:ascii="Times New Roman" w:hAnsi="Times New Roman" w:eastAsia="仿宋_GB2312"/>
                <w:color w:val="auto"/>
                <w:sz w:val="30"/>
                <w:szCs w:val="30"/>
                <w:highlight w:val="none"/>
              </w:rPr>
            </w:pPr>
          </w:p>
        </w:tc>
        <w:tc>
          <w:tcPr>
            <w:tcW w:w="1417" w:type="dxa"/>
            <w:noWrap w:val="0"/>
            <w:vAlign w:val="top"/>
          </w:tcPr>
          <w:p w14:paraId="473C1A1F">
            <w:pPr>
              <w:rPr>
                <w:rFonts w:ascii="Times New Roman" w:hAnsi="Times New Roman" w:eastAsia="仿宋_GB2312"/>
                <w:color w:val="auto"/>
                <w:sz w:val="30"/>
                <w:szCs w:val="30"/>
                <w:highlight w:val="none"/>
              </w:rPr>
            </w:pPr>
          </w:p>
        </w:tc>
        <w:tc>
          <w:tcPr>
            <w:tcW w:w="851" w:type="dxa"/>
            <w:noWrap w:val="0"/>
            <w:vAlign w:val="top"/>
          </w:tcPr>
          <w:p w14:paraId="32CF998A">
            <w:pPr>
              <w:rPr>
                <w:rFonts w:ascii="Times New Roman" w:hAnsi="Times New Roman" w:eastAsia="仿宋_GB2312"/>
                <w:color w:val="auto"/>
                <w:sz w:val="30"/>
                <w:szCs w:val="30"/>
                <w:highlight w:val="none"/>
              </w:rPr>
            </w:pPr>
          </w:p>
        </w:tc>
        <w:tc>
          <w:tcPr>
            <w:tcW w:w="709" w:type="dxa"/>
            <w:noWrap w:val="0"/>
            <w:vAlign w:val="top"/>
          </w:tcPr>
          <w:p w14:paraId="5119F4C8">
            <w:pPr>
              <w:rPr>
                <w:rFonts w:ascii="Times New Roman" w:hAnsi="Times New Roman" w:eastAsia="仿宋_GB2312"/>
                <w:color w:val="auto"/>
                <w:sz w:val="30"/>
                <w:szCs w:val="30"/>
                <w:highlight w:val="none"/>
              </w:rPr>
            </w:pPr>
          </w:p>
        </w:tc>
        <w:tc>
          <w:tcPr>
            <w:tcW w:w="850" w:type="dxa"/>
            <w:noWrap w:val="0"/>
            <w:vAlign w:val="top"/>
          </w:tcPr>
          <w:p w14:paraId="5BA61FC9">
            <w:pPr>
              <w:rPr>
                <w:rFonts w:ascii="Times New Roman" w:hAnsi="Times New Roman" w:eastAsia="仿宋_GB2312"/>
                <w:color w:val="auto"/>
                <w:sz w:val="30"/>
                <w:szCs w:val="30"/>
                <w:highlight w:val="none"/>
              </w:rPr>
            </w:pPr>
          </w:p>
        </w:tc>
        <w:tc>
          <w:tcPr>
            <w:tcW w:w="851" w:type="dxa"/>
            <w:noWrap w:val="0"/>
            <w:vAlign w:val="top"/>
          </w:tcPr>
          <w:p w14:paraId="56D8FACE">
            <w:pPr>
              <w:rPr>
                <w:rFonts w:ascii="Times New Roman" w:hAnsi="Times New Roman" w:eastAsia="仿宋_GB2312"/>
                <w:color w:val="auto"/>
                <w:sz w:val="30"/>
                <w:szCs w:val="30"/>
                <w:highlight w:val="none"/>
              </w:rPr>
            </w:pPr>
          </w:p>
        </w:tc>
        <w:tc>
          <w:tcPr>
            <w:tcW w:w="1276" w:type="dxa"/>
            <w:noWrap w:val="0"/>
            <w:vAlign w:val="top"/>
          </w:tcPr>
          <w:p w14:paraId="79066225">
            <w:pPr>
              <w:rPr>
                <w:rFonts w:ascii="Times New Roman" w:hAnsi="Times New Roman" w:eastAsia="仿宋_GB2312"/>
                <w:color w:val="auto"/>
                <w:sz w:val="30"/>
                <w:szCs w:val="30"/>
                <w:highlight w:val="none"/>
              </w:rPr>
            </w:pPr>
          </w:p>
        </w:tc>
        <w:tc>
          <w:tcPr>
            <w:tcW w:w="1275" w:type="dxa"/>
            <w:noWrap w:val="0"/>
            <w:vAlign w:val="top"/>
          </w:tcPr>
          <w:p w14:paraId="44C2164D">
            <w:pPr>
              <w:rPr>
                <w:rFonts w:ascii="Times New Roman" w:hAnsi="Times New Roman" w:eastAsia="仿宋_GB2312"/>
                <w:color w:val="auto"/>
                <w:sz w:val="30"/>
                <w:szCs w:val="30"/>
                <w:highlight w:val="none"/>
              </w:rPr>
            </w:pPr>
          </w:p>
        </w:tc>
        <w:tc>
          <w:tcPr>
            <w:tcW w:w="992" w:type="dxa"/>
            <w:noWrap w:val="0"/>
            <w:vAlign w:val="top"/>
          </w:tcPr>
          <w:p w14:paraId="6FD2316A">
            <w:pPr>
              <w:rPr>
                <w:rFonts w:ascii="Times New Roman" w:hAnsi="Times New Roman" w:eastAsia="仿宋_GB2312"/>
                <w:color w:val="auto"/>
                <w:sz w:val="30"/>
                <w:szCs w:val="30"/>
                <w:highlight w:val="none"/>
              </w:rPr>
            </w:pPr>
          </w:p>
        </w:tc>
      </w:tr>
      <w:tr w14:paraId="2EB099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21122EA0">
            <w:pPr>
              <w:rPr>
                <w:rFonts w:ascii="Times New Roman" w:hAnsi="Times New Roman" w:eastAsia="仿宋_GB2312"/>
                <w:color w:val="auto"/>
                <w:sz w:val="30"/>
                <w:szCs w:val="30"/>
                <w:highlight w:val="none"/>
              </w:rPr>
            </w:pPr>
          </w:p>
        </w:tc>
        <w:tc>
          <w:tcPr>
            <w:tcW w:w="1417" w:type="dxa"/>
            <w:noWrap w:val="0"/>
            <w:vAlign w:val="top"/>
          </w:tcPr>
          <w:p w14:paraId="7CD1D22B">
            <w:pPr>
              <w:rPr>
                <w:rFonts w:ascii="Times New Roman" w:hAnsi="Times New Roman" w:eastAsia="仿宋_GB2312"/>
                <w:color w:val="auto"/>
                <w:sz w:val="30"/>
                <w:szCs w:val="30"/>
                <w:highlight w:val="none"/>
              </w:rPr>
            </w:pPr>
          </w:p>
        </w:tc>
        <w:tc>
          <w:tcPr>
            <w:tcW w:w="851" w:type="dxa"/>
            <w:noWrap w:val="0"/>
            <w:vAlign w:val="top"/>
          </w:tcPr>
          <w:p w14:paraId="72AA4C4D">
            <w:pPr>
              <w:rPr>
                <w:rFonts w:ascii="Times New Roman" w:hAnsi="Times New Roman" w:eastAsia="仿宋_GB2312"/>
                <w:color w:val="auto"/>
                <w:sz w:val="30"/>
                <w:szCs w:val="30"/>
                <w:highlight w:val="none"/>
              </w:rPr>
            </w:pPr>
          </w:p>
        </w:tc>
        <w:tc>
          <w:tcPr>
            <w:tcW w:w="709" w:type="dxa"/>
            <w:noWrap w:val="0"/>
            <w:vAlign w:val="top"/>
          </w:tcPr>
          <w:p w14:paraId="3BC5D0BE">
            <w:pPr>
              <w:rPr>
                <w:rFonts w:ascii="Times New Roman" w:hAnsi="Times New Roman" w:eastAsia="仿宋_GB2312"/>
                <w:color w:val="auto"/>
                <w:sz w:val="30"/>
                <w:szCs w:val="30"/>
                <w:highlight w:val="none"/>
              </w:rPr>
            </w:pPr>
          </w:p>
        </w:tc>
        <w:tc>
          <w:tcPr>
            <w:tcW w:w="850" w:type="dxa"/>
            <w:noWrap w:val="0"/>
            <w:vAlign w:val="top"/>
          </w:tcPr>
          <w:p w14:paraId="25430D9C">
            <w:pPr>
              <w:rPr>
                <w:rFonts w:ascii="Times New Roman" w:hAnsi="Times New Roman" w:eastAsia="仿宋_GB2312"/>
                <w:color w:val="auto"/>
                <w:sz w:val="30"/>
                <w:szCs w:val="30"/>
                <w:highlight w:val="none"/>
              </w:rPr>
            </w:pPr>
          </w:p>
        </w:tc>
        <w:tc>
          <w:tcPr>
            <w:tcW w:w="851" w:type="dxa"/>
            <w:noWrap w:val="0"/>
            <w:vAlign w:val="top"/>
          </w:tcPr>
          <w:p w14:paraId="61E30818">
            <w:pPr>
              <w:rPr>
                <w:rFonts w:ascii="Times New Roman" w:hAnsi="Times New Roman" w:eastAsia="仿宋_GB2312"/>
                <w:color w:val="auto"/>
                <w:sz w:val="30"/>
                <w:szCs w:val="30"/>
                <w:highlight w:val="none"/>
              </w:rPr>
            </w:pPr>
          </w:p>
        </w:tc>
        <w:tc>
          <w:tcPr>
            <w:tcW w:w="1276" w:type="dxa"/>
            <w:noWrap w:val="0"/>
            <w:vAlign w:val="top"/>
          </w:tcPr>
          <w:p w14:paraId="37F202B9">
            <w:pPr>
              <w:rPr>
                <w:rFonts w:ascii="Times New Roman" w:hAnsi="Times New Roman" w:eastAsia="仿宋_GB2312"/>
                <w:color w:val="auto"/>
                <w:sz w:val="30"/>
                <w:szCs w:val="30"/>
                <w:highlight w:val="none"/>
              </w:rPr>
            </w:pPr>
          </w:p>
        </w:tc>
        <w:tc>
          <w:tcPr>
            <w:tcW w:w="1275" w:type="dxa"/>
            <w:noWrap w:val="0"/>
            <w:vAlign w:val="top"/>
          </w:tcPr>
          <w:p w14:paraId="1E1DAA18">
            <w:pPr>
              <w:rPr>
                <w:rFonts w:ascii="Times New Roman" w:hAnsi="Times New Roman" w:eastAsia="仿宋_GB2312"/>
                <w:color w:val="auto"/>
                <w:sz w:val="30"/>
                <w:szCs w:val="30"/>
                <w:highlight w:val="none"/>
              </w:rPr>
            </w:pPr>
          </w:p>
        </w:tc>
        <w:tc>
          <w:tcPr>
            <w:tcW w:w="992" w:type="dxa"/>
            <w:noWrap w:val="0"/>
            <w:vAlign w:val="top"/>
          </w:tcPr>
          <w:p w14:paraId="73075A4F">
            <w:pPr>
              <w:rPr>
                <w:rFonts w:ascii="Times New Roman" w:hAnsi="Times New Roman" w:eastAsia="仿宋_GB2312"/>
                <w:color w:val="auto"/>
                <w:sz w:val="30"/>
                <w:szCs w:val="30"/>
                <w:highlight w:val="none"/>
              </w:rPr>
            </w:pPr>
          </w:p>
        </w:tc>
      </w:tr>
      <w:tr w14:paraId="62FCD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61BD49A2">
            <w:pPr>
              <w:rPr>
                <w:rFonts w:ascii="Times New Roman" w:hAnsi="Times New Roman" w:eastAsia="仿宋_GB2312"/>
                <w:color w:val="auto"/>
                <w:sz w:val="30"/>
                <w:szCs w:val="30"/>
                <w:highlight w:val="none"/>
              </w:rPr>
            </w:pPr>
          </w:p>
        </w:tc>
        <w:tc>
          <w:tcPr>
            <w:tcW w:w="1417" w:type="dxa"/>
            <w:noWrap w:val="0"/>
            <w:vAlign w:val="top"/>
          </w:tcPr>
          <w:p w14:paraId="0FACC2FC">
            <w:pPr>
              <w:rPr>
                <w:rFonts w:ascii="Times New Roman" w:hAnsi="Times New Roman" w:eastAsia="仿宋_GB2312"/>
                <w:color w:val="auto"/>
                <w:sz w:val="30"/>
                <w:szCs w:val="30"/>
                <w:highlight w:val="none"/>
              </w:rPr>
            </w:pPr>
          </w:p>
        </w:tc>
        <w:tc>
          <w:tcPr>
            <w:tcW w:w="851" w:type="dxa"/>
            <w:noWrap w:val="0"/>
            <w:vAlign w:val="top"/>
          </w:tcPr>
          <w:p w14:paraId="2D1FDC2B">
            <w:pPr>
              <w:rPr>
                <w:rFonts w:ascii="Times New Roman" w:hAnsi="Times New Roman" w:eastAsia="仿宋_GB2312"/>
                <w:color w:val="auto"/>
                <w:sz w:val="30"/>
                <w:szCs w:val="30"/>
                <w:highlight w:val="none"/>
              </w:rPr>
            </w:pPr>
          </w:p>
        </w:tc>
        <w:tc>
          <w:tcPr>
            <w:tcW w:w="709" w:type="dxa"/>
            <w:noWrap w:val="0"/>
            <w:vAlign w:val="top"/>
          </w:tcPr>
          <w:p w14:paraId="5F6C9CD0">
            <w:pPr>
              <w:rPr>
                <w:rFonts w:ascii="Times New Roman" w:hAnsi="Times New Roman" w:eastAsia="仿宋_GB2312"/>
                <w:color w:val="auto"/>
                <w:sz w:val="30"/>
                <w:szCs w:val="30"/>
                <w:highlight w:val="none"/>
              </w:rPr>
            </w:pPr>
          </w:p>
        </w:tc>
        <w:tc>
          <w:tcPr>
            <w:tcW w:w="850" w:type="dxa"/>
            <w:noWrap w:val="0"/>
            <w:vAlign w:val="top"/>
          </w:tcPr>
          <w:p w14:paraId="59707A5E">
            <w:pPr>
              <w:rPr>
                <w:rFonts w:ascii="Times New Roman" w:hAnsi="Times New Roman" w:eastAsia="仿宋_GB2312"/>
                <w:color w:val="auto"/>
                <w:sz w:val="30"/>
                <w:szCs w:val="30"/>
                <w:highlight w:val="none"/>
              </w:rPr>
            </w:pPr>
          </w:p>
        </w:tc>
        <w:tc>
          <w:tcPr>
            <w:tcW w:w="851" w:type="dxa"/>
            <w:noWrap w:val="0"/>
            <w:vAlign w:val="top"/>
          </w:tcPr>
          <w:p w14:paraId="7753E141">
            <w:pPr>
              <w:rPr>
                <w:rFonts w:ascii="Times New Roman" w:hAnsi="Times New Roman" w:eastAsia="仿宋_GB2312"/>
                <w:color w:val="auto"/>
                <w:sz w:val="30"/>
                <w:szCs w:val="30"/>
                <w:highlight w:val="none"/>
              </w:rPr>
            </w:pPr>
          </w:p>
        </w:tc>
        <w:tc>
          <w:tcPr>
            <w:tcW w:w="1276" w:type="dxa"/>
            <w:noWrap w:val="0"/>
            <w:vAlign w:val="top"/>
          </w:tcPr>
          <w:p w14:paraId="3430D384">
            <w:pPr>
              <w:rPr>
                <w:rFonts w:ascii="Times New Roman" w:hAnsi="Times New Roman" w:eastAsia="仿宋_GB2312"/>
                <w:color w:val="auto"/>
                <w:sz w:val="30"/>
                <w:szCs w:val="30"/>
                <w:highlight w:val="none"/>
              </w:rPr>
            </w:pPr>
          </w:p>
        </w:tc>
        <w:tc>
          <w:tcPr>
            <w:tcW w:w="1275" w:type="dxa"/>
            <w:noWrap w:val="0"/>
            <w:vAlign w:val="top"/>
          </w:tcPr>
          <w:p w14:paraId="745D1118">
            <w:pPr>
              <w:rPr>
                <w:rFonts w:ascii="Times New Roman" w:hAnsi="Times New Roman" w:eastAsia="仿宋_GB2312"/>
                <w:color w:val="auto"/>
                <w:sz w:val="30"/>
                <w:szCs w:val="30"/>
                <w:highlight w:val="none"/>
              </w:rPr>
            </w:pPr>
          </w:p>
        </w:tc>
        <w:tc>
          <w:tcPr>
            <w:tcW w:w="992" w:type="dxa"/>
            <w:noWrap w:val="0"/>
            <w:vAlign w:val="top"/>
          </w:tcPr>
          <w:p w14:paraId="549DF31A">
            <w:pPr>
              <w:rPr>
                <w:rFonts w:ascii="Times New Roman" w:hAnsi="Times New Roman" w:eastAsia="仿宋_GB2312"/>
                <w:color w:val="auto"/>
                <w:sz w:val="30"/>
                <w:szCs w:val="30"/>
                <w:highlight w:val="none"/>
              </w:rPr>
            </w:pPr>
          </w:p>
        </w:tc>
      </w:tr>
      <w:tr w14:paraId="7E31E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0EAB5CFE">
            <w:pPr>
              <w:rPr>
                <w:rFonts w:ascii="Times New Roman" w:hAnsi="Times New Roman" w:eastAsia="仿宋_GB2312"/>
                <w:color w:val="auto"/>
                <w:sz w:val="30"/>
                <w:szCs w:val="30"/>
                <w:highlight w:val="none"/>
              </w:rPr>
            </w:pPr>
          </w:p>
        </w:tc>
        <w:tc>
          <w:tcPr>
            <w:tcW w:w="1417" w:type="dxa"/>
            <w:noWrap w:val="0"/>
            <w:vAlign w:val="top"/>
          </w:tcPr>
          <w:p w14:paraId="5CEBA8A5">
            <w:pPr>
              <w:rPr>
                <w:rFonts w:ascii="Times New Roman" w:hAnsi="Times New Roman" w:eastAsia="仿宋_GB2312"/>
                <w:color w:val="auto"/>
                <w:sz w:val="30"/>
                <w:szCs w:val="30"/>
                <w:highlight w:val="none"/>
              </w:rPr>
            </w:pPr>
          </w:p>
        </w:tc>
        <w:tc>
          <w:tcPr>
            <w:tcW w:w="851" w:type="dxa"/>
            <w:noWrap w:val="0"/>
            <w:vAlign w:val="top"/>
          </w:tcPr>
          <w:p w14:paraId="5E488C9D">
            <w:pPr>
              <w:rPr>
                <w:rFonts w:ascii="Times New Roman" w:hAnsi="Times New Roman" w:eastAsia="仿宋_GB2312"/>
                <w:color w:val="auto"/>
                <w:sz w:val="30"/>
                <w:szCs w:val="30"/>
                <w:highlight w:val="none"/>
              </w:rPr>
            </w:pPr>
          </w:p>
        </w:tc>
        <w:tc>
          <w:tcPr>
            <w:tcW w:w="709" w:type="dxa"/>
            <w:noWrap w:val="0"/>
            <w:vAlign w:val="top"/>
          </w:tcPr>
          <w:p w14:paraId="635F9EAC">
            <w:pPr>
              <w:rPr>
                <w:rFonts w:ascii="Times New Roman" w:hAnsi="Times New Roman" w:eastAsia="仿宋_GB2312"/>
                <w:color w:val="auto"/>
                <w:sz w:val="30"/>
                <w:szCs w:val="30"/>
                <w:highlight w:val="none"/>
              </w:rPr>
            </w:pPr>
          </w:p>
        </w:tc>
        <w:tc>
          <w:tcPr>
            <w:tcW w:w="850" w:type="dxa"/>
            <w:noWrap w:val="0"/>
            <w:vAlign w:val="top"/>
          </w:tcPr>
          <w:p w14:paraId="10CF9B7E">
            <w:pPr>
              <w:rPr>
                <w:rFonts w:ascii="Times New Roman" w:hAnsi="Times New Roman" w:eastAsia="仿宋_GB2312"/>
                <w:color w:val="auto"/>
                <w:sz w:val="30"/>
                <w:szCs w:val="30"/>
                <w:highlight w:val="none"/>
              </w:rPr>
            </w:pPr>
          </w:p>
        </w:tc>
        <w:tc>
          <w:tcPr>
            <w:tcW w:w="851" w:type="dxa"/>
            <w:noWrap w:val="0"/>
            <w:vAlign w:val="top"/>
          </w:tcPr>
          <w:p w14:paraId="092D12E1">
            <w:pPr>
              <w:rPr>
                <w:rFonts w:ascii="Times New Roman" w:hAnsi="Times New Roman" w:eastAsia="仿宋_GB2312"/>
                <w:color w:val="auto"/>
                <w:sz w:val="30"/>
                <w:szCs w:val="30"/>
                <w:highlight w:val="none"/>
              </w:rPr>
            </w:pPr>
          </w:p>
        </w:tc>
        <w:tc>
          <w:tcPr>
            <w:tcW w:w="1276" w:type="dxa"/>
            <w:noWrap w:val="0"/>
            <w:vAlign w:val="top"/>
          </w:tcPr>
          <w:p w14:paraId="74D00CF6">
            <w:pPr>
              <w:rPr>
                <w:rFonts w:ascii="Times New Roman" w:hAnsi="Times New Roman" w:eastAsia="仿宋_GB2312"/>
                <w:color w:val="auto"/>
                <w:sz w:val="30"/>
                <w:szCs w:val="30"/>
                <w:highlight w:val="none"/>
              </w:rPr>
            </w:pPr>
          </w:p>
        </w:tc>
        <w:tc>
          <w:tcPr>
            <w:tcW w:w="1275" w:type="dxa"/>
            <w:noWrap w:val="0"/>
            <w:vAlign w:val="top"/>
          </w:tcPr>
          <w:p w14:paraId="47629B52">
            <w:pPr>
              <w:rPr>
                <w:rFonts w:ascii="Times New Roman" w:hAnsi="Times New Roman" w:eastAsia="仿宋_GB2312"/>
                <w:color w:val="auto"/>
                <w:sz w:val="30"/>
                <w:szCs w:val="30"/>
                <w:highlight w:val="none"/>
              </w:rPr>
            </w:pPr>
          </w:p>
        </w:tc>
        <w:tc>
          <w:tcPr>
            <w:tcW w:w="992" w:type="dxa"/>
            <w:noWrap w:val="0"/>
            <w:vAlign w:val="top"/>
          </w:tcPr>
          <w:p w14:paraId="07E39C84">
            <w:pPr>
              <w:rPr>
                <w:rFonts w:ascii="Times New Roman" w:hAnsi="Times New Roman" w:eastAsia="仿宋_GB2312"/>
                <w:color w:val="auto"/>
                <w:sz w:val="30"/>
                <w:szCs w:val="30"/>
                <w:highlight w:val="none"/>
              </w:rPr>
            </w:pPr>
          </w:p>
        </w:tc>
      </w:tr>
      <w:tr w14:paraId="01E8CF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6248F8E8">
            <w:pPr>
              <w:rPr>
                <w:rFonts w:ascii="Times New Roman" w:hAnsi="Times New Roman" w:eastAsia="仿宋_GB2312"/>
                <w:color w:val="auto"/>
                <w:sz w:val="30"/>
                <w:szCs w:val="30"/>
                <w:highlight w:val="none"/>
              </w:rPr>
            </w:pPr>
          </w:p>
        </w:tc>
        <w:tc>
          <w:tcPr>
            <w:tcW w:w="1417" w:type="dxa"/>
            <w:noWrap w:val="0"/>
            <w:vAlign w:val="top"/>
          </w:tcPr>
          <w:p w14:paraId="04C557A8">
            <w:pPr>
              <w:rPr>
                <w:rFonts w:ascii="Times New Roman" w:hAnsi="Times New Roman" w:eastAsia="仿宋_GB2312"/>
                <w:color w:val="auto"/>
                <w:sz w:val="30"/>
                <w:szCs w:val="30"/>
                <w:highlight w:val="none"/>
              </w:rPr>
            </w:pPr>
          </w:p>
        </w:tc>
        <w:tc>
          <w:tcPr>
            <w:tcW w:w="851" w:type="dxa"/>
            <w:noWrap w:val="0"/>
            <w:vAlign w:val="top"/>
          </w:tcPr>
          <w:p w14:paraId="2E25C261">
            <w:pPr>
              <w:rPr>
                <w:rFonts w:ascii="Times New Roman" w:hAnsi="Times New Roman" w:eastAsia="仿宋_GB2312"/>
                <w:color w:val="auto"/>
                <w:sz w:val="30"/>
                <w:szCs w:val="30"/>
                <w:highlight w:val="none"/>
              </w:rPr>
            </w:pPr>
          </w:p>
        </w:tc>
        <w:tc>
          <w:tcPr>
            <w:tcW w:w="709" w:type="dxa"/>
            <w:noWrap w:val="0"/>
            <w:vAlign w:val="top"/>
          </w:tcPr>
          <w:p w14:paraId="2E4A2768">
            <w:pPr>
              <w:rPr>
                <w:rFonts w:ascii="Times New Roman" w:hAnsi="Times New Roman" w:eastAsia="仿宋_GB2312"/>
                <w:color w:val="auto"/>
                <w:sz w:val="30"/>
                <w:szCs w:val="30"/>
                <w:highlight w:val="none"/>
              </w:rPr>
            </w:pPr>
          </w:p>
        </w:tc>
        <w:tc>
          <w:tcPr>
            <w:tcW w:w="850" w:type="dxa"/>
            <w:noWrap w:val="0"/>
            <w:vAlign w:val="top"/>
          </w:tcPr>
          <w:p w14:paraId="555DC311">
            <w:pPr>
              <w:rPr>
                <w:rFonts w:ascii="Times New Roman" w:hAnsi="Times New Roman" w:eastAsia="仿宋_GB2312"/>
                <w:color w:val="auto"/>
                <w:sz w:val="30"/>
                <w:szCs w:val="30"/>
                <w:highlight w:val="none"/>
              </w:rPr>
            </w:pPr>
          </w:p>
        </w:tc>
        <w:tc>
          <w:tcPr>
            <w:tcW w:w="851" w:type="dxa"/>
            <w:noWrap w:val="0"/>
            <w:vAlign w:val="top"/>
          </w:tcPr>
          <w:p w14:paraId="343A9ECE">
            <w:pPr>
              <w:rPr>
                <w:rFonts w:ascii="Times New Roman" w:hAnsi="Times New Roman" w:eastAsia="仿宋_GB2312"/>
                <w:color w:val="auto"/>
                <w:sz w:val="30"/>
                <w:szCs w:val="30"/>
                <w:highlight w:val="none"/>
              </w:rPr>
            </w:pPr>
          </w:p>
        </w:tc>
        <w:tc>
          <w:tcPr>
            <w:tcW w:w="1276" w:type="dxa"/>
            <w:noWrap w:val="0"/>
            <w:vAlign w:val="top"/>
          </w:tcPr>
          <w:p w14:paraId="7AC74944">
            <w:pPr>
              <w:rPr>
                <w:rFonts w:ascii="Times New Roman" w:hAnsi="Times New Roman" w:eastAsia="仿宋_GB2312"/>
                <w:color w:val="auto"/>
                <w:sz w:val="30"/>
                <w:szCs w:val="30"/>
                <w:highlight w:val="none"/>
              </w:rPr>
            </w:pPr>
          </w:p>
        </w:tc>
        <w:tc>
          <w:tcPr>
            <w:tcW w:w="1275" w:type="dxa"/>
            <w:noWrap w:val="0"/>
            <w:vAlign w:val="top"/>
          </w:tcPr>
          <w:p w14:paraId="256D9E99">
            <w:pPr>
              <w:rPr>
                <w:rFonts w:ascii="Times New Roman" w:hAnsi="Times New Roman" w:eastAsia="仿宋_GB2312"/>
                <w:color w:val="auto"/>
                <w:sz w:val="30"/>
                <w:szCs w:val="30"/>
                <w:highlight w:val="none"/>
              </w:rPr>
            </w:pPr>
          </w:p>
        </w:tc>
        <w:tc>
          <w:tcPr>
            <w:tcW w:w="992" w:type="dxa"/>
            <w:noWrap w:val="0"/>
            <w:vAlign w:val="top"/>
          </w:tcPr>
          <w:p w14:paraId="5C68AB14">
            <w:pPr>
              <w:rPr>
                <w:rFonts w:ascii="Times New Roman" w:hAnsi="Times New Roman" w:eastAsia="仿宋_GB2312"/>
                <w:color w:val="auto"/>
                <w:sz w:val="30"/>
                <w:szCs w:val="30"/>
                <w:highlight w:val="none"/>
              </w:rPr>
            </w:pPr>
          </w:p>
        </w:tc>
      </w:tr>
      <w:tr w14:paraId="71939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7476A366">
            <w:pPr>
              <w:rPr>
                <w:rFonts w:ascii="Times New Roman" w:hAnsi="Times New Roman" w:eastAsia="仿宋_GB2312"/>
                <w:color w:val="auto"/>
                <w:sz w:val="30"/>
                <w:szCs w:val="30"/>
                <w:highlight w:val="none"/>
              </w:rPr>
            </w:pPr>
          </w:p>
        </w:tc>
        <w:tc>
          <w:tcPr>
            <w:tcW w:w="1417" w:type="dxa"/>
            <w:noWrap w:val="0"/>
            <w:vAlign w:val="top"/>
          </w:tcPr>
          <w:p w14:paraId="1763FFD3">
            <w:pPr>
              <w:rPr>
                <w:rFonts w:ascii="Times New Roman" w:hAnsi="Times New Roman" w:eastAsia="仿宋_GB2312"/>
                <w:color w:val="auto"/>
                <w:sz w:val="30"/>
                <w:szCs w:val="30"/>
                <w:highlight w:val="none"/>
              </w:rPr>
            </w:pPr>
          </w:p>
        </w:tc>
        <w:tc>
          <w:tcPr>
            <w:tcW w:w="851" w:type="dxa"/>
            <w:noWrap w:val="0"/>
            <w:vAlign w:val="top"/>
          </w:tcPr>
          <w:p w14:paraId="5500A4C3">
            <w:pPr>
              <w:rPr>
                <w:rFonts w:ascii="Times New Roman" w:hAnsi="Times New Roman" w:eastAsia="仿宋_GB2312"/>
                <w:color w:val="auto"/>
                <w:sz w:val="30"/>
                <w:szCs w:val="30"/>
                <w:highlight w:val="none"/>
              </w:rPr>
            </w:pPr>
          </w:p>
        </w:tc>
        <w:tc>
          <w:tcPr>
            <w:tcW w:w="709" w:type="dxa"/>
            <w:noWrap w:val="0"/>
            <w:vAlign w:val="top"/>
          </w:tcPr>
          <w:p w14:paraId="619F0ACD">
            <w:pPr>
              <w:rPr>
                <w:rFonts w:ascii="Times New Roman" w:hAnsi="Times New Roman" w:eastAsia="仿宋_GB2312"/>
                <w:color w:val="auto"/>
                <w:sz w:val="30"/>
                <w:szCs w:val="30"/>
                <w:highlight w:val="none"/>
              </w:rPr>
            </w:pPr>
          </w:p>
        </w:tc>
        <w:tc>
          <w:tcPr>
            <w:tcW w:w="850" w:type="dxa"/>
            <w:noWrap w:val="0"/>
            <w:vAlign w:val="top"/>
          </w:tcPr>
          <w:p w14:paraId="6EDDC80A">
            <w:pPr>
              <w:rPr>
                <w:rFonts w:ascii="Times New Roman" w:hAnsi="Times New Roman" w:eastAsia="仿宋_GB2312"/>
                <w:color w:val="auto"/>
                <w:sz w:val="30"/>
                <w:szCs w:val="30"/>
                <w:highlight w:val="none"/>
              </w:rPr>
            </w:pPr>
          </w:p>
        </w:tc>
        <w:tc>
          <w:tcPr>
            <w:tcW w:w="851" w:type="dxa"/>
            <w:noWrap w:val="0"/>
            <w:vAlign w:val="top"/>
          </w:tcPr>
          <w:p w14:paraId="7B7EE0D5">
            <w:pPr>
              <w:rPr>
                <w:rFonts w:ascii="Times New Roman" w:hAnsi="Times New Roman" w:eastAsia="仿宋_GB2312"/>
                <w:color w:val="auto"/>
                <w:sz w:val="30"/>
                <w:szCs w:val="30"/>
                <w:highlight w:val="none"/>
              </w:rPr>
            </w:pPr>
          </w:p>
        </w:tc>
        <w:tc>
          <w:tcPr>
            <w:tcW w:w="1276" w:type="dxa"/>
            <w:noWrap w:val="0"/>
            <w:vAlign w:val="top"/>
          </w:tcPr>
          <w:p w14:paraId="38D56E1E">
            <w:pPr>
              <w:rPr>
                <w:rFonts w:ascii="Times New Roman" w:hAnsi="Times New Roman" w:eastAsia="仿宋_GB2312"/>
                <w:color w:val="auto"/>
                <w:sz w:val="30"/>
                <w:szCs w:val="30"/>
                <w:highlight w:val="none"/>
              </w:rPr>
            </w:pPr>
          </w:p>
        </w:tc>
        <w:tc>
          <w:tcPr>
            <w:tcW w:w="1275" w:type="dxa"/>
            <w:noWrap w:val="0"/>
            <w:vAlign w:val="top"/>
          </w:tcPr>
          <w:p w14:paraId="124C8CE5">
            <w:pPr>
              <w:rPr>
                <w:rFonts w:ascii="Times New Roman" w:hAnsi="Times New Roman" w:eastAsia="仿宋_GB2312"/>
                <w:color w:val="auto"/>
                <w:sz w:val="30"/>
                <w:szCs w:val="30"/>
                <w:highlight w:val="none"/>
              </w:rPr>
            </w:pPr>
          </w:p>
        </w:tc>
        <w:tc>
          <w:tcPr>
            <w:tcW w:w="992" w:type="dxa"/>
            <w:noWrap w:val="0"/>
            <w:vAlign w:val="top"/>
          </w:tcPr>
          <w:p w14:paraId="1E6AAA44">
            <w:pPr>
              <w:rPr>
                <w:rFonts w:ascii="Times New Roman" w:hAnsi="Times New Roman" w:eastAsia="仿宋_GB2312"/>
                <w:color w:val="auto"/>
                <w:sz w:val="30"/>
                <w:szCs w:val="30"/>
                <w:highlight w:val="none"/>
              </w:rPr>
            </w:pPr>
          </w:p>
        </w:tc>
      </w:tr>
      <w:tr w14:paraId="4FB86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6D741B3E">
            <w:pPr>
              <w:rPr>
                <w:rFonts w:ascii="Times New Roman" w:hAnsi="Times New Roman" w:eastAsia="仿宋_GB2312"/>
                <w:color w:val="auto"/>
                <w:sz w:val="30"/>
                <w:szCs w:val="30"/>
                <w:highlight w:val="none"/>
              </w:rPr>
            </w:pPr>
          </w:p>
        </w:tc>
        <w:tc>
          <w:tcPr>
            <w:tcW w:w="1417" w:type="dxa"/>
            <w:noWrap w:val="0"/>
            <w:vAlign w:val="top"/>
          </w:tcPr>
          <w:p w14:paraId="5926F1AC">
            <w:pPr>
              <w:rPr>
                <w:rFonts w:ascii="Times New Roman" w:hAnsi="Times New Roman" w:eastAsia="仿宋_GB2312"/>
                <w:color w:val="auto"/>
                <w:sz w:val="30"/>
                <w:szCs w:val="30"/>
                <w:highlight w:val="none"/>
              </w:rPr>
            </w:pPr>
          </w:p>
        </w:tc>
        <w:tc>
          <w:tcPr>
            <w:tcW w:w="851" w:type="dxa"/>
            <w:noWrap w:val="0"/>
            <w:vAlign w:val="top"/>
          </w:tcPr>
          <w:p w14:paraId="73181567">
            <w:pPr>
              <w:rPr>
                <w:rFonts w:ascii="Times New Roman" w:hAnsi="Times New Roman" w:eastAsia="仿宋_GB2312"/>
                <w:color w:val="auto"/>
                <w:sz w:val="30"/>
                <w:szCs w:val="30"/>
                <w:highlight w:val="none"/>
              </w:rPr>
            </w:pPr>
          </w:p>
        </w:tc>
        <w:tc>
          <w:tcPr>
            <w:tcW w:w="709" w:type="dxa"/>
            <w:noWrap w:val="0"/>
            <w:vAlign w:val="top"/>
          </w:tcPr>
          <w:p w14:paraId="49C832EB">
            <w:pPr>
              <w:rPr>
                <w:rFonts w:ascii="Times New Roman" w:hAnsi="Times New Roman" w:eastAsia="仿宋_GB2312"/>
                <w:color w:val="auto"/>
                <w:sz w:val="30"/>
                <w:szCs w:val="30"/>
                <w:highlight w:val="none"/>
              </w:rPr>
            </w:pPr>
          </w:p>
        </w:tc>
        <w:tc>
          <w:tcPr>
            <w:tcW w:w="850" w:type="dxa"/>
            <w:noWrap w:val="0"/>
            <w:vAlign w:val="top"/>
          </w:tcPr>
          <w:p w14:paraId="3C83C48C">
            <w:pPr>
              <w:rPr>
                <w:rFonts w:ascii="Times New Roman" w:hAnsi="Times New Roman" w:eastAsia="仿宋_GB2312"/>
                <w:color w:val="auto"/>
                <w:sz w:val="30"/>
                <w:szCs w:val="30"/>
                <w:highlight w:val="none"/>
              </w:rPr>
            </w:pPr>
          </w:p>
        </w:tc>
        <w:tc>
          <w:tcPr>
            <w:tcW w:w="851" w:type="dxa"/>
            <w:noWrap w:val="0"/>
            <w:vAlign w:val="top"/>
          </w:tcPr>
          <w:p w14:paraId="73384B41">
            <w:pPr>
              <w:rPr>
                <w:rFonts w:ascii="Times New Roman" w:hAnsi="Times New Roman" w:eastAsia="仿宋_GB2312"/>
                <w:color w:val="auto"/>
                <w:sz w:val="30"/>
                <w:szCs w:val="30"/>
                <w:highlight w:val="none"/>
              </w:rPr>
            </w:pPr>
          </w:p>
        </w:tc>
        <w:tc>
          <w:tcPr>
            <w:tcW w:w="1276" w:type="dxa"/>
            <w:noWrap w:val="0"/>
            <w:vAlign w:val="top"/>
          </w:tcPr>
          <w:p w14:paraId="6EB73B8A">
            <w:pPr>
              <w:rPr>
                <w:rFonts w:ascii="Times New Roman" w:hAnsi="Times New Roman" w:eastAsia="仿宋_GB2312"/>
                <w:color w:val="auto"/>
                <w:sz w:val="30"/>
                <w:szCs w:val="30"/>
                <w:highlight w:val="none"/>
              </w:rPr>
            </w:pPr>
          </w:p>
        </w:tc>
        <w:tc>
          <w:tcPr>
            <w:tcW w:w="1275" w:type="dxa"/>
            <w:noWrap w:val="0"/>
            <w:vAlign w:val="top"/>
          </w:tcPr>
          <w:p w14:paraId="7584178D">
            <w:pPr>
              <w:rPr>
                <w:rFonts w:ascii="Times New Roman" w:hAnsi="Times New Roman" w:eastAsia="仿宋_GB2312"/>
                <w:color w:val="auto"/>
                <w:sz w:val="30"/>
                <w:szCs w:val="30"/>
                <w:highlight w:val="none"/>
              </w:rPr>
            </w:pPr>
          </w:p>
        </w:tc>
        <w:tc>
          <w:tcPr>
            <w:tcW w:w="992" w:type="dxa"/>
            <w:noWrap w:val="0"/>
            <w:vAlign w:val="top"/>
          </w:tcPr>
          <w:p w14:paraId="2DC14154">
            <w:pPr>
              <w:rPr>
                <w:rFonts w:ascii="Times New Roman" w:hAnsi="Times New Roman" w:eastAsia="仿宋_GB2312"/>
                <w:color w:val="auto"/>
                <w:sz w:val="30"/>
                <w:szCs w:val="30"/>
                <w:highlight w:val="none"/>
              </w:rPr>
            </w:pPr>
          </w:p>
        </w:tc>
      </w:tr>
    </w:tbl>
    <w:p w14:paraId="61C2236F">
      <w:pPr>
        <w:spacing w:before="120" w:beforeLines="50" w:after="120" w:afterLines="50" w:line="440" w:lineRule="exact"/>
        <w:jc w:val="left"/>
        <w:rPr>
          <w:rFonts w:ascii="宋体" w:hAnsi="宋体"/>
          <w:color w:val="auto"/>
          <w:sz w:val="24"/>
          <w:szCs w:val="24"/>
          <w:highlight w:val="none"/>
        </w:rPr>
      </w:pPr>
      <w:r>
        <w:rPr>
          <w:rFonts w:ascii="宋体" w:hAnsi="宋体"/>
          <w:color w:val="auto"/>
          <w:sz w:val="24"/>
          <w:szCs w:val="24"/>
          <w:highlight w:val="none"/>
        </w:rPr>
        <w:t>附</w:t>
      </w:r>
      <w:bookmarkStart w:id="2253" w:name="_Toc296891268"/>
      <w:bookmarkStart w:id="2254" w:name="_Toc296891056"/>
      <w:bookmarkStart w:id="2255" w:name="_Toc296346729"/>
      <w:bookmarkStart w:id="2256" w:name="_Toc296503228"/>
      <w:bookmarkStart w:id="2257" w:name="_Toc267261699"/>
      <w:bookmarkStart w:id="2258" w:name="_Toc296944567"/>
      <w:bookmarkStart w:id="2259" w:name="_Toc296347227"/>
      <w:r>
        <w:rPr>
          <w:rFonts w:ascii="宋体" w:hAnsi="宋体"/>
          <w:color w:val="auto"/>
          <w:sz w:val="24"/>
          <w:szCs w:val="24"/>
          <w:highlight w:val="none"/>
        </w:rPr>
        <w:t>件6：</w:t>
      </w:r>
    </w:p>
    <w:bookmarkEnd w:id="2253"/>
    <w:bookmarkEnd w:id="2254"/>
    <w:bookmarkEnd w:id="2255"/>
    <w:bookmarkEnd w:id="2256"/>
    <w:bookmarkEnd w:id="2257"/>
    <w:bookmarkEnd w:id="2258"/>
    <w:bookmarkEnd w:id="2259"/>
    <w:p w14:paraId="61B31600">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承包人主要施工管理人员表</w:t>
      </w:r>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EF061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49A06023">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名    称</w:t>
            </w:r>
          </w:p>
        </w:tc>
        <w:tc>
          <w:tcPr>
            <w:tcW w:w="1418" w:type="dxa"/>
            <w:tcBorders>
              <w:top w:val="single" w:color="auto" w:sz="12" w:space="0"/>
              <w:bottom w:val="double" w:color="auto" w:sz="6" w:space="0"/>
            </w:tcBorders>
            <w:noWrap w:val="0"/>
            <w:vAlign w:val="center"/>
          </w:tcPr>
          <w:p w14:paraId="228EF671">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姓名</w:t>
            </w:r>
          </w:p>
        </w:tc>
        <w:tc>
          <w:tcPr>
            <w:tcW w:w="1134" w:type="dxa"/>
            <w:tcBorders>
              <w:top w:val="single" w:color="auto" w:sz="12" w:space="0"/>
              <w:bottom w:val="double" w:color="auto" w:sz="6" w:space="0"/>
            </w:tcBorders>
            <w:noWrap w:val="0"/>
            <w:vAlign w:val="center"/>
          </w:tcPr>
          <w:p w14:paraId="2FD9E83F">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职务</w:t>
            </w:r>
          </w:p>
        </w:tc>
        <w:tc>
          <w:tcPr>
            <w:tcW w:w="1134" w:type="dxa"/>
            <w:tcBorders>
              <w:top w:val="single" w:color="auto" w:sz="12" w:space="0"/>
              <w:bottom w:val="double" w:color="auto" w:sz="6" w:space="0"/>
            </w:tcBorders>
            <w:noWrap w:val="0"/>
            <w:vAlign w:val="center"/>
          </w:tcPr>
          <w:p w14:paraId="31E3937B">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职称</w:t>
            </w:r>
          </w:p>
        </w:tc>
        <w:tc>
          <w:tcPr>
            <w:tcW w:w="4252" w:type="dxa"/>
            <w:tcBorders>
              <w:top w:val="single" w:color="auto" w:sz="12" w:space="0"/>
              <w:bottom w:val="double" w:color="auto" w:sz="6" w:space="0"/>
            </w:tcBorders>
            <w:noWrap w:val="0"/>
            <w:vAlign w:val="center"/>
          </w:tcPr>
          <w:p w14:paraId="2B8C80F1">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主要资历、经验及承担过的项目</w:t>
            </w:r>
          </w:p>
        </w:tc>
      </w:tr>
      <w:tr w14:paraId="084E6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EDF2E71">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一、总部人员</w:t>
            </w:r>
          </w:p>
        </w:tc>
      </w:tr>
      <w:tr w14:paraId="6E4DE7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00E97B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项目主管</w:t>
            </w:r>
          </w:p>
        </w:tc>
        <w:tc>
          <w:tcPr>
            <w:tcW w:w="1418" w:type="dxa"/>
            <w:tcBorders>
              <w:top w:val="nil"/>
            </w:tcBorders>
            <w:noWrap w:val="0"/>
            <w:vAlign w:val="center"/>
          </w:tcPr>
          <w:p w14:paraId="73CBED29">
            <w:pPr>
              <w:keepNext/>
              <w:spacing w:line="440" w:lineRule="exact"/>
              <w:ind w:left="63" w:right="63"/>
              <w:jc w:val="center"/>
              <w:rPr>
                <w:rFonts w:ascii="宋体" w:hAnsi="宋体"/>
                <w:color w:val="auto"/>
                <w:szCs w:val="21"/>
                <w:highlight w:val="none"/>
              </w:rPr>
            </w:pPr>
          </w:p>
        </w:tc>
        <w:tc>
          <w:tcPr>
            <w:tcW w:w="1134" w:type="dxa"/>
            <w:tcBorders>
              <w:top w:val="nil"/>
            </w:tcBorders>
            <w:noWrap w:val="0"/>
            <w:vAlign w:val="center"/>
          </w:tcPr>
          <w:p w14:paraId="030E0C16">
            <w:pPr>
              <w:keepNext/>
              <w:spacing w:line="440" w:lineRule="exact"/>
              <w:ind w:left="63" w:right="63"/>
              <w:jc w:val="center"/>
              <w:rPr>
                <w:rFonts w:ascii="宋体" w:hAnsi="宋体"/>
                <w:color w:val="auto"/>
                <w:szCs w:val="21"/>
                <w:highlight w:val="none"/>
              </w:rPr>
            </w:pPr>
          </w:p>
        </w:tc>
        <w:tc>
          <w:tcPr>
            <w:tcW w:w="1134" w:type="dxa"/>
            <w:tcBorders>
              <w:top w:val="nil"/>
            </w:tcBorders>
            <w:noWrap w:val="0"/>
            <w:vAlign w:val="center"/>
          </w:tcPr>
          <w:p w14:paraId="08F09125">
            <w:pPr>
              <w:keepNext/>
              <w:spacing w:line="440" w:lineRule="exact"/>
              <w:ind w:left="63" w:right="63"/>
              <w:jc w:val="center"/>
              <w:rPr>
                <w:rFonts w:ascii="宋体" w:hAnsi="宋体"/>
                <w:color w:val="auto"/>
                <w:szCs w:val="21"/>
                <w:highlight w:val="none"/>
              </w:rPr>
            </w:pPr>
          </w:p>
        </w:tc>
        <w:tc>
          <w:tcPr>
            <w:tcW w:w="4252" w:type="dxa"/>
            <w:tcBorders>
              <w:top w:val="nil"/>
            </w:tcBorders>
            <w:noWrap w:val="0"/>
            <w:vAlign w:val="center"/>
          </w:tcPr>
          <w:p w14:paraId="1CD4B716">
            <w:pPr>
              <w:keepNext/>
              <w:spacing w:line="440" w:lineRule="exact"/>
              <w:ind w:left="63" w:right="63"/>
              <w:jc w:val="center"/>
              <w:rPr>
                <w:rFonts w:ascii="宋体" w:hAnsi="宋体"/>
                <w:color w:val="auto"/>
                <w:szCs w:val="21"/>
                <w:highlight w:val="none"/>
              </w:rPr>
            </w:pPr>
          </w:p>
        </w:tc>
      </w:tr>
      <w:tr w14:paraId="77651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39694614">
            <w:pPr>
              <w:keepNext/>
              <w:spacing w:line="440" w:lineRule="exact"/>
              <w:ind w:left="63" w:right="63"/>
              <w:jc w:val="center"/>
              <w:rPr>
                <w:rFonts w:ascii="宋体" w:hAnsi="宋体"/>
                <w:color w:val="auto"/>
                <w:szCs w:val="21"/>
                <w:highlight w:val="none"/>
              </w:rPr>
            </w:pPr>
          </w:p>
        </w:tc>
        <w:tc>
          <w:tcPr>
            <w:tcW w:w="1418" w:type="dxa"/>
            <w:noWrap w:val="0"/>
            <w:vAlign w:val="center"/>
          </w:tcPr>
          <w:p w14:paraId="551B9977">
            <w:pPr>
              <w:keepNext/>
              <w:spacing w:line="440" w:lineRule="exact"/>
              <w:ind w:left="63" w:right="63"/>
              <w:jc w:val="center"/>
              <w:rPr>
                <w:rFonts w:ascii="宋体" w:hAnsi="宋体"/>
                <w:color w:val="auto"/>
                <w:szCs w:val="21"/>
                <w:highlight w:val="none"/>
              </w:rPr>
            </w:pPr>
          </w:p>
        </w:tc>
        <w:tc>
          <w:tcPr>
            <w:tcW w:w="1134" w:type="dxa"/>
            <w:noWrap w:val="0"/>
            <w:vAlign w:val="center"/>
          </w:tcPr>
          <w:p w14:paraId="0BACA79F">
            <w:pPr>
              <w:keepNext/>
              <w:spacing w:line="440" w:lineRule="exact"/>
              <w:ind w:left="63" w:right="63"/>
              <w:jc w:val="center"/>
              <w:rPr>
                <w:rFonts w:ascii="宋体" w:hAnsi="宋体"/>
                <w:color w:val="auto"/>
                <w:szCs w:val="21"/>
                <w:highlight w:val="none"/>
              </w:rPr>
            </w:pPr>
          </w:p>
        </w:tc>
        <w:tc>
          <w:tcPr>
            <w:tcW w:w="1134" w:type="dxa"/>
            <w:noWrap w:val="0"/>
            <w:vAlign w:val="center"/>
          </w:tcPr>
          <w:p w14:paraId="6A49B48D">
            <w:pPr>
              <w:keepNext/>
              <w:spacing w:line="440" w:lineRule="exact"/>
              <w:ind w:left="63" w:right="63"/>
              <w:jc w:val="center"/>
              <w:rPr>
                <w:rFonts w:ascii="宋体" w:hAnsi="宋体"/>
                <w:color w:val="auto"/>
                <w:szCs w:val="21"/>
                <w:highlight w:val="none"/>
              </w:rPr>
            </w:pPr>
          </w:p>
        </w:tc>
        <w:tc>
          <w:tcPr>
            <w:tcW w:w="4252" w:type="dxa"/>
            <w:noWrap w:val="0"/>
            <w:vAlign w:val="center"/>
          </w:tcPr>
          <w:p w14:paraId="6C5282D3">
            <w:pPr>
              <w:keepNext/>
              <w:spacing w:line="440" w:lineRule="exact"/>
              <w:ind w:left="63" w:right="63"/>
              <w:jc w:val="center"/>
              <w:rPr>
                <w:rFonts w:ascii="宋体" w:hAnsi="宋体"/>
                <w:color w:val="auto"/>
                <w:szCs w:val="21"/>
                <w:highlight w:val="none"/>
              </w:rPr>
            </w:pPr>
          </w:p>
        </w:tc>
      </w:tr>
      <w:tr w14:paraId="66139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4130767">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其他人员</w:t>
            </w:r>
          </w:p>
        </w:tc>
        <w:tc>
          <w:tcPr>
            <w:tcW w:w="1418" w:type="dxa"/>
            <w:noWrap w:val="0"/>
            <w:vAlign w:val="center"/>
          </w:tcPr>
          <w:p w14:paraId="44A71A2B">
            <w:pPr>
              <w:keepNext/>
              <w:spacing w:line="440" w:lineRule="exact"/>
              <w:ind w:left="63" w:right="63"/>
              <w:jc w:val="center"/>
              <w:rPr>
                <w:rFonts w:ascii="宋体" w:hAnsi="宋体"/>
                <w:color w:val="auto"/>
                <w:szCs w:val="21"/>
                <w:highlight w:val="none"/>
              </w:rPr>
            </w:pPr>
          </w:p>
        </w:tc>
        <w:tc>
          <w:tcPr>
            <w:tcW w:w="1134" w:type="dxa"/>
            <w:noWrap w:val="0"/>
            <w:vAlign w:val="center"/>
          </w:tcPr>
          <w:p w14:paraId="62F5C185">
            <w:pPr>
              <w:keepNext/>
              <w:spacing w:line="440" w:lineRule="exact"/>
              <w:ind w:left="63" w:right="63"/>
              <w:jc w:val="center"/>
              <w:rPr>
                <w:rFonts w:ascii="宋体" w:hAnsi="宋体"/>
                <w:color w:val="auto"/>
                <w:szCs w:val="21"/>
                <w:highlight w:val="none"/>
              </w:rPr>
            </w:pPr>
          </w:p>
        </w:tc>
        <w:tc>
          <w:tcPr>
            <w:tcW w:w="1134" w:type="dxa"/>
            <w:noWrap w:val="0"/>
            <w:vAlign w:val="center"/>
          </w:tcPr>
          <w:p w14:paraId="39036789">
            <w:pPr>
              <w:keepNext/>
              <w:spacing w:line="440" w:lineRule="exact"/>
              <w:ind w:left="63" w:right="63"/>
              <w:jc w:val="center"/>
              <w:rPr>
                <w:rFonts w:ascii="宋体" w:hAnsi="宋体"/>
                <w:color w:val="auto"/>
                <w:szCs w:val="21"/>
                <w:highlight w:val="none"/>
              </w:rPr>
            </w:pPr>
          </w:p>
        </w:tc>
        <w:tc>
          <w:tcPr>
            <w:tcW w:w="4252" w:type="dxa"/>
            <w:noWrap w:val="0"/>
            <w:vAlign w:val="center"/>
          </w:tcPr>
          <w:p w14:paraId="4CE39424">
            <w:pPr>
              <w:keepNext/>
              <w:spacing w:line="440" w:lineRule="exact"/>
              <w:ind w:left="63" w:right="63"/>
              <w:jc w:val="center"/>
              <w:rPr>
                <w:rFonts w:ascii="宋体" w:hAnsi="宋体"/>
                <w:color w:val="auto"/>
                <w:szCs w:val="21"/>
                <w:highlight w:val="none"/>
              </w:rPr>
            </w:pPr>
          </w:p>
        </w:tc>
      </w:tr>
      <w:tr w14:paraId="7D6F64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40E3924">
            <w:pPr>
              <w:keepNext/>
              <w:spacing w:line="440" w:lineRule="exact"/>
              <w:ind w:left="63" w:right="63"/>
              <w:jc w:val="center"/>
              <w:rPr>
                <w:rFonts w:ascii="宋体" w:hAnsi="宋体"/>
                <w:color w:val="auto"/>
                <w:szCs w:val="21"/>
                <w:highlight w:val="none"/>
              </w:rPr>
            </w:pPr>
          </w:p>
        </w:tc>
        <w:tc>
          <w:tcPr>
            <w:tcW w:w="1418" w:type="dxa"/>
            <w:noWrap w:val="0"/>
            <w:vAlign w:val="center"/>
          </w:tcPr>
          <w:p w14:paraId="7FC15252">
            <w:pPr>
              <w:keepNext/>
              <w:spacing w:line="440" w:lineRule="exact"/>
              <w:ind w:left="63" w:right="63"/>
              <w:jc w:val="center"/>
              <w:rPr>
                <w:rFonts w:ascii="宋体" w:hAnsi="宋体"/>
                <w:color w:val="auto"/>
                <w:szCs w:val="21"/>
                <w:highlight w:val="none"/>
              </w:rPr>
            </w:pPr>
          </w:p>
        </w:tc>
        <w:tc>
          <w:tcPr>
            <w:tcW w:w="1134" w:type="dxa"/>
            <w:noWrap w:val="0"/>
            <w:vAlign w:val="center"/>
          </w:tcPr>
          <w:p w14:paraId="11D8FBA7">
            <w:pPr>
              <w:keepNext/>
              <w:spacing w:line="440" w:lineRule="exact"/>
              <w:ind w:left="63" w:right="63"/>
              <w:jc w:val="center"/>
              <w:rPr>
                <w:rFonts w:ascii="宋体" w:hAnsi="宋体"/>
                <w:color w:val="auto"/>
                <w:szCs w:val="21"/>
                <w:highlight w:val="none"/>
              </w:rPr>
            </w:pPr>
          </w:p>
        </w:tc>
        <w:tc>
          <w:tcPr>
            <w:tcW w:w="1134" w:type="dxa"/>
            <w:noWrap w:val="0"/>
            <w:vAlign w:val="center"/>
          </w:tcPr>
          <w:p w14:paraId="1EFEABDE">
            <w:pPr>
              <w:keepNext/>
              <w:spacing w:line="440" w:lineRule="exact"/>
              <w:ind w:left="63" w:right="63"/>
              <w:jc w:val="center"/>
              <w:rPr>
                <w:rFonts w:ascii="宋体" w:hAnsi="宋体"/>
                <w:color w:val="auto"/>
                <w:szCs w:val="21"/>
                <w:highlight w:val="none"/>
              </w:rPr>
            </w:pPr>
          </w:p>
        </w:tc>
        <w:tc>
          <w:tcPr>
            <w:tcW w:w="4252" w:type="dxa"/>
            <w:noWrap w:val="0"/>
            <w:vAlign w:val="center"/>
          </w:tcPr>
          <w:p w14:paraId="5C6B1CE4">
            <w:pPr>
              <w:keepNext/>
              <w:spacing w:line="440" w:lineRule="exact"/>
              <w:ind w:left="63" w:right="63"/>
              <w:jc w:val="center"/>
              <w:rPr>
                <w:rFonts w:ascii="宋体" w:hAnsi="宋体"/>
                <w:color w:val="auto"/>
                <w:szCs w:val="21"/>
                <w:highlight w:val="none"/>
              </w:rPr>
            </w:pPr>
          </w:p>
        </w:tc>
      </w:tr>
      <w:tr w14:paraId="06E94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1C1A9280">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二、现场人员</w:t>
            </w:r>
          </w:p>
        </w:tc>
      </w:tr>
      <w:tr w14:paraId="58474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3CEE8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项目经理</w:t>
            </w:r>
          </w:p>
        </w:tc>
        <w:tc>
          <w:tcPr>
            <w:tcW w:w="1418" w:type="dxa"/>
            <w:noWrap w:val="0"/>
            <w:vAlign w:val="center"/>
          </w:tcPr>
          <w:p w14:paraId="17A25076">
            <w:pPr>
              <w:keepNext/>
              <w:spacing w:line="440" w:lineRule="exact"/>
              <w:ind w:left="63" w:right="63"/>
              <w:jc w:val="center"/>
              <w:rPr>
                <w:rFonts w:ascii="宋体" w:hAnsi="宋体"/>
                <w:color w:val="auto"/>
                <w:szCs w:val="21"/>
                <w:highlight w:val="none"/>
              </w:rPr>
            </w:pPr>
          </w:p>
        </w:tc>
        <w:tc>
          <w:tcPr>
            <w:tcW w:w="1134" w:type="dxa"/>
            <w:noWrap w:val="0"/>
            <w:vAlign w:val="center"/>
          </w:tcPr>
          <w:p w14:paraId="34EE3B02">
            <w:pPr>
              <w:keepNext/>
              <w:spacing w:line="440" w:lineRule="exact"/>
              <w:ind w:left="63" w:right="63"/>
              <w:jc w:val="center"/>
              <w:rPr>
                <w:rFonts w:ascii="宋体" w:hAnsi="宋体"/>
                <w:color w:val="auto"/>
                <w:szCs w:val="21"/>
                <w:highlight w:val="none"/>
              </w:rPr>
            </w:pPr>
          </w:p>
        </w:tc>
        <w:tc>
          <w:tcPr>
            <w:tcW w:w="1134" w:type="dxa"/>
            <w:noWrap w:val="0"/>
            <w:vAlign w:val="center"/>
          </w:tcPr>
          <w:p w14:paraId="354EDDDB">
            <w:pPr>
              <w:keepNext/>
              <w:spacing w:line="440" w:lineRule="exact"/>
              <w:ind w:left="63" w:right="63"/>
              <w:jc w:val="center"/>
              <w:rPr>
                <w:rFonts w:ascii="宋体" w:hAnsi="宋体"/>
                <w:color w:val="auto"/>
                <w:szCs w:val="21"/>
                <w:highlight w:val="none"/>
              </w:rPr>
            </w:pPr>
          </w:p>
        </w:tc>
        <w:tc>
          <w:tcPr>
            <w:tcW w:w="4252" w:type="dxa"/>
            <w:noWrap w:val="0"/>
            <w:vAlign w:val="center"/>
          </w:tcPr>
          <w:p w14:paraId="6ECB0263">
            <w:pPr>
              <w:keepNext/>
              <w:spacing w:line="440" w:lineRule="exact"/>
              <w:ind w:left="63" w:right="63"/>
              <w:jc w:val="center"/>
              <w:rPr>
                <w:rFonts w:ascii="宋体" w:hAnsi="宋体"/>
                <w:color w:val="auto"/>
                <w:szCs w:val="21"/>
                <w:highlight w:val="none"/>
              </w:rPr>
            </w:pPr>
          </w:p>
        </w:tc>
      </w:tr>
      <w:tr w14:paraId="46AE4D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BDCA113">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项目副经理</w:t>
            </w:r>
          </w:p>
        </w:tc>
        <w:tc>
          <w:tcPr>
            <w:tcW w:w="1418" w:type="dxa"/>
            <w:noWrap w:val="0"/>
            <w:vAlign w:val="center"/>
          </w:tcPr>
          <w:p w14:paraId="691DDAF6">
            <w:pPr>
              <w:keepNext/>
              <w:spacing w:line="440" w:lineRule="exact"/>
              <w:ind w:left="63" w:right="63"/>
              <w:jc w:val="center"/>
              <w:rPr>
                <w:rFonts w:ascii="宋体" w:hAnsi="宋体"/>
                <w:color w:val="auto"/>
                <w:szCs w:val="21"/>
                <w:highlight w:val="none"/>
              </w:rPr>
            </w:pPr>
          </w:p>
        </w:tc>
        <w:tc>
          <w:tcPr>
            <w:tcW w:w="1134" w:type="dxa"/>
            <w:noWrap w:val="0"/>
            <w:vAlign w:val="center"/>
          </w:tcPr>
          <w:p w14:paraId="5D037EC0">
            <w:pPr>
              <w:keepNext/>
              <w:spacing w:line="440" w:lineRule="exact"/>
              <w:ind w:left="63" w:right="63"/>
              <w:jc w:val="center"/>
              <w:rPr>
                <w:rFonts w:ascii="宋体" w:hAnsi="宋体"/>
                <w:color w:val="auto"/>
                <w:szCs w:val="21"/>
                <w:highlight w:val="none"/>
              </w:rPr>
            </w:pPr>
          </w:p>
        </w:tc>
        <w:tc>
          <w:tcPr>
            <w:tcW w:w="1134" w:type="dxa"/>
            <w:noWrap w:val="0"/>
            <w:vAlign w:val="center"/>
          </w:tcPr>
          <w:p w14:paraId="3B574553">
            <w:pPr>
              <w:keepNext/>
              <w:spacing w:line="440" w:lineRule="exact"/>
              <w:ind w:left="63" w:right="63"/>
              <w:jc w:val="center"/>
              <w:rPr>
                <w:rFonts w:ascii="宋体" w:hAnsi="宋体"/>
                <w:color w:val="auto"/>
                <w:szCs w:val="21"/>
                <w:highlight w:val="none"/>
              </w:rPr>
            </w:pPr>
          </w:p>
        </w:tc>
        <w:tc>
          <w:tcPr>
            <w:tcW w:w="4252" w:type="dxa"/>
            <w:noWrap w:val="0"/>
            <w:vAlign w:val="center"/>
          </w:tcPr>
          <w:p w14:paraId="5FF93D8D">
            <w:pPr>
              <w:keepNext/>
              <w:spacing w:line="440" w:lineRule="exact"/>
              <w:ind w:left="63" w:right="63"/>
              <w:jc w:val="center"/>
              <w:rPr>
                <w:rFonts w:ascii="宋体" w:hAnsi="宋体"/>
                <w:color w:val="auto"/>
                <w:szCs w:val="21"/>
                <w:highlight w:val="none"/>
              </w:rPr>
            </w:pPr>
          </w:p>
        </w:tc>
      </w:tr>
      <w:tr w14:paraId="6E2233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27E1D26">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技术负责人</w:t>
            </w:r>
          </w:p>
        </w:tc>
        <w:tc>
          <w:tcPr>
            <w:tcW w:w="1418" w:type="dxa"/>
            <w:noWrap w:val="0"/>
            <w:vAlign w:val="center"/>
          </w:tcPr>
          <w:p w14:paraId="4E7E140E">
            <w:pPr>
              <w:keepNext/>
              <w:spacing w:line="440" w:lineRule="exact"/>
              <w:ind w:left="63" w:right="63"/>
              <w:jc w:val="center"/>
              <w:rPr>
                <w:rFonts w:ascii="宋体" w:hAnsi="宋体"/>
                <w:color w:val="auto"/>
                <w:szCs w:val="21"/>
                <w:highlight w:val="none"/>
              </w:rPr>
            </w:pPr>
          </w:p>
        </w:tc>
        <w:tc>
          <w:tcPr>
            <w:tcW w:w="1134" w:type="dxa"/>
            <w:noWrap w:val="0"/>
            <w:vAlign w:val="center"/>
          </w:tcPr>
          <w:p w14:paraId="2CA2CCF2">
            <w:pPr>
              <w:keepNext/>
              <w:spacing w:line="440" w:lineRule="exact"/>
              <w:ind w:left="63" w:right="63"/>
              <w:jc w:val="center"/>
              <w:rPr>
                <w:rFonts w:ascii="宋体" w:hAnsi="宋体"/>
                <w:color w:val="auto"/>
                <w:szCs w:val="21"/>
                <w:highlight w:val="none"/>
              </w:rPr>
            </w:pPr>
          </w:p>
        </w:tc>
        <w:tc>
          <w:tcPr>
            <w:tcW w:w="1134" w:type="dxa"/>
            <w:noWrap w:val="0"/>
            <w:vAlign w:val="center"/>
          </w:tcPr>
          <w:p w14:paraId="2C659979">
            <w:pPr>
              <w:keepNext/>
              <w:spacing w:line="440" w:lineRule="exact"/>
              <w:ind w:left="63" w:right="63"/>
              <w:jc w:val="center"/>
              <w:rPr>
                <w:rFonts w:ascii="宋体" w:hAnsi="宋体"/>
                <w:color w:val="auto"/>
                <w:szCs w:val="21"/>
                <w:highlight w:val="none"/>
              </w:rPr>
            </w:pPr>
          </w:p>
        </w:tc>
        <w:tc>
          <w:tcPr>
            <w:tcW w:w="4252" w:type="dxa"/>
            <w:noWrap w:val="0"/>
            <w:vAlign w:val="center"/>
          </w:tcPr>
          <w:p w14:paraId="4D9BA53B">
            <w:pPr>
              <w:keepNext/>
              <w:spacing w:line="440" w:lineRule="exact"/>
              <w:ind w:left="63" w:right="63"/>
              <w:jc w:val="center"/>
              <w:rPr>
                <w:rFonts w:ascii="宋体" w:hAnsi="宋体"/>
                <w:color w:val="auto"/>
                <w:szCs w:val="21"/>
                <w:highlight w:val="none"/>
              </w:rPr>
            </w:pPr>
          </w:p>
        </w:tc>
      </w:tr>
      <w:tr w14:paraId="134CAA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F521882">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造价管理</w:t>
            </w:r>
          </w:p>
        </w:tc>
        <w:tc>
          <w:tcPr>
            <w:tcW w:w="1418" w:type="dxa"/>
            <w:noWrap w:val="0"/>
            <w:vAlign w:val="center"/>
          </w:tcPr>
          <w:p w14:paraId="1FFAAC8B">
            <w:pPr>
              <w:keepNext/>
              <w:spacing w:line="440" w:lineRule="exact"/>
              <w:ind w:left="63" w:right="63"/>
              <w:jc w:val="center"/>
              <w:rPr>
                <w:rFonts w:ascii="宋体" w:hAnsi="宋体"/>
                <w:color w:val="auto"/>
                <w:szCs w:val="21"/>
                <w:highlight w:val="none"/>
              </w:rPr>
            </w:pPr>
          </w:p>
        </w:tc>
        <w:tc>
          <w:tcPr>
            <w:tcW w:w="1134" w:type="dxa"/>
            <w:noWrap w:val="0"/>
            <w:vAlign w:val="center"/>
          </w:tcPr>
          <w:p w14:paraId="2BB08E84">
            <w:pPr>
              <w:keepNext/>
              <w:spacing w:line="440" w:lineRule="exact"/>
              <w:ind w:left="63" w:right="63"/>
              <w:jc w:val="center"/>
              <w:rPr>
                <w:rFonts w:ascii="宋体" w:hAnsi="宋体"/>
                <w:color w:val="auto"/>
                <w:szCs w:val="21"/>
                <w:highlight w:val="none"/>
              </w:rPr>
            </w:pPr>
          </w:p>
        </w:tc>
        <w:tc>
          <w:tcPr>
            <w:tcW w:w="1134" w:type="dxa"/>
            <w:noWrap w:val="0"/>
            <w:vAlign w:val="center"/>
          </w:tcPr>
          <w:p w14:paraId="7DA4320F">
            <w:pPr>
              <w:keepNext/>
              <w:spacing w:line="440" w:lineRule="exact"/>
              <w:ind w:left="63" w:right="63"/>
              <w:jc w:val="center"/>
              <w:rPr>
                <w:rFonts w:ascii="宋体" w:hAnsi="宋体"/>
                <w:color w:val="auto"/>
                <w:szCs w:val="21"/>
                <w:highlight w:val="none"/>
              </w:rPr>
            </w:pPr>
          </w:p>
        </w:tc>
        <w:tc>
          <w:tcPr>
            <w:tcW w:w="4252" w:type="dxa"/>
            <w:noWrap w:val="0"/>
            <w:vAlign w:val="center"/>
          </w:tcPr>
          <w:p w14:paraId="54B7869A">
            <w:pPr>
              <w:keepNext/>
              <w:spacing w:line="440" w:lineRule="exact"/>
              <w:ind w:left="63" w:right="63"/>
              <w:jc w:val="center"/>
              <w:rPr>
                <w:rFonts w:ascii="宋体" w:hAnsi="宋体"/>
                <w:color w:val="auto"/>
                <w:szCs w:val="21"/>
                <w:highlight w:val="none"/>
              </w:rPr>
            </w:pPr>
          </w:p>
        </w:tc>
      </w:tr>
      <w:tr w14:paraId="6E480A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93925A4">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质量管理</w:t>
            </w:r>
          </w:p>
        </w:tc>
        <w:tc>
          <w:tcPr>
            <w:tcW w:w="1418" w:type="dxa"/>
            <w:noWrap w:val="0"/>
            <w:vAlign w:val="center"/>
          </w:tcPr>
          <w:p w14:paraId="1224EAF6">
            <w:pPr>
              <w:keepNext/>
              <w:spacing w:line="440" w:lineRule="exact"/>
              <w:ind w:left="63" w:right="63"/>
              <w:jc w:val="center"/>
              <w:rPr>
                <w:rFonts w:ascii="宋体" w:hAnsi="宋体"/>
                <w:color w:val="auto"/>
                <w:szCs w:val="21"/>
                <w:highlight w:val="none"/>
              </w:rPr>
            </w:pPr>
          </w:p>
        </w:tc>
        <w:tc>
          <w:tcPr>
            <w:tcW w:w="1134" w:type="dxa"/>
            <w:noWrap w:val="0"/>
            <w:vAlign w:val="center"/>
          </w:tcPr>
          <w:p w14:paraId="132BB4AC">
            <w:pPr>
              <w:keepNext/>
              <w:spacing w:line="440" w:lineRule="exact"/>
              <w:ind w:left="63" w:right="63"/>
              <w:jc w:val="center"/>
              <w:rPr>
                <w:rFonts w:ascii="宋体" w:hAnsi="宋体"/>
                <w:color w:val="auto"/>
                <w:szCs w:val="21"/>
                <w:highlight w:val="none"/>
              </w:rPr>
            </w:pPr>
          </w:p>
        </w:tc>
        <w:tc>
          <w:tcPr>
            <w:tcW w:w="1134" w:type="dxa"/>
            <w:noWrap w:val="0"/>
            <w:vAlign w:val="center"/>
          </w:tcPr>
          <w:p w14:paraId="662E6E50">
            <w:pPr>
              <w:keepNext/>
              <w:spacing w:line="440" w:lineRule="exact"/>
              <w:ind w:left="63" w:right="63"/>
              <w:jc w:val="center"/>
              <w:rPr>
                <w:rFonts w:ascii="宋体" w:hAnsi="宋体"/>
                <w:color w:val="auto"/>
                <w:szCs w:val="21"/>
                <w:highlight w:val="none"/>
              </w:rPr>
            </w:pPr>
          </w:p>
        </w:tc>
        <w:tc>
          <w:tcPr>
            <w:tcW w:w="4252" w:type="dxa"/>
            <w:noWrap w:val="0"/>
            <w:vAlign w:val="center"/>
          </w:tcPr>
          <w:p w14:paraId="35E4AA68">
            <w:pPr>
              <w:keepNext/>
              <w:spacing w:line="440" w:lineRule="exact"/>
              <w:ind w:left="63" w:right="63"/>
              <w:jc w:val="center"/>
              <w:rPr>
                <w:rFonts w:ascii="宋体" w:hAnsi="宋体"/>
                <w:color w:val="auto"/>
                <w:szCs w:val="21"/>
                <w:highlight w:val="none"/>
              </w:rPr>
            </w:pPr>
          </w:p>
        </w:tc>
      </w:tr>
      <w:tr w14:paraId="199DB0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600B743">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材料管理</w:t>
            </w:r>
          </w:p>
        </w:tc>
        <w:tc>
          <w:tcPr>
            <w:tcW w:w="1418" w:type="dxa"/>
            <w:noWrap w:val="0"/>
            <w:vAlign w:val="center"/>
          </w:tcPr>
          <w:p w14:paraId="3B0B1755">
            <w:pPr>
              <w:keepNext/>
              <w:spacing w:line="440" w:lineRule="exact"/>
              <w:ind w:left="63" w:right="63"/>
              <w:jc w:val="center"/>
              <w:rPr>
                <w:rFonts w:ascii="宋体" w:hAnsi="宋体"/>
                <w:color w:val="auto"/>
                <w:szCs w:val="21"/>
                <w:highlight w:val="none"/>
              </w:rPr>
            </w:pPr>
          </w:p>
        </w:tc>
        <w:tc>
          <w:tcPr>
            <w:tcW w:w="1134" w:type="dxa"/>
            <w:noWrap w:val="0"/>
            <w:vAlign w:val="center"/>
          </w:tcPr>
          <w:p w14:paraId="6C3BA783">
            <w:pPr>
              <w:keepNext/>
              <w:spacing w:line="440" w:lineRule="exact"/>
              <w:ind w:left="63" w:right="63"/>
              <w:jc w:val="center"/>
              <w:rPr>
                <w:rFonts w:ascii="宋体" w:hAnsi="宋体"/>
                <w:color w:val="auto"/>
                <w:szCs w:val="21"/>
                <w:highlight w:val="none"/>
              </w:rPr>
            </w:pPr>
          </w:p>
        </w:tc>
        <w:tc>
          <w:tcPr>
            <w:tcW w:w="1134" w:type="dxa"/>
            <w:noWrap w:val="0"/>
            <w:vAlign w:val="center"/>
          </w:tcPr>
          <w:p w14:paraId="45D89F28">
            <w:pPr>
              <w:keepNext/>
              <w:spacing w:line="440" w:lineRule="exact"/>
              <w:ind w:left="63" w:right="63"/>
              <w:jc w:val="center"/>
              <w:rPr>
                <w:rFonts w:ascii="宋体" w:hAnsi="宋体"/>
                <w:color w:val="auto"/>
                <w:szCs w:val="21"/>
                <w:highlight w:val="none"/>
              </w:rPr>
            </w:pPr>
          </w:p>
        </w:tc>
        <w:tc>
          <w:tcPr>
            <w:tcW w:w="4252" w:type="dxa"/>
            <w:noWrap w:val="0"/>
            <w:vAlign w:val="center"/>
          </w:tcPr>
          <w:p w14:paraId="61B6F410">
            <w:pPr>
              <w:keepNext/>
              <w:spacing w:line="440" w:lineRule="exact"/>
              <w:ind w:left="63" w:right="63"/>
              <w:jc w:val="center"/>
              <w:rPr>
                <w:rFonts w:ascii="宋体" w:hAnsi="宋体"/>
                <w:color w:val="auto"/>
                <w:szCs w:val="21"/>
                <w:highlight w:val="none"/>
              </w:rPr>
            </w:pPr>
          </w:p>
        </w:tc>
      </w:tr>
      <w:tr w14:paraId="6D844D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1C4CDD1">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计划管理</w:t>
            </w:r>
          </w:p>
        </w:tc>
        <w:tc>
          <w:tcPr>
            <w:tcW w:w="1418" w:type="dxa"/>
            <w:noWrap w:val="0"/>
            <w:vAlign w:val="center"/>
          </w:tcPr>
          <w:p w14:paraId="6CF92E0A">
            <w:pPr>
              <w:keepNext/>
              <w:spacing w:line="440" w:lineRule="exact"/>
              <w:ind w:left="63" w:right="63"/>
              <w:jc w:val="center"/>
              <w:rPr>
                <w:rFonts w:ascii="宋体" w:hAnsi="宋体"/>
                <w:color w:val="auto"/>
                <w:szCs w:val="21"/>
                <w:highlight w:val="none"/>
              </w:rPr>
            </w:pPr>
          </w:p>
        </w:tc>
        <w:tc>
          <w:tcPr>
            <w:tcW w:w="1134" w:type="dxa"/>
            <w:noWrap w:val="0"/>
            <w:vAlign w:val="center"/>
          </w:tcPr>
          <w:p w14:paraId="1B1AB912">
            <w:pPr>
              <w:keepNext/>
              <w:spacing w:line="440" w:lineRule="exact"/>
              <w:ind w:left="63" w:right="63"/>
              <w:jc w:val="center"/>
              <w:rPr>
                <w:rFonts w:ascii="宋体" w:hAnsi="宋体"/>
                <w:color w:val="auto"/>
                <w:szCs w:val="21"/>
                <w:highlight w:val="none"/>
              </w:rPr>
            </w:pPr>
          </w:p>
        </w:tc>
        <w:tc>
          <w:tcPr>
            <w:tcW w:w="1134" w:type="dxa"/>
            <w:noWrap w:val="0"/>
            <w:vAlign w:val="center"/>
          </w:tcPr>
          <w:p w14:paraId="4F94F269">
            <w:pPr>
              <w:keepNext/>
              <w:spacing w:line="440" w:lineRule="exact"/>
              <w:ind w:left="63" w:right="63"/>
              <w:jc w:val="center"/>
              <w:rPr>
                <w:rFonts w:ascii="宋体" w:hAnsi="宋体"/>
                <w:color w:val="auto"/>
                <w:szCs w:val="21"/>
                <w:highlight w:val="none"/>
              </w:rPr>
            </w:pPr>
          </w:p>
        </w:tc>
        <w:tc>
          <w:tcPr>
            <w:tcW w:w="4252" w:type="dxa"/>
            <w:noWrap w:val="0"/>
            <w:vAlign w:val="center"/>
          </w:tcPr>
          <w:p w14:paraId="617C9101">
            <w:pPr>
              <w:keepNext/>
              <w:spacing w:line="440" w:lineRule="exact"/>
              <w:ind w:left="63" w:right="63"/>
              <w:jc w:val="center"/>
              <w:rPr>
                <w:rFonts w:ascii="宋体" w:hAnsi="宋体"/>
                <w:color w:val="auto"/>
                <w:szCs w:val="21"/>
                <w:highlight w:val="none"/>
              </w:rPr>
            </w:pPr>
          </w:p>
        </w:tc>
      </w:tr>
      <w:tr w14:paraId="5B200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5AFFB04">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安全管理</w:t>
            </w:r>
          </w:p>
        </w:tc>
        <w:tc>
          <w:tcPr>
            <w:tcW w:w="1418" w:type="dxa"/>
            <w:noWrap w:val="0"/>
            <w:vAlign w:val="center"/>
          </w:tcPr>
          <w:p w14:paraId="21A51FBA">
            <w:pPr>
              <w:keepNext/>
              <w:spacing w:line="440" w:lineRule="exact"/>
              <w:ind w:left="63" w:right="63"/>
              <w:jc w:val="center"/>
              <w:rPr>
                <w:rFonts w:ascii="宋体" w:hAnsi="宋体"/>
                <w:color w:val="auto"/>
                <w:szCs w:val="21"/>
                <w:highlight w:val="none"/>
              </w:rPr>
            </w:pPr>
          </w:p>
        </w:tc>
        <w:tc>
          <w:tcPr>
            <w:tcW w:w="1134" w:type="dxa"/>
            <w:noWrap w:val="0"/>
            <w:vAlign w:val="center"/>
          </w:tcPr>
          <w:p w14:paraId="03222D72">
            <w:pPr>
              <w:keepNext/>
              <w:spacing w:line="440" w:lineRule="exact"/>
              <w:ind w:left="63" w:right="63"/>
              <w:jc w:val="center"/>
              <w:rPr>
                <w:rFonts w:ascii="宋体" w:hAnsi="宋体"/>
                <w:color w:val="auto"/>
                <w:szCs w:val="21"/>
                <w:highlight w:val="none"/>
              </w:rPr>
            </w:pPr>
          </w:p>
        </w:tc>
        <w:tc>
          <w:tcPr>
            <w:tcW w:w="1134" w:type="dxa"/>
            <w:noWrap w:val="0"/>
            <w:vAlign w:val="center"/>
          </w:tcPr>
          <w:p w14:paraId="02B508C1">
            <w:pPr>
              <w:keepNext/>
              <w:spacing w:line="440" w:lineRule="exact"/>
              <w:ind w:left="63" w:right="63"/>
              <w:jc w:val="center"/>
              <w:rPr>
                <w:rFonts w:ascii="宋体" w:hAnsi="宋体"/>
                <w:color w:val="auto"/>
                <w:szCs w:val="21"/>
                <w:highlight w:val="none"/>
              </w:rPr>
            </w:pPr>
          </w:p>
        </w:tc>
        <w:tc>
          <w:tcPr>
            <w:tcW w:w="4252" w:type="dxa"/>
            <w:noWrap w:val="0"/>
            <w:vAlign w:val="center"/>
          </w:tcPr>
          <w:p w14:paraId="4346104E">
            <w:pPr>
              <w:keepNext/>
              <w:spacing w:line="440" w:lineRule="exact"/>
              <w:ind w:left="63" w:right="63"/>
              <w:jc w:val="center"/>
              <w:rPr>
                <w:rFonts w:ascii="宋体" w:hAnsi="宋体"/>
                <w:color w:val="auto"/>
                <w:szCs w:val="21"/>
                <w:highlight w:val="none"/>
              </w:rPr>
            </w:pPr>
          </w:p>
        </w:tc>
      </w:tr>
      <w:tr w14:paraId="2BDD86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7713062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其他人员</w:t>
            </w:r>
          </w:p>
        </w:tc>
        <w:tc>
          <w:tcPr>
            <w:tcW w:w="1418" w:type="dxa"/>
            <w:noWrap w:val="0"/>
            <w:vAlign w:val="center"/>
          </w:tcPr>
          <w:p w14:paraId="2177D453">
            <w:pPr>
              <w:keepNext/>
              <w:spacing w:line="440" w:lineRule="exact"/>
              <w:ind w:left="63" w:right="63"/>
              <w:jc w:val="center"/>
              <w:rPr>
                <w:rFonts w:ascii="宋体" w:hAnsi="宋体"/>
                <w:color w:val="auto"/>
                <w:szCs w:val="21"/>
                <w:highlight w:val="none"/>
              </w:rPr>
            </w:pPr>
          </w:p>
        </w:tc>
        <w:tc>
          <w:tcPr>
            <w:tcW w:w="1134" w:type="dxa"/>
            <w:noWrap w:val="0"/>
            <w:vAlign w:val="center"/>
          </w:tcPr>
          <w:p w14:paraId="5F2BB242">
            <w:pPr>
              <w:keepNext/>
              <w:spacing w:line="440" w:lineRule="exact"/>
              <w:ind w:left="63" w:right="63"/>
              <w:jc w:val="center"/>
              <w:rPr>
                <w:rFonts w:ascii="宋体" w:hAnsi="宋体"/>
                <w:color w:val="auto"/>
                <w:szCs w:val="21"/>
                <w:highlight w:val="none"/>
              </w:rPr>
            </w:pPr>
          </w:p>
        </w:tc>
        <w:tc>
          <w:tcPr>
            <w:tcW w:w="1134" w:type="dxa"/>
            <w:noWrap w:val="0"/>
            <w:vAlign w:val="center"/>
          </w:tcPr>
          <w:p w14:paraId="35945929">
            <w:pPr>
              <w:keepNext/>
              <w:spacing w:line="440" w:lineRule="exact"/>
              <w:ind w:left="63" w:right="63"/>
              <w:jc w:val="center"/>
              <w:rPr>
                <w:rFonts w:ascii="宋体" w:hAnsi="宋体"/>
                <w:color w:val="auto"/>
                <w:szCs w:val="21"/>
                <w:highlight w:val="none"/>
              </w:rPr>
            </w:pPr>
          </w:p>
        </w:tc>
        <w:tc>
          <w:tcPr>
            <w:tcW w:w="4252" w:type="dxa"/>
            <w:noWrap w:val="0"/>
            <w:vAlign w:val="center"/>
          </w:tcPr>
          <w:p w14:paraId="0823B7A7">
            <w:pPr>
              <w:keepNext/>
              <w:spacing w:line="440" w:lineRule="exact"/>
              <w:ind w:left="63" w:right="63"/>
              <w:jc w:val="center"/>
              <w:rPr>
                <w:rFonts w:ascii="宋体" w:hAnsi="宋体"/>
                <w:color w:val="auto"/>
                <w:szCs w:val="21"/>
                <w:highlight w:val="none"/>
              </w:rPr>
            </w:pPr>
          </w:p>
        </w:tc>
      </w:tr>
      <w:tr w14:paraId="45BE5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5D25376">
            <w:pPr>
              <w:keepNext/>
              <w:spacing w:line="440" w:lineRule="exact"/>
              <w:ind w:left="63" w:right="63"/>
              <w:jc w:val="center"/>
              <w:rPr>
                <w:rFonts w:ascii="宋体" w:hAnsi="宋体"/>
                <w:color w:val="auto"/>
                <w:szCs w:val="21"/>
                <w:highlight w:val="none"/>
              </w:rPr>
            </w:pPr>
          </w:p>
        </w:tc>
        <w:tc>
          <w:tcPr>
            <w:tcW w:w="1418" w:type="dxa"/>
            <w:tcBorders>
              <w:bottom w:val="nil"/>
            </w:tcBorders>
            <w:noWrap w:val="0"/>
            <w:vAlign w:val="center"/>
          </w:tcPr>
          <w:p w14:paraId="6093F59C">
            <w:pPr>
              <w:keepNext/>
              <w:spacing w:line="440" w:lineRule="exact"/>
              <w:ind w:left="63" w:right="63"/>
              <w:jc w:val="center"/>
              <w:rPr>
                <w:rFonts w:ascii="宋体" w:hAnsi="宋体"/>
                <w:color w:val="auto"/>
                <w:szCs w:val="21"/>
                <w:highlight w:val="none"/>
              </w:rPr>
            </w:pPr>
          </w:p>
        </w:tc>
        <w:tc>
          <w:tcPr>
            <w:tcW w:w="1134" w:type="dxa"/>
            <w:tcBorders>
              <w:bottom w:val="nil"/>
            </w:tcBorders>
            <w:noWrap w:val="0"/>
            <w:vAlign w:val="center"/>
          </w:tcPr>
          <w:p w14:paraId="2C7A801E">
            <w:pPr>
              <w:keepNext/>
              <w:spacing w:line="440" w:lineRule="exact"/>
              <w:ind w:left="63" w:right="63"/>
              <w:jc w:val="center"/>
              <w:rPr>
                <w:rFonts w:ascii="宋体" w:hAnsi="宋体"/>
                <w:color w:val="auto"/>
                <w:szCs w:val="21"/>
                <w:highlight w:val="none"/>
              </w:rPr>
            </w:pPr>
          </w:p>
        </w:tc>
        <w:tc>
          <w:tcPr>
            <w:tcW w:w="1134" w:type="dxa"/>
            <w:tcBorders>
              <w:bottom w:val="nil"/>
            </w:tcBorders>
            <w:noWrap w:val="0"/>
            <w:vAlign w:val="center"/>
          </w:tcPr>
          <w:p w14:paraId="7B534D05">
            <w:pPr>
              <w:keepNext/>
              <w:spacing w:line="440" w:lineRule="exact"/>
              <w:ind w:left="63" w:right="63"/>
              <w:jc w:val="center"/>
              <w:rPr>
                <w:rFonts w:ascii="宋体" w:hAnsi="宋体"/>
                <w:color w:val="auto"/>
                <w:szCs w:val="21"/>
                <w:highlight w:val="none"/>
              </w:rPr>
            </w:pPr>
          </w:p>
        </w:tc>
        <w:tc>
          <w:tcPr>
            <w:tcW w:w="4252" w:type="dxa"/>
            <w:tcBorders>
              <w:bottom w:val="nil"/>
            </w:tcBorders>
            <w:noWrap w:val="0"/>
            <w:vAlign w:val="center"/>
          </w:tcPr>
          <w:p w14:paraId="17E1B161">
            <w:pPr>
              <w:keepNext/>
              <w:spacing w:line="440" w:lineRule="exact"/>
              <w:ind w:left="63" w:right="63"/>
              <w:jc w:val="center"/>
              <w:rPr>
                <w:rFonts w:ascii="宋体" w:hAnsi="宋体"/>
                <w:color w:val="auto"/>
                <w:szCs w:val="21"/>
                <w:highlight w:val="none"/>
              </w:rPr>
            </w:pPr>
          </w:p>
        </w:tc>
      </w:tr>
      <w:tr w14:paraId="77EC7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D1F8E9E">
            <w:pPr>
              <w:keepNext/>
              <w:spacing w:line="440" w:lineRule="exact"/>
              <w:ind w:left="63" w:right="63"/>
              <w:jc w:val="center"/>
              <w:rPr>
                <w:rFonts w:ascii="宋体" w:hAnsi="宋体"/>
                <w:color w:val="auto"/>
                <w:szCs w:val="21"/>
                <w:highlight w:val="none"/>
              </w:rPr>
            </w:pPr>
          </w:p>
        </w:tc>
        <w:tc>
          <w:tcPr>
            <w:tcW w:w="1418" w:type="dxa"/>
            <w:noWrap w:val="0"/>
            <w:vAlign w:val="center"/>
          </w:tcPr>
          <w:p w14:paraId="50CEA933">
            <w:pPr>
              <w:keepNext/>
              <w:spacing w:line="440" w:lineRule="exact"/>
              <w:ind w:left="63" w:right="63"/>
              <w:jc w:val="center"/>
              <w:rPr>
                <w:rFonts w:ascii="宋体" w:hAnsi="宋体"/>
                <w:color w:val="auto"/>
                <w:szCs w:val="21"/>
                <w:highlight w:val="none"/>
              </w:rPr>
            </w:pPr>
          </w:p>
        </w:tc>
        <w:tc>
          <w:tcPr>
            <w:tcW w:w="1134" w:type="dxa"/>
            <w:noWrap w:val="0"/>
            <w:vAlign w:val="center"/>
          </w:tcPr>
          <w:p w14:paraId="79DDFF8E">
            <w:pPr>
              <w:keepNext/>
              <w:spacing w:line="440" w:lineRule="exact"/>
              <w:ind w:left="63" w:right="63"/>
              <w:jc w:val="center"/>
              <w:rPr>
                <w:rFonts w:ascii="宋体" w:hAnsi="宋体"/>
                <w:color w:val="auto"/>
                <w:szCs w:val="21"/>
                <w:highlight w:val="none"/>
              </w:rPr>
            </w:pPr>
          </w:p>
        </w:tc>
        <w:tc>
          <w:tcPr>
            <w:tcW w:w="1134" w:type="dxa"/>
            <w:noWrap w:val="0"/>
            <w:vAlign w:val="center"/>
          </w:tcPr>
          <w:p w14:paraId="3556216B">
            <w:pPr>
              <w:keepNext/>
              <w:spacing w:line="440" w:lineRule="exact"/>
              <w:ind w:left="63" w:right="63"/>
              <w:jc w:val="center"/>
              <w:rPr>
                <w:rFonts w:ascii="宋体" w:hAnsi="宋体"/>
                <w:color w:val="auto"/>
                <w:szCs w:val="21"/>
                <w:highlight w:val="none"/>
              </w:rPr>
            </w:pPr>
          </w:p>
        </w:tc>
        <w:tc>
          <w:tcPr>
            <w:tcW w:w="4252" w:type="dxa"/>
            <w:noWrap w:val="0"/>
            <w:vAlign w:val="center"/>
          </w:tcPr>
          <w:p w14:paraId="10C34927">
            <w:pPr>
              <w:keepNext/>
              <w:spacing w:line="440" w:lineRule="exact"/>
              <w:ind w:left="63" w:right="63"/>
              <w:jc w:val="center"/>
              <w:rPr>
                <w:rFonts w:ascii="宋体" w:hAnsi="宋体"/>
                <w:color w:val="auto"/>
                <w:szCs w:val="21"/>
                <w:highlight w:val="none"/>
              </w:rPr>
            </w:pPr>
          </w:p>
        </w:tc>
      </w:tr>
      <w:tr w14:paraId="10011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D03A5B2">
            <w:pPr>
              <w:keepNext/>
              <w:spacing w:line="440" w:lineRule="exact"/>
              <w:ind w:left="63" w:right="63"/>
              <w:jc w:val="center"/>
              <w:rPr>
                <w:rFonts w:ascii="宋体" w:hAnsi="宋体"/>
                <w:color w:val="auto"/>
                <w:szCs w:val="21"/>
                <w:highlight w:val="none"/>
              </w:rPr>
            </w:pPr>
          </w:p>
        </w:tc>
        <w:tc>
          <w:tcPr>
            <w:tcW w:w="1418" w:type="dxa"/>
            <w:noWrap w:val="0"/>
            <w:vAlign w:val="center"/>
          </w:tcPr>
          <w:p w14:paraId="1AC7CE9B">
            <w:pPr>
              <w:keepNext/>
              <w:spacing w:line="440" w:lineRule="exact"/>
              <w:ind w:left="63" w:right="63"/>
              <w:jc w:val="center"/>
              <w:rPr>
                <w:rFonts w:ascii="宋体" w:hAnsi="宋体"/>
                <w:color w:val="auto"/>
                <w:szCs w:val="21"/>
                <w:highlight w:val="none"/>
              </w:rPr>
            </w:pPr>
          </w:p>
        </w:tc>
        <w:tc>
          <w:tcPr>
            <w:tcW w:w="1134" w:type="dxa"/>
            <w:noWrap w:val="0"/>
            <w:vAlign w:val="center"/>
          </w:tcPr>
          <w:p w14:paraId="3D2FA3B1">
            <w:pPr>
              <w:keepNext/>
              <w:spacing w:line="440" w:lineRule="exact"/>
              <w:ind w:left="63" w:right="63"/>
              <w:jc w:val="center"/>
              <w:rPr>
                <w:rFonts w:ascii="宋体" w:hAnsi="宋体"/>
                <w:color w:val="auto"/>
                <w:szCs w:val="21"/>
                <w:highlight w:val="none"/>
              </w:rPr>
            </w:pPr>
          </w:p>
        </w:tc>
        <w:tc>
          <w:tcPr>
            <w:tcW w:w="1134" w:type="dxa"/>
            <w:noWrap w:val="0"/>
            <w:vAlign w:val="center"/>
          </w:tcPr>
          <w:p w14:paraId="73011B11">
            <w:pPr>
              <w:keepNext/>
              <w:spacing w:line="440" w:lineRule="exact"/>
              <w:ind w:left="63" w:right="63"/>
              <w:jc w:val="center"/>
              <w:rPr>
                <w:rFonts w:ascii="宋体" w:hAnsi="宋体"/>
                <w:color w:val="auto"/>
                <w:szCs w:val="21"/>
                <w:highlight w:val="none"/>
              </w:rPr>
            </w:pPr>
          </w:p>
        </w:tc>
        <w:tc>
          <w:tcPr>
            <w:tcW w:w="4252" w:type="dxa"/>
            <w:noWrap w:val="0"/>
            <w:vAlign w:val="center"/>
          </w:tcPr>
          <w:p w14:paraId="3858CCBE">
            <w:pPr>
              <w:keepNext/>
              <w:spacing w:line="440" w:lineRule="exact"/>
              <w:ind w:left="63" w:right="63"/>
              <w:jc w:val="center"/>
              <w:rPr>
                <w:rFonts w:ascii="宋体" w:hAnsi="宋体"/>
                <w:color w:val="auto"/>
                <w:szCs w:val="21"/>
                <w:highlight w:val="none"/>
              </w:rPr>
            </w:pPr>
          </w:p>
        </w:tc>
      </w:tr>
      <w:tr w14:paraId="7E08C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52A8EAF">
            <w:pPr>
              <w:keepNext/>
              <w:spacing w:line="440" w:lineRule="exact"/>
              <w:ind w:left="63" w:right="63"/>
              <w:jc w:val="center"/>
              <w:rPr>
                <w:rFonts w:ascii="宋体" w:hAnsi="宋体"/>
                <w:color w:val="auto"/>
                <w:szCs w:val="21"/>
                <w:highlight w:val="none"/>
              </w:rPr>
            </w:pPr>
          </w:p>
        </w:tc>
        <w:tc>
          <w:tcPr>
            <w:tcW w:w="1418" w:type="dxa"/>
            <w:noWrap w:val="0"/>
            <w:vAlign w:val="center"/>
          </w:tcPr>
          <w:p w14:paraId="291CF101">
            <w:pPr>
              <w:keepNext/>
              <w:spacing w:line="440" w:lineRule="exact"/>
              <w:ind w:left="63" w:right="63"/>
              <w:jc w:val="center"/>
              <w:rPr>
                <w:rFonts w:ascii="宋体" w:hAnsi="宋体"/>
                <w:color w:val="auto"/>
                <w:szCs w:val="21"/>
                <w:highlight w:val="none"/>
              </w:rPr>
            </w:pPr>
          </w:p>
        </w:tc>
        <w:tc>
          <w:tcPr>
            <w:tcW w:w="1134" w:type="dxa"/>
            <w:noWrap w:val="0"/>
            <w:vAlign w:val="center"/>
          </w:tcPr>
          <w:p w14:paraId="514EBD2F">
            <w:pPr>
              <w:keepNext/>
              <w:spacing w:line="440" w:lineRule="exact"/>
              <w:ind w:left="63" w:right="63"/>
              <w:jc w:val="center"/>
              <w:rPr>
                <w:rFonts w:ascii="宋体" w:hAnsi="宋体"/>
                <w:color w:val="auto"/>
                <w:szCs w:val="21"/>
                <w:highlight w:val="none"/>
              </w:rPr>
            </w:pPr>
          </w:p>
        </w:tc>
        <w:tc>
          <w:tcPr>
            <w:tcW w:w="1134" w:type="dxa"/>
            <w:noWrap w:val="0"/>
            <w:vAlign w:val="center"/>
          </w:tcPr>
          <w:p w14:paraId="55FD3514">
            <w:pPr>
              <w:keepNext/>
              <w:spacing w:line="440" w:lineRule="exact"/>
              <w:ind w:left="63" w:right="63"/>
              <w:jc w:val="center"/>
              <w:rPr>
                <w:rFonts w:ascii="宋体" w:hAnsi="宋体"/>
                <w:color w:val="auto"/>
                <w:szCs w:val="21"/>
                <w:highlight w:val="none"/>
              </w:rPr>
            </w:pPr>
          </w:p>
        </w:tc>
        <w:tc>
          <w:tcPr>
            <w:tcW w:w="4252" w:type="dxa"/>
            <w:noWrap w:val="0"/>
            <w:vAlign w:val="center"/>
          </w:tcPr>
          <w:p w14:paraId="435A2351">
            <w:pPr>
              <w:keepNext/>
              <w:spacing w:line="440" w:lineRule="exact"/>
              <w:ind w:left="63" w:right="63"/>
              <w:jc w:val="center"/>
              <w:rPr>
                <w:rFonts w:ascii="宋体" w:hAnsi="宋体"/>
                <w:color w:val="auto"/>
                <w:szCs w:val="21"/>
                <w:highlight w:val="none"/>
              </w:rPr>
            </w:pPr>
          </w:p>
        </w:tc>
      </w:tr>
      <w:tr w14:paraId="5155B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E841F4B">
            <w:pPr>
              <w:keepNext/>
              <w:spacing w:line="440" w:lineRule="exact"/>
              <w:ind w:left="63" w:right="63"/>
              <w:jc w:val="center"/>
              <w:rPr>
                <w:rFonts w:ascii="宋体" w:hAnsi="宋体"/>
                <w:color w:val="auto"/>
                <w:szCs w:val="21"/>
                <w:highlight w:val="none"/>
              </w:rPr>
            </w:pPr>
          </w:p>
        </w:tc>
        <w:tc>
          <w:tcPr>
            <w:tcW w:w="1418" w:type="dxa"/>
            <w:tcBorders>
              <w:bottom w:val="single" w:color="auto" w:sz="12" w:space="0"/>
            </w:tcBorders>
            <w:noWrap w:val="0"/>
            <w:vAlign w:val="center"/>
          </w:tcPr>
          <w:p w14:paraId="033EB375">
            <w:pPr>
              <w:keepNext/>
              <w:spacing w:line="440" w:lineRule="exact"/>
              <w:ind w:left="63" w:right="63"/>
              <w:jc w:val="center"/>
              <w:rPr>
                <w:rFonts w:ascii="宋体" w:hAnsi="宋体"/>
                <w:color w:val="auto"/>
                <w:szCs w:val="21"/>
                <w:highlight w:val="none"/>
              </w:rPr>
            </w:pPr>
          </w:p>
        </w:tc>
        <w:tc>
          <w:tcPr>
            <w:tcW w:w="1134" w:type="dxa"/>
            <w:tcBorders>
              <w:bottom w:val="single" w:color="auto" w:sz="12" w:space="0"/>
            </w:tcBorders>
            <w:noWrap w:val="0"/>
            <w:vAlign w:val="center"/>
          </w:tcPr>
          <w:p w14:paraId="52ECDA2E">
            <w:pPr>
              <w:keepNext/>
              <w:spacing w:line="440" w:lineRule="exact"/>
              <w:ind w:left="63" w:right="63"/>
              <w:jc w:val="center"/>
              <w:rPr>
                <w:rFonts w:ascii="宋体" w:hAnsi="宋体"/>
                <w:color w:val="auto"/>
                <w:szCs w:val="21"/>
                <w:highlight w:val="none"/>
              </w:rPr>
            </w:pPr>
          </w:p>
        </w:tc>
        <w:tc>
          <w:tcPr>
            <w:tcW w:w="1134" w:type="dxa"/>
            <w:tcBorders>
              <w:bottom w:val="single" w:color="auto" w:sz="12" w:space="0"/>
            </w:tcBorders>
            <w:noWrap w:val="0"/>
            <w:vAlign w:val="center"/>
          </w:tcPr>
          <w:p w14:paraId="5BCD8F83">
            <w:pPr>
              <w:keepNext/>
              <w:spacing w:line="440" w:lineRule="exact"/>
              <w:ind w:left="63" w:right="63"/>
              <w:jc w:val="center"/>
              <w:rPr>
                <w:rFonts w:ascii="宋体" w:hAnsi="宋体"/>
                <w:color w:val="auto"/>
                <w:szCs w:val="21"/>
                <w:highlight w:val="none"/>
              </w:rPr>
            </w:pPr>
          </w:p>
        </w:tc>
        <w:tc>
          <w:tcPr>
            <w:tcW w:w="4252" w:type="dxa"/>
            <w:tcBorders>
              <w:bottom w:val="single" w:color="auto" w:sz="12" w:space="0"/>
            </w:tcBorders>
            <w:noWrap w:val="0"/>
            <w:vAlign w:val="center"/>
          </w:tcPr>
          <w:p w14:paraId="655EF597">
            <w:pPr>
              <w:keepNext/>
              <w:spacing w:line="440" w:lineRule="exact"/>
              <w:ind w:left="63" w:right="63"/>
              <w:jc w:val="center"/>
              <w:rPr>
                <w:rFonts w:ascii="宋体" w:hAnsi="宋体"/>
                <w:color w:val="auto"/>
                <w:szCs w:val="21"/>
                <w:highlight w:val="none"/>
              </w:rPr>
            </w:pPr>
          </w:p>
        </w:tc>
      </w:tr>
    </w:tbl>
    <w:p w14:paraId="1A59F140">
      <w:pPr>
        <w:spacing w:before="120" w:beforeLines="50" w:after="120" w:afterLines="50" w:line="440" w:lineRule="exact"/>
        <w:jc w:val="lef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宋体" w:hAnsi="宋体"/>
          <w:color w:val="auto"/>
          <w:sz w:val="24"/>
          <w:szCs w:val="24"/>
          <w:highlight w:val="none"/>
        </w:rPr>
        <w:t>附</w:t>
      </w:r>
      <w:bookmarkStart w:id="2260" w:name="_Toc296347228"/>
      <w:bookmarkStart w:id="2261" w:name="_Toc296891057"/>
      <w:bookmarkStart w:id="2262" w:name="_Toc296503229"/>
      <w:bookmarkStart w:id="2263" w:name="_Toc296944568"/>
      <w:bookmarkStart w:id="2264" w:name="_Toc296891269"/>
      <w:bookmarkStart w:id="2265" w:name="_Toc296346730"/>
      <w:r>
        <w:rPr>
          <w:rFonts w:ascii="宋体" w:hAnsi="宋体"/>
          <w:color w:val="auto"/>
          <w:sz w:val="24"/>
          <w:szCs w:val="24"/>
          <w:highlight w:val="none"/>
        </w:rPr>
        <w:t>件7：</w:t>
      </w:r>
    </w:p>
    <w:bookmarkEnd w:id="2260"/>
    <w:bookmarkEnd w:id="2261"/>
    <w:bookmarkEnd w:id="2262"/>
    <w:bookmarkEnd w:id="2263"/>
    <w:bookmarkEnd w:id="2264"/>
    <w:bookmarkEnd w:id="2265"/>
    <w:p w14:paraId="232DD051">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分包人主要施工管理人员表</w:t>
      </w:r>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9182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3616D00E">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名    称</w:t>
            </w:r>
          </w:p>
        </w:tc>
        <w:tc>
          <w:tcPr>
            <w:tcW w:w="1418" w:type="dxa"/>
            <w:tcBorders>
              <w:top w:val="single" w:color="auto" w:sz="12" w:space="0"/>
              <w:bottom w:val="double" w:color="auto" w:sz="6" w:space="0"/>
            </w:tcBorders>
            <w:noWrap w:val="0"/>
            <w:vAlign w:val="center"/>
          </w:tcPr>
          <w:p w14:paraId="4FE8871E">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姓名</w:t>
            </w:r>
          </w:p>
        </w:tc>
        <w:tc>
          <w:tcPr>
            <w:tcW w:w="1134" w:type="dxa"/>
            <w:tcBorders>
              <w:top w:val="single" w:color="auto" w:sz="12" w:space="0"/>
              <w:bottom w:val="double" w:color="auto" w:sz="6" w:space="0"/>
            </w:tcBorders>
            <w:noWrap w:val="0"/>
            <w:vAlign w:val="center"/>
          </w:tcPr>
          <w:p w14:paraId="14084A08">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职务</w:t>
            </w:r>
          </w:p>
        </w:tc>
        <w:tc>
          <w:tcPr>
            <w:tcW w:w="1134" w:type="dxa"/>
            <w:tcBorders>
              <w:top w:val="single" w:color="auto" w:sz="12" w:space="0"/>
              <w:bottom w:val="double" w:color="auto" w:sz="6" w:space="0"/>
            </w:tcBorders>
            <w:noWrap w:val="0"/>
            <w:vAlign w:val="center"/>
          </w:tcPr>
          <w:p w14:paraId="70AF2EA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职称</w:t>
            </w:r>
          </w:p>
        </w:tc>
        <w:tc>
          <w:tcPr>
            <w:tcW w:w="4252" w:type="dxa"/>
            <w:tcBorders>
              <w:top w:val="single" w:color="auto" w:sz="12" w:space="0"/>
              <w:bottom w:val="double" w:color="auto" w:sz="6" w:space="0"/>
            </w:tcBorders>
            <w:noWrap w:val="0"/>
            <w:vAlign w:val="center"/>
          </w:tcPr>
          <w:p w14:paraId="6B1F1C3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主要资历、经验及承担过的项目</w:t>
            </w:r>
          </w:p>
        </w:tc>
      </w:tr>
      <w:tr w14:paraId="6CD01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7CFE0235">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一、总部人员</w:t>
            </w:r>
          </w:p>
        </w:tc>
      </w:tr>
      <w:tr w14:paraId="4E1D63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180693D">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项目主管</w:t>
            </w:r>
          </w:p>
        </w:tc>
        <w:tc>
          <w:tcPr>
            <w:tcW w:w="1418" w:type="dxa"/>
            <w:tcBorders>
              <w:top w:val="nil"/>
            </w:tcBorders>
            <w:noWrap w:val="0"/>
            <w:vAlign w:val="center"/>
          </w:tcPr>
          <w:p w14:paraId="46DA8293">
            <w:pPr>
              <w:keepNext/>
              <w:spacing w:line="440" w:lineRule="exact"/>
              <w:ind w:left="63" w:right="63"/>
              <w:jc w:val="center"/>
              <w:rPr>
                <w:rFonts w:ascii="宋体" w:hAnsi="宋体"/>
                <w:color w:val="auto"/>
                <w:szCs w:val="21"/>
                <w:highlight w:val="none"/>
              </w:rPr>
            </w:pPr>
          </w:p>
        </w:tc>
        <w:tc>
          <w:tcPr>
            <w:tcW w:w="1134" w:type="dxa"/>
            <w:tcBorders>
              <w:top w:val="nil"/>
            </w:tcBorders>
            <w:noWrap w:val="0"/>
            <w:vAlign w:val="center"/>
          </w:tcPr>
          <w:p w14:paraId="2E8C940B">
            <w:pPr>
              <w:keepNext/>
              <w:spacing w:line="440" w:lineRule="exact"/>
              <w:ind w:left="63" w:right="63"/>
              <w:jc w:val="center"/>
              <w:rPr>
                <w:rFonts w:ascii="宋体" w:hAnsi="宋体"/>
                <w:color w:val="auto"/>
                <w:szCs w:val="21"/>
                <w:highlight w:val="none"/>
              </w:rPr>
            </w:pPr>
          </w:p>
        </w:tc>
        <w:tc>
          <w:tcPr>
            <w:tcW w:w="1134" w:type="dxa"/>
            <w:tcBorders>
              <w:top w:val="nil"/>
            </w:tcBorders>
            <w:noWrap w:val="0"/>
            <w:vAlign w:val="center"/>
          </w:tcPr>
          <w:p w14:paraId="5311956A">
            <w:pPr>
              <w:keepNext/>
              <w:spacing w:line="440" w:lineRule="exact"/>
              <w:ind w:left="63" w:right="63"/>
              <w:jc w:val="center"/>
              <w:rPr>
                <w:rFonts w:ascii="宋体" w:hAnsi="宋体"/>
                <w:color w:val="auto"/>
                <w:szCs w:val="21"/>
                <w:highlight w:val="none"/>
              </w:rPr>
            </w:pPr>
          </w:p>
        </w:tc>
        <w:tc>
          <w:tcPr>
            <w:tcW w:w="4252" w:type="dxa"/>
            <w:tcBorders>
              <w:top w:val="nil"/>
            </w:tcBorders>
            <w:noWrap w:val="0"/>
            <w:vAlign w:val="center"/>
          </w:tcPr>
          <w:p w14:paraId="13EA75FF">
            <w:pPr>
              <w:keepNext/>
              <w:spacing w:line="440" w:lineRule="exact"/>
              <w:ind w:left="63" w:right="63"/>
              <w:jc w:val="center"/>
              <w:rPr>
                <w:rFonts w:ascii="宋体" w:hAnsi="宋体"/>
                <w:color w:val="auto"/>
                <w:szCs w:val="21"/>
                <w:highlight w:val="none"/>
              </w:rPr>
            </w:pPr>
          </w:p>
        </w:tc>
      </w:tr>
      <w:tr w14:paraId="18D1F5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01BB27F3">
            <w:pPr>
              <w:keepNext/>
              <w:spacing w:line="440" w:lineRule="exact"/>
              <w:ind w:left="63" w:right="63"/>
              <w:jc w:val="center"/>
              <w:rPr>
                <w:rFonts w:ascii="宋体" w:hAnsi="宋体"/>
                <w:color w:val="auto"/>
                <w:szCs w:val="21"/>
                <w:highlight w:val="none"/>
              </w:rPr>
            </w:pPr>
          </w:p>
        </w:tc>
        <w:tc>
          <w:tcPr>
            <w:tcW w:w="1418" w:type="dxa"/>
            <w:noWrap w:val="0"/>
            <w:vAlign w:val="center"/>
          </w:tcPr>
          <w:p w14:paraId="61F814B7">
            <w:pPr>
              <w:keepNext/>
              <w:spacing w:line="440" w:lineRule="exact"/>
              <w:ind w:left="63" w:right="63"/>
              <w:jc w:val="center"/>
              <w:rPr>
                <w:rFonts w:ascii="宋体" w:hAnsi="宋体"/>
                <w:color w:val="auto"/>
                <w:szCs w:val="21"/>
                <w:highlight w:val="none"/>
              </w:rPr>
            </w:pPr>
          </w:p>
        </w:tc>
        <w:tc>
          <w:tcPr>
            <w:tcW w:w="1134" w:type="dxa"/>
            <w:noWrap w:val="0"/>
            <w:vAlign w:val="center"/>
          </w:tcPr>
          <w:p w14:paraId="6E76E097">
            <w:pPr>
              <w:keepNext/>
              <w:spacing w:line="440" w:lineRule="exact"/>
              <w:ind w:left="63" w:right="63"/>
              <w:jc w:val="center"/>
              <w:rPr>
                <w:rFonts w:ascii="宋体" w:hAnsi="宋体"/>
                <w:color w:val="auto"/>
                <w:szCs w:val="21"/>
                <w:highlight w:val="none"/>
              </w:rPr>
            </w:pPr>
          </w:p>
        </w:tc>
        <w:tc>
          <w:tcPr>
            <w:tcW w:w="1134" w:type="dxa"/>
            <w:noWrap w:val="0"/>
            <w:vAlign w:val="center"/>
          </w:tcPr>
          <w:p w14:paraId="49D39E77">
            <w:pPr>
              <w:keepNext/>
              <w:spacing w:line="440" w:lineRule="exact"/>
              <w:ind w:left="63" w:right="63"/>
              <w:jc w:val="center"/>
              <w:rPr>
                <w:rFonts w:ascii="宋体" w:hAnsi="宋体"/>
                <w:color w:val="auto"/>
                <w:szCs w:val="21"/>
                <w:highlight w:val="none"/>
              </w:rPr>
            </w:pPr>
          </w:p>
        </w:tc>
        <w:tc>
          <w:tcPr>
            <w:tcW w:w="4252" w:type="dxa"/>
            <w:noWrap w:val="0"/>
            <w:vAlign w:val="center"/>
          </w:tcPr>
          <w:p w14:paraId="3F11E42A">
            <w:pPr>
              <w:keepNext/>
              <w:spacing w:line="440" w:lineRule="exact"/>
              <w:ind w:left="63" w:right="63"/>
              <w:jc w:val="center"/>
              <w:rPr>
                <w:rFonts w:ascii="宋体" w:hAnsi="宋体"/>
                <w:color w:val="auto"/>
                <w:szCs w:val="21"/>
                <w:highlight w:val="none"/>
              </w:rPr>
            </w:pPr>
          </w:p>
        </w:tc>
      </w:tr>
      <w:tr w14:paraId="766DCD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2A2ADB1">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其他人员</w:t>
            </w:r>
          </w:p>
        </w:tc>
        <w:tc>
          <w:tcPr>
            <w:tcW w:w="1418" w:type="dxa"/>
            <w:noWrap w:val="0"/>
            <w:vAlign w:val="center"/>
          </w:tcPr>
          <w:p w14:paraId="3F4488F1">
            <w:pPr>
              <w:keepNext/>
              <w:spacing w:line="440" w:lineRule="exact"/>
              <w:ind w:left="63" w:right="63"/>
              <w:jc w:val="center"/>
              <w:rPr>
                <w:rFonts w:ascii="宋体" w:hAnsi="宋体"/>
                <w:color w:val="auto"/>
                <w:szCs w:val="21"/>
                <w:highlight w:val="none"/>
              </w:rPr>
            </w:pPr>
          </w:p>
        </w:tc>
        <w:tc>
          <w:tcPr>
            <w:tcW w:w="1134" w:type="dxa"/>
            <w:noWrap w:val="0"/>
            <w:vAlign w:val="center"/>
          </w:tcPr>
          <w:p w14:paraId="4C2286DD">
            <w:pPr>
              <w:keepNext/>
              <w:spacing w:line="440" w:lineRule="exact"/>
              <w:ind w:left="63" w:right="63"/>
              <w:jc w:val="center"/>
              <w:rPr>
                <w:rFonts w:ascii="宋体" w:hAnsi="宋体"/>
                <w:color w:val="auto"/>
                <w:szCs w:val="21"/>
                <w:highlight w:val="none"/>
              </w:rPr>
            </w:pPr>
          </w:p>
        </w:tc>
        <w:tc>
          <w:tcPr>
            <w:tcW w:w="1134" w:type="dxa"/>
            <w:noWrap w:val="0"/>
            <w:vAlign w:val="center"/>
          </w:tcPr>
          <w:p w14:paraId="77D945E4">
            <w:pPr>
              <w:keepNext/>
              <w:spacing w:line="440" w:lineRule="exact"/>
              <w:ind w:left="63" w:right="63"/>
              <w:jc w:val="center"/>
              <w:rPr>
                <w:rFonts w:ascii="宋体" w:hAnsi="宋体"/>
                <w:color w:val="auto"/>
                <w:szCs w:val="21"/>
                <w:highlight w:val="none"/>
              </w:rPr>
            </w:pPr>
          </w:p>
        </w:tc>
        <w:tc>
          <w:tcPr>
            <w:tcW w:w="4252" w:type="dxa"/>
            <w:noWrap w:val="0"/>
            <w:vAlign w:val="center"/>
          </w:tcPr>
          <w:p w14:paraId="24F1BCED">
            <w:pPr>
              <w:keepNext/>
              <w:spacing w:line="440" w:lineRule="exact"/>
              <w:ind w:left="63" w:right="63"/>
              <w:jc w:val="center"/>
              <w:rPr>
                <w:rFonts w:ascii="宋体" w:hAnsi="宋体"/>
                <w:color w:val="auto"/>
                <w:szCs w:val="21"/>
                <w:highlight w:val="none"/>
              </w:rPr>
            </w:pPr>
          </w:p>
        </w:tc>
      </w:tr>
      <w:tr w14:paraId="5428E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ADCB773">
            <w:pPr>
              <w:keepNext/>
              <w:spacing w:line="440" w:lineRule="exact"/>
              <w:ind w:left="63" w:right="63"/>
              <w:jc w:val="center"/>
              <w:rPr>
                <w:rFonts w:ascii="宋体" w:hAnsi="宋体"/>
                <w:color w:val="auto"/>
                <w:szCs w:val="21"/>
                <w:highlight w:val="none"/>
              </w:rPr>
            </w:pPr>
          </w:p>
        </w:tc>
        <w:tc>
          <w:tcPr>
            <w:tcW w:w="1418" w:type="dxa"/>
            <w:noWrap w:val="0"/>
            <w:vAlign w:val="center"/>
          </w:tcPr>
          <w:p w14:paraId="74D599DB">
            <w:pPr>
              <w:keepNext/>
              <w:spacing w:line="440" w:lineRule="exact"/>
              <w:ind w:left="63" w:right="63"/>
              <w:jc w:val="center"/>
              <w:rPr>
                <w:rFonts w:ascii="宋体" w:hAnsi="宋体"/>
                <w:color w:val="auto"/>
                <w:szCs w:val="21"/>
                <w:highlight w:val="none"/>
              </w:rPr>
            </w:pPr>
          </w:p>
        </w:tc>
        <w:tc>
          <w:tcPr>
            <w:tcW w:w="1134" w:type="dxa"/>
            <w:noWrap w:val="0"/>
            <w:vAlign w:val="center"/>
          </w:tcPr>
          <w:p w14:paraId="7D61B7D0">
            <w:pPr>
              <w:keepNext/>
              <w:spacing w:line="440" w:lineRule="exact"/>
              <w:ind w:left="63" w:right="63"/>
              <w:jc w:val="center"/>
              <w:rPr>
                <w:rFonts w:ascii="宋体" w:hAnsi="宋体"/>
                <w:color w:val="auto"/>
                <w:szCs w:val="21"/>
                <w:highlight w:val="none"/>
              </w:rPr>
            </w:pPr>
          </w:p>
        </w:tc>
        <w:tc>
          <w:tcPr>
            <w:tcW w:w="1134" w:type="dxa"/>
            <w:noWrap w:val="0"/>
            <w:vAlign w:val="center"/>
          </w:tcPr>
          <w:p w14:paraId="03982803">
            <w:pPr>
              <w:keepNext/>
              <w:spacing w:line="440" w:lineRule="exact"/>
              <w:ind w:left="63" w:right="63"/>
              <w:jc w:val="center"/>
              <w:rPr>
                <w:rFonts w:ascii="宋体" w:hAnsi="宋体"/>
                <w:color w:val="auto"/>
                <w:szCs w:val="21"/>
                <w:highlight w:val="none"/>
              </w:rPr>
            </w:pPr>
          </w:p>
        </w:tc>
        <w:tc>
          <w:tcPr>
            <w:tcW w:w="4252" w:type="dxa"/>
            <w:noWrap w:val="0"/>
            <w:vAlign w:val="center"/>
          </w:tcPr>
          <w:p w14:paraId="677EEB09">
            <w:pPr>
              <w:keepNext/>
              <w:spacing w:line="440" w:lineRule="exact"/>
              <w:ind w:left="63" w:right="63"/>
              <w:jc w:val="center"/>
              <w:rPr>
                <w:rFonts w:ascii="宋体" w:hAnsi="宋体"/>
                <w:color w:val="auto"/>
                <w:szCs w:val="21"/>
                <w:highlight w:val="none"/>
              </w:rPr>
            </w:pPr>
          </w:p>
        </w:tc>
      </w:tr>
      <w:tr w14:paraId="67727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1074CF57">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二、现场人员</w:t>
            </w:r>
          </w:p>
        </w:tc>
      </w:tr>
      <w:tr w14:paraId="471372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5B4A853">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项目经理</w:t>
            </w:r>
          </w:p>
        </w:tc>
        <w:tc>
          <w:tcPr>
            <w:tcW w:w="1418" w:type="dxa"/>
            <w:noWrap w:val="0"/>
            <w:vAlign w:val="center"/>
          </w:tcPr>
          <w:p w14:paraId="209A974F">
            <w:pPr>
              <w:keepNext/>
              <w:spacing w:line="440" w:lineRule="exact"/>
              <w:ind w:left="63" w:right="63"/>
              <w:jc w:val="center"/>
              <w:rPr>
                <w:rFonts w:ascii="宋体" w:hAnsi="宋体"/>
                <w:color w:val="auto"/>
                <w:szCs w:val="21"/>
                <w:highlight w:val="none"/>
              </w:rPr>
            </w:pPr>
          </w:p>
        </w:tc>
        <w:tc>
          <w:tcPr>
            <w:tcW w:w="1134" w:type="dxa"/>
            <w:noWrap w:val="0"/>
            <w:vAlign w:val="center"/>
          </w:tcPr>
          <w:p w14:paraId="22064F33">
            <w:pPr>
              <w:keepNext/>
              <w:spacing w:line="440" w:lineRule="exact"/>
              <w:ind w:left="63" w:right="63"/>
              <w:jc w:val="center"/>
              <w:rPr>
                <w:rFonts w:ascii="宋体" w:hAnsi="宋体"/>
                <w:color w:val="auto"/>
                <w:szCs w:val="21"/>
                <w:highlight w:val="none"/>
              </w:rPr>
            </w:pPr>
          </w:p>
        </w:tc>
        <w:tc>
          <w:tcPr>
            <w:tcW w:w="1134" w:type="dxa"/>
            <w:noWrap w:val="0"/>
            <w:vAlign w:val="center"/>
          </w:tcPr>
          <w:p w14:paraId="63522FA3">
            <w:pPr>
              <w:keepNext/>
              <w:spacing w:line="440" w:lineRule="exact"/>
              <w:ind w:left="63" w:right="63"/>
              <w:jc w:val="center"/>
              <w:rPr>
                <w:rFonts w:ascii="宋体" w:hAnsi="宋体"/>
                <w:color w:val="auto"/>
                <w:szCs w:val="21"/>
                <w:highlight w:val="none"/>
              </w:rPr>
            </w:pPr>
          </w:p>
        </w:tc>
        <w:tc>
          <w:tcPr>
            <w:tcW w:w="4252" w:type="dxa"/>
            <w:noWrap w:val="0"/>
            <w:vAlign w:val="center"/>
          </w:tcPr>
          <w:p w14:paraId="76C6DAF6">
            <w:pPr>
              <w:keepNext/>
              <w:spacing w:line="440" w:lineRule="exact"/>
              <w:ind w:left="63" w:right="63"/>
              <w:jc w:val="center"/>
              <w:rPr>
                <w:rFonts w:ascii="宋体" w:hAnsi="宋体"/>
                <w:color w:val="auto"/>
                <w:szCs w:val="21"/>
                <w:highlight w:val="none"/>
              </w:rPr>
            </w:pPr>
          </w:p>
        </w:tc>
      </w:tr>
      <w:tr w14:paraId="471D2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CD49674">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项目副经理</w:t>
            </w:r>
          </w:p>
        </w:tc>
        <w:tc>
          <w:tcPr>
            <w:tcW w:w="1418" w:type="dxa"/>
            <w:noWrap w:val="0"/>
            <w:vAlign w:val="center"/>
          </w:tcPr>
          <w:p w14:paraId="1D74B5B6">
            <w:pPr>
              <w:keepNext/>
              <w:spacing w:line="440" w:lineRule="exact"/>
              <w:ind w:left="63" w:right="63"/>
              <w:jc w:val="center"/>
              <w:rPr>
                <w:rFonts w:ascii="宋体" w:hAnsi="宋体"/>
                <w:color w:val="auto"/>
                <w:szCs w:val="21"/>
                <w:highlight w:val="none"/>
              </w:rPr>
            </w:pPr>
          </w:p>
        </w:tc>
        <w:tc>
          <w:tcPr>
            <w:tcW w:w="1134" w:type="dxa"/>
            <w:noWrap w:val="0"/>
            <w:vAlign w:val="center"/>
          </w:tcPr>
          <w:p w14:paraId="3A5E6024">
            <w:pPr>
              <w:keepNext/>
              <w:spacing w:line="440" w:lineRule="exact"/>
              <w:ind w:left="63" w:right="63"/>
              <w:jc w:val="center"/>
              <w:rPr>
                <w:rFonts w:ascii="宋体" w:hAnsi="宋体"/>
                <w:color w:val="auto"/>
                <w:szCs w:val="21"/>
                <w:highlight w:val="none"/>
              </w:rPr>
            </w:pPr>
          </w:p>
        </w:tc>
        <w:tc>
          <w:tcPr>
            <w:tcW w:w="1134" w:type="dxa"/>
            <w:noWrap w:val="0"/>
            <w:vAlign w:val="center"/>
          </w:tcPr>
          <w:p w14:paraId="6CAD89B4">
            <w:pPr>
              <w:keepNext/>
              <w:spacing w:line="440" w:lineRule="exact"/>
              <w:ind w:left="63" w:right="63"/>
              <w:jc w:val="center"/>
              <w:rPr>
                <w:rFonts w:ascii="宋体" w:hAnsi="宋体"/>
                <w:color w:val="auto"/>
                <w:szCs w:val="21"/>
                <w:highlight w:val="none"/>
              </w:rPr>
            </w:pPr>
          </w:p>
        </w:tc>
        <w:tc>
          <w:tcPr>
            <w:tcW w:w="4252" w:type="dxa"/>
            <w:noWrap w:val="0"/>
            <w:vAlign w:val="center"/>
          </w:tcPr>
          <w:p w14:paraId="42080A25">
            <w:pPr>
              <w:keepNext/>
              <w:spacing w:line="440" w:lineRule="exact"/>
              <w:ind w:left="63" w:right="63"/>
              <w:jc w:val="center"/>
              <w:rPr>
                <w:rFonts w:ascii="宋体" w:hAnsi="宋体"/>
                <w:color w:val="auto"/>
                <w:szCs w:val="21"/>
                <w:highlight w:val="none"/>
              </w:rPr>
            </w:pPr>
          </w:p>
        </w:tc>
      </w:tr>
      <w:tr w14:paraId="4CE8D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FE3BFF">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技术负责人</w:t>
            </w:r>
          </w:p>
        </w:tc>
        <w:tc>
          <w:tcPr>
            <w:tcW w:w="1418" w:type="dxa"/>
            <w:noWrap w:val="0"/>
            <w:vAlign w:val="center"/>
          </w:tcPr>
          <w:p w14:paraId="03439157">
            <w:pPr>
              <w:keepNext/>
              <w:spacing w:line="440" w:lineRule="exact"/>
              <w:ind w:left="63" w:right="63"/>
              <w:jc w:val="center"/>
              <w:rPr>
                <w:rFonts w:ascii="宋体" w:hAnsi="宋体"/>
                <w:color w:val="auto"/>
                <w:szCs w:val="21"/>
                <w:highlight w:val="none"/>
              </w:rPr>
            </w:pPr>
          </w:p>
        </w:tc>
        <w:tc>
          <w:tcPr>
            <w:tcW w:w="1134" w:type="dxa"/>
            <w:noWrap w:val="0"/>
            <w:vAlign w:val="center"/>
          </w:tcPr>
          <w:p w14:paraId="6BF0D4AF">
            <w:pPr>
              <w:keepNext/>
              <w:spacing w:line="440" w:lineRule="exact"/>
              <w:ind w:left="63" w:right="63"/>
              <w:jc w:val="center"/>
              <w:rPr>
                <w:rFonts w:ascii="宋体" w:hAnsi="宋体"/>
                <w:color w:val="auto"/>
                <w:szCs w:val="21"/>
                <w:highlight w:val="none"/>
              </w:rPr>
            </w:pPr>
          </w:p>
        </w:tc>
        <w:tc>
          <w:tcPr>
            <w:tcW w:w="1134" w:type="dxa"/>
            <w:noWrap w:val="0"/>
            <w:vAlign w:val="center"/>
          </w:tcPr>
          <w:p w14:paraId="065A21DE">
            <w:pPr>
              <w:keepNext/>
              <w:spacing w:line="440" w:lineRule="exact"/>
              <w:ind w:left="63" w:right="63"/>
              <w:jc w:val="center"/>
              <w:rPr>
                <w:rFonts w:ascii="宋体" w:hAnsi="宋体"/>
                <w:color w:val="auto"/>
                <w:szCs w:val="21"/>
                <w:highlight w:val="none"/>
              </w:rPr>
            </w:pPr>
          </w:p>
        </w:tc>
        <w:tc>
          <w:tcPr>
            <w:tcW w:w="4252" w:type="dxa"/>
            <w:noWrap w:val="0"/>
            <w:vAlign w:val="center"/>
          </w:tcPr>
          <w:p w14:paraId="07A17549">
            <w:pPr>
              <w:keepNext/>
              <w:spacing w:line="440" w:lineRule="exact"/>
              <w:ind w:left="63" w:right="63"/>
              <w:jc w:val="center"/>
              <w:rPr>
                <w:rFonts w:ascii="宋体" w:hAnsi="宋体"/>
                <w:color w:val="auto"/>
                <w:szCs w:val="21"/>
                <w:highlight w:val="none"/>
              </w:rPr>
            </w:pPr>
          </w:p>
        </w:tc>
      </w:tr>
      <w:tr w14:paraId="15E77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0ED24F9">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造价管理</w:t>
            </w:r>
          </w:p>
        </w:tc>
        <w:tc>
          <w:tcPr>
            <w:tcW w:w="1418" w:type="dxa"/>
            <w:noWrap w:val="0"/>
            <w:vAlign w:val="center"/>
          </w:tcPr>
          <w:p w14:paraId="3AF95BC3">
            <w:pPr>
              <w:keepNext/>
              <w:spacing w:line="440" w:lineRule="exact"/>
              <w:ind w:left="63" w:right="63"/>
              <w:jc w:val="center"/>
              <w:rPr>
                <w:rFonts w:ascii="宋体" w:hAnsi="宋体"/>
                <w:color w:val="auto"/>
                <w:szCs w:val="21"/>
                <w:highlight w:val="none"/>
              </w:rPr>
            </w:pPr>
          </w:p>
        </w:tc>
        <w:tc>
          <w:tcPr>
            <w:tcW w:w="1134" w:type="dxa"/>
            <w:noWrap w:val="0"/>
            <w:vAlign w:val="center"/>
          </w:tcPr>
          <w:p w14:paraId="1543C2AF">
            <w:pPr>
              <w:keepNext/>
              <w:spacing w:line="440" w:lineRule="exact"/>
              <w:ind w:left="63" w:right="63"/>
              <w:jc w:val="center"/>
              <w:rPr>
                <w:rFonts w:ascii="宋体" w:hAnsi="宋体"/>
                <w:color w:val="auto"/>
                <w:szCs w:val="21"/>
                <w:highlight w:val="none"/>
              </w:rPr>
            </w:pPr>
          </w:p>
        </w:tc>
        <w:tc>
          <w:tcPr>
            <w:tcW w:w="1134" w:type="dxa"/>
            <w:noWrap w:val="0"/>
            <w:vAlign w:val="center"/>
          </w:tcPr>
          <w:p w14:paraId="21E26CBF">
            <w:pPr>
              <w:keepNext/>
              <w:spacing w:line="440" w:lineRule="exact"/>
              <w:ind w:left="63" w:right="63"/>
              <w:jc w:val="center"/>
              <w:rPr>
                <w:rFonts w:ascii="宋体" w:hAnsi="宋体"/>
                <w:color w:val="auto"/>
                <w:szCs w:val="21"/>
                <w:highlight w:val="none"/>
              </w:rPr>
            </w:pPr>
          </w:p>
        </w:tc>
        <w:tc>
          <w:tcPr>
            <w:tcW w:w="4252" w:type="dxa"/>
            <w:noWrap w:val="0"/>
            <w:vAlign w:val="center"/>
          </w:tcPr>
          <w:p w14:paraId="0C219406">
            <w:pPr>
              <w:keepNext/>
              <w:spacing w:line="440" w:lineRule="exact"/>
              <w:ind w:left="63" w:right="63"/>
              <w:jc w:val="center"/>
              <w:rPr>
                <w:rFonts w:ascii="宋体" w:hAnsi="宋体"/>
                <w:color w:val="auto"/>
                <w:szCs w:val="21"/>
                <w:highlight w:val="none"/>
              </w:rPr>
            </w:pPr>
          </w:p>
        </w:tc>
      </w:tr>
      <w:tr w14:paraId="33C1C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958A64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质量管理</w:t>
            </w:r>
          </w:p>
        </w:tc>
        <w:tc>
          <w:tcPr>
            <w:tcW w:w="1418" w:type="dxa"/>
            <w:noWrap w:val="0"/>
            <w:vAlign w:val="center"/>
          </w:tcPr>
          <w:p w14:paraId="35972E03">
            <w:pPr>
              <w:keepNext/>
              <w:spacing w:line="440" w:lineRule="exact"/>
              <w:ind w:left="63" w:right="63"/>
              <w:jc w:val="center"/>
              <w:rPr>
                <w:rFonts w:ascii="宋体" w:hAnsi="宋体"/>
                <w:color w:val="auto"/>
                <w:szCs w:val="21"/>
                <w:highlight w:val="none"/>
              </w:rPr>
            </w:pPr>
          </w:p>
        </w:tc>
        <w:tc>
          <w:tcPr>
            <w:tcW w:w="1134" w:type="dxa"/>
            <w:noWrap w:val="0"/>
            <w:vAlign w:val="center"/>
          </w:tcPr>
          <w:p w14:paraId="5AE39FA9">
            <w:pPr>
              <w:keepNext/>
              <w:spacing w:line="440" w:lineRule="exact"/>
              <w:ind w:left="63" w:right="63"/>
              <w:jc w:val="center"/>
              <w:rPr>
                <w:rFonts w:ascii="宋体" w:hAnsi="宋体"/>
                <w:color w:val="auto"/>
                <w:szCs w:val="21"/>
                <w:highlight w:val="none"/>
              </w:rPr>
            </w:pPr>
          </w:p>
        </w:tc>
        <w:tc>
          <w:tcPr>
            <w:tcW w:w="1134" w:type="dxa"/>
            <w:noWrap w:val="0"/>
            <w:vAlign w:val="center"/>
          </w:tcPr>
          <w:p w14:paraId="1BBB84FE">
            <w:pPr>
              <w:keepNext/>
              <w:spacing w:line="440" w:lineRule="exact"/>
              <w:ind w:left="63" w:right="63"/>
              <w:jc w:val="center"/>
              <w:rPr>
                <w:rFonts w:ascii="宋体" w:hAnsi="宋体"/>
                <w:color w:val="auto"/>
                <w:szCs w:val="21"/>
                <w:highlight w:val="none"/>
              </w:rPr>
            </w:pPr>
          </w:p>
        </w:tc>
        <w:tc>
          <w:tcPr>
            <w:tcW w:w="4252" w:type="dxa"/>
            <w:noWrap w:val="0"/>
            <w:vAlign w:val="center"/>
          </w:tcPr>
          <w:p w14:paraId="35355049">
            <w:pPr>
              <w:keepNext/>
              <w:spacing w:line="440" w:lineRule="exact"/>
              <w:ind w:left="63" w:right="63"/>
              <w:jc w:val="center"/>
              <w:rPr>
                <w:rFonts w:ascii="宋体" w:hAnsi="宋体"/>
                <w:color w:val="auto"/>
                <w:szCs w:val="21"/>
                <w:highlight w:val="none"/>
              </w:rPr>
            </w:pPr>
          </w:p>
        </w:tc>
      </w:tr>
      <w:tr w14:paraId="3F6B7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05D9349">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材料管理</w:t>
            </w:r>
          </w:p>
        </w:tc>
        <w:tc>
          <w:tcPr>
            <w:tcW w:w="1418" w:type="dxa"/>
            <w:noWrap w:val="0"/>
            <w:vAlign w:val="center"/>
          </w:tcPr>
          <w:p w14:paraId="3DD64B94">
            <w:pPr>
              <w:keepNext/>
              <w:spacing w:line="440" w:lineRule="exact"/>
              <w:ind w:left="63" w:right="63"/>
              <w:jc w:val="center"/>
              <w:rPr>
                <w:rFonts w:ascii="宋体" w:hAnsi="宋体"/>
                <w:color w:val="auto"/>
                <w:szCs w:val="21"/>
                <w:highlight w:val="none"/>
              </w:rPr>
            </w:pPr>
          </w:p>
        </w:tc>
        <w:tc>
          <w:tcPr>
            <w:tcW w:w="1134" w:type="dxa"/>
            <w:noWrap w:val="0"/>
            <w:vAlign w:val="center"/>
          </w:tcPr>
          <w:p w14:paraId="3470CBF4">
            <w:pPr>
              <w:keepNext/>
              <w:spacing w:line="440" w:lineRule="exact"/>
              <w:ind w:left="63" w:right="63"/>
              <w:jc w:val="center"/>
              <w:rPr>
                <w:rFonts w:ascii="宋体" w:hAnsi="宋体"/>
                <w:color w:val="auto"/>
                <w:szCs w:val="21"/>
                <w:highlight w:val="none"/>
              </w:rPr>
            </w:pPr>
          </w:p>
        </w:tc>
        <w:tc>
          <w:tcPr>
            <w:tcW w:w="1134" w:type="dxa"/>
            <w:noWrap w:val="0"/>
            <w:vAlign w:val="center"/>
          </w:tcPr>
          <w:p w14:paraId="03CAFC7C">
            <w:pPr>
              <w:keepNext/>
              <w:spacing w:line="440" w:lineRule="exact"/>
              <w:ind w:left="63" w:right="63"/>
              <w:jc w:val="center"/>
              <w:rPr>
                <w:rFonts w:ascii="宋体" w:hAnsi="宋体"/>
                <w:color w:val="auto"/>
                <w:szCs w:val="21"/>
                <w:highlight w:val="none"/>
              </w:rPr>
            </w:pPr>
          </w:p>
        </w:tc>
        <w:tc>
          <w:tcPr>
            <w:tcW w:w="4252" w:type="dxa"/>
            <w:noWrap w:val="0"/>
            <w:vAlign w:val="center"/>
          </w:tcPr>
          <w:p w14:paraId="2D61B6F2">
            <w:pPr>
              <w:keepNext/>
              <w:spacing w:line="440" w:lineRule="exact"/>
              <w:ind w:left="63" w:right="63"/>
              <w:jc w:val="center"/>
              <w:rPr>
                <w:rFonts w:ascii="宋体" w:hAnsi="宋体"/>
                <w:color w:val="auto"/>
                <w:szCs w:val="21"/>
                <w:highlight w:val="none"/>
              </w:rPr>
            </w:pPr>
          </w:p>
        </w:tc>
      </w:tr>
      <w:tr w14:paraId="795EB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16D8D51">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计划管理</w:t>
            </w:r>
          </w:p>
        </w:tc>
        <w:tc>
          <w:tcPr>
            <w:tcW w:w="1418" w:type="dxa"/>
            <w:noWrap w:val="0"/>
            <w:vAlign w:val="center"/>
          </w:tcPr>
          <w:p w14:paraId="1413E1C9">
            <w:pPr>
              <w:keepNext/>
              <w:spacing w:line="440" w:lineRule="exact"/>
              <w:ind w:left="63" w:right="63"/>
              <w:jc w:val="center"/>
              <w:rPr>
                <w:rFonts w:ascii="宋体" w:hAnsi="宋体"/>
                <w:color w:val="auto"/>
                <w:szCs w:val="21"/>
                <w:highlight w:val="none"/>
              </w:rPr>
            </w:pPr>
          </w:p>
        </w:tc>
        <w:tc>
          <w:tcPr>
            <w:tcW w:w="1134" w:type="dxa"/>
            <w:noWrap w:val="0"/>
            <w:vAlign w:val="center"/>
          </w:tcPr>
          <w:p w14:paraId="1A5EE18F">
            <w:pPr>
              <w:keepNext/>
              <w:spacing w:line="440" w:lineRule="exact"/>
              <w:ind w:left="63" w:right="63"/>
              <w:jc w:val="center"/>
              <w:rPr>
                <w:rFonts w:ascii="宋体" w:hAnsi="宋体"/>
                <w:color w:val="auto"/>
                <w:szCs w:val="21"/>
                <w:highlight w:val="none"/>
              </w:rPr>
            </w:pPr>
          </w:p>
        </w:tc>
        <w:tc>
          <w:tcPr>
            <w:tcW w:w="1134" w:type="dxa"/>
            <w:noWrap w:val="0"/>
            <w:vAlign w:val="center"/>
          </w:tcPr>
          <w:p w14:paraId="33C64234">
            <w:pPr>
              <w:keepNext/>
              <w:spacing w:line="440" w:lineRule="exact"/>
              <w:ind w:left="63" w:right="63"/>
              <w:jc w:val="center"/>
              <w:rPr>
                <w:rFonts w:ascii="宋体" w:hAnsi="宋体"/>
                <w:color w:val="auto"/>
                <w:szCs w:val="21"/>
                <w:highlight w:val="none"/>
              </w:rPr>
            </w:pPr>
          </w:p>
        </w:tc>
        <w:tc>
          <w:tcPr>
            <w:tcW w:w="4252" w:type="dxa"/>
            <w:noWrap w:val="0"/>
            <w:vAlign w:val="center"/>
          </w:tcPr>
          <w:p w14:paraId="38824305">
            <w:pPr>
              <w:keepNext/>
              <w:spacing w:line="440" w:lineRule="exact"/>
              <w:ind w:left="63" w:right="63"/>
              <w:jc w:val="center"/>
              <w:rPr>
                <w:rFonts w:ascii="宋体" w:hAnsi="宋体"/>
                <w:color w:val="auto"/>
                <w:szCs w:val="21"/>
                <w:highlight w:val="none"/>
              </w:rPr>
            </w:pPr>
          </w:p>
        </w:tc>
      </w:tr>
      <w:tr w14:paraId="321E1C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6204E9">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安全管理</w:t>
            </w:r>
          </w:p>
        </w:tc>
        <w:tc>
          <w:tcPr>
            <w:tcW w:w="1418" w:type="dxa"/>
            <w:noWrap w:val="0"/>
            <w:vAlign w:val="center"/>
          </w:tcPr>
          <w:p w14:paraId="458A0DED">
            <w:pPr>
              <w:keepNext/>
              <w:spacing w:line="440" w:lineRule="exact"/>
              <w:ind w:left="63" w:right="63"/>
              <w:jc w:val="center"/>
              <w:rPr>
                <w:rFonts w:ascii="宋体" w:hAnsi="宋体"/>
                <w:color w:val="auto"/>
                <w:szCs w:val="21"/>
                <w:highlight w:val="none"/>
              </w:rPr>
            </w:pPr>
          </w:p>
        </w:tc>
        <w:tc>
          <w:tcPr>
            <w:tcW w:w="1134" w:type="dxa"/>
            <w:noWrap w:val="0"/>
            <w:vAlign w:val="center"/>
          </w:tcPr>
          <w:p w14:paraId="15579728">
            <w:pPr>
              <w:keepNext/>
              <w:spacing w:line="440" w:lineRule="exact"/>
              <w:ind w:left="63" w:right="63"/>
              <w:jc w:val="center"/>
              <w:rPr>
                <w:rFonts w:ascii="宋体" w:hAnsi="宋体"/>
                <w:color w:val="auto"/>
                <w:szCs w:val="21"/>
                <w:highlight w:val="none"/>
              </w:rPr>
            </w:pPr>
          </w:p>
        </w:tc>
        <w:tc>
          <w:tcPr>
            <w:tcW w:w="1134" w:type="dxa"/>
            <w:noWrap w:val="0"/>
            <w:vAlign w:val="center"/>
          </w:tcPr>
          <w:p w14:paraId="2E4F9AF1">
            <w:pPr>
              <w:keepNext/>
              <w:spacing w:line="440" w:lineRule="exact"/>
              <w:ind w:left="63" w:right="63"/>
              <w:jc w:val="center"/>
              <w:rPr>
                <w:rFonts w:ascii="宋体" w:hAnsi="宋体"/>
                <w:color w:val="auto"/>
                <w:szCs w:val="21"/>
                <w:highlight w:val="none"/>
              </w:rPr>
            </w:pPr>
          </w:p>
        </w:tc>
        <w:tc>
          <w:tcPr>
            <w:tcW w:w="4252" w:type="dxa"/>
            <w:noWrap w:val="0"/>
            <w:vAlign w:val="center"/>
          </w:tcPr>
          <w:p w14:paraId="7C3E6F26">
            <w:pPr>
              <w:keepNext/>
              <w:spacing w:line="440" w:lineRule="exact"/>
              <w:ind w:left="63" w:right="63"/>
              <w:jc w:val="center"/>
              <w:rPr>
                <w:rFonts w:ascii="宋体" w:hAnsi="宋体"/>
                <w:color w:val="auto"/>
                <w:szCs w:val="21"/>
                <w:highlight w:val="none"/>
              </w:rPr>
            </w:pPr>
          </w:p>
        </w:tc>
      </w:tr>
      <w:tr w14:paraId="66C4B8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00C3C11F">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其他人员</w:t>
            </w:r>
          </w:p>
        </w:tc>
        <w:tc>
          <w:tcPr>
            <w:tcW w:w="1418" w:type="dxa"/>
            <w:noWrap w:val="0"/>
            <w:vAlign w:val="center"/>
          </w:tcPr>
          <w:p w14:paraId="25981D39">
            <w:pPr>
              <w:keepNext/>
              <w:spacing w:line="440" w:lineRule="exact"/>
              <w:ind w:left="63" w:right="63"/>
              <w:jc w:val="center"/>
              <w:rPr>
                <w:rFonts w:ascii="宋体" w:hAnsi="宋体"/>
                <w:color w:val="auto"/>
                <w:szCs w:val="21"/>
                <w:highlight w:val="none"/>
              </w:rPr>
            </w:pPr>
          </w:p>
        </w:tc>
        <w:tc>
          <w:tcPr>
            <w:tcW w:w="1134" w:type="dxa"/>
            <w:noWrap w:val="0"/>
            <w:vAlign w:val="center"/>
          </w:tcPr>
          <w:p w14:paraId="6DF522E1">
            <w:pPr>
              <w:keepNext/>
              <w:spacing w:line="440" w:lineRule="exact"/>
              <w:ind w:left="63" w:right="63"/>
              <w:jc w:val="center"/>
              <w:rPr>
                <w:rFonts w:ascii="宋体" w:hAnsi="宋体"/>
                <w:color w:val="auto"/>
                <w:szCs w:val="21"/>
                <w:highlight w:val="none"/>
              </w:rPr>
            </w:pPr>
          </w:p>
        </w:tc>
        <w:tc>
          <w:tcPr>
            <w:tcW w:w="1134" w:type="dxa"/>
            <w:noWrap w:val="0"/>
            <w:vAlign w:val="center"/>
          </w:tcPr>
          <w:p w14:paraId="3B5EAF4D">
            <w:pPr>
              <w:keepNext/>
              <w:spacing w:line="440" w:lineRule="exact"/>
              <w:ind w:left="63" w:right="63"/>
              <w:jc w:val="center"/>
              <w:rPr>
                <w:rFonts w:ascii="宋体" w:hAnsi="宋体"/>
                <w:color w:val="auto"/>
                <w:szCs w:val="21"/>
                <w:highlight w:val="none"/>
              </w:rPr>
            </w:pPr>
          </w:p>
        </w:tc>
        <w:tc>
          <w:tcPr>
            <w:tcW w:w="4252" w:type="dxa"/>
            <w:noWrap w:val="0"/>
            <w:vAlign w:val="center"/>
          </w:tcPr>
          <w:p w14:paraId="51615600">
            <w:pPr>
              <w:keepNext/>
              <w:spacing w:line="440" w:lineRule="exact"/>
              <w:ind w:left="63" w:right="63"/>
              <w:jc w:val="center"/>
              <w:rPr>
                <w:rFonts w:ascii="宋体" w:hAnsi="宋体"/>
                <w:color w:val="auto"/>
                <w:szCs w:val="21"/>
                <w:highlight w:val="none"/>
              </w:rPr>
            </w:pPr>
          </w:p>
        </w:tc>
      </w:tr>
      <w:tr w14:paraId="10408E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8DF6B42">
            <w:pPr>
              <w:keepNext/>
              <w:spacing w:line="440" w:lineRule="exact"/>
              <w:ind w:left="63" w:right="63"/>
              <w:jc w:val="center"/>
              <w:rPr>
                <w:rFonts w:ascii="宋体" w:hAnsi="宋体"/>
                <w:color w:val="auto"/>
                <w:szCs w:val="21"/>
                <w:highlight w:val="none"/>
              </w:rPr>
            </w:pPr>
          </w:p>
        </w:tc>
        <w:tc>
          <w:tcPr>
            <w:tcW w:w="1418" w:type="dxa"/>
            <w:tcBorders>
              <w:bottom w:val="nil"/>
            </w:tcBorders>
            <w:noWrap w:val="0"/>
            <w:vAlign w:val="center"/>
          </w:tcPr>
          <w:p w14:paraId="32268075">
            <w:pPr>
              <w:keepNext/>
              <w:spacing w:line="440" w:lineRule="exact"/>
              <w:ind w:left="63" w:right="63"/>
              <w:jc w:val="center"/>
              <w:rPr>
                <w:rFonts w:ascii="宋体" w:hAnsi="宋体"/>
                <w:color w:val="auto"/>
                <w:szCs w:val="21"/>
                <w:highlight w:val="none"/>
              </w:rPr>
            </w:pPr>
          </w:p>
        </w:tc>
        <w:tc>
          <w:tcPr>
            <w:tcW w:w="1134" w:type="dxa"/>
            <w:tcBorders>
              <w:bottom w:val="nil"/>
            </w:tcBorders>
            <w:noWrap w:val="0"/>
            <w:vAlign w:val="center"/>
          </w:tcPr>
          <w:p w14:paraId="25DC1C9E">
            <w:pPr>
              <w:keepNext/>
              <w:spacing w:line="440" w:lineRule="exact"/>
              <w:ind w:left="63" w:right="63"/>
              <w:jc w:val="center"/>
              <w:rPr>
                <w:rFonts w:ascii="宋体" w:hAnsi="宋体"/>
                <w:color w:val="auto"/>
                <w:szCs w:val="21"/>
                <w:highlight w:val="none"/>
              </w:rPr>
            </w:pPr>
          </w:p>
        </w:tc>
        <w:tc>
          <w:tcPr>
            <w:tcW w:w="1134" w:type="dxa"/>
            <w:tcBorders>
              <w:bottom w:val="nil"/>
            </w:tcBorders>
            <w:noWrap w:val="0"/>
            <w:vAlign w:val="center"/>
          </w:tcPr>
          <w:p w14:paraId="2D37AD47">
            <w:pPr>
              <w:keepNext/>
              <w:spacing w:line="440" w:lineRule="exact"/>
              <w:ind w:left="63" w:right="63"/>
              <w:jc w:val="center"/>
              <w:rPr>
                <w:rFonts w:ascii="宋体" w:hAnsi="宋体"/>
                <w:color w:val="auto"/>
                <w:szCs w:val="21"/>
                <w:highlight w:val="none"/>
              </w:rPr>
            </w:pPr>
          </w:p>
        </w:tc>
        <w:tc>
          <w:tcPr>
            <w:tcW w:w="4252" w:type="dxa"/>
            <w:tcBorders>
              <w:bottom w:val="nil"/>
            </w:tcBorders>
            <w:noWrap w:val="0"/>
            <w:vAlign w:val="center"/>
          </w:tcPr>
          <w:p w14:paraId="11EA0528">
            <w:pPr>
              <w:keepNext/>
              <w:spacing w:line="440" w:lineRule="exact"/>
              <w:ind w:left="63" w:right="63"/>
              <w:jc w:val="center"/>
              <w:rPr>
                <w:rFonts w:ascii="宋体" w:hAnsi="宋体"/>
                <w:color w:val="auto"/>
                <w:szCs w:val="21"/>
                <w:highlight w:val="none"/>
              </w:rPr>
            </w:pPr>
          </w:p>
        </w:tc>
      </w:tr>
      <w:tr w14:paraId="53BEB2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E1B7924">
            <w:pPr>
              <w:keepNext/>
              <w:spacing w:line="440" w:lineRule="exact"/>
              <w:ind w:left="63" w:right="63"/>
              <w:jc w:val="center"/>
              <w:rPr>
                <w:rFonts w:ascii="宋体" w:hAnsi="宋体"/>
                <w:color w:val="auto"/>
                <w:szCs w:val="21"/>
                <w:highlight w:val="none"/>
              </w:rPr>
            </w:pPr>
          </w:p>
        </w:tc>
        <w:tc>
          <w:tcPr>
            <w:tcW w:w="1418" w:type="dxa"/>
            <w:noWrap w:val="0"/>
            <w:vAlign w:val="center"/>
          </w:tcPr>
          <w:p w14:paraId="0DF83E08">
            <w:pPr>
              <w:keepNext/>
              <w:spacing w:line="440" w:lineRule="exact"/>
              <w:ind w:left="63" w:right="63"/>
              <w:jc w:val="center"/>
              <w:rPr>
                <w:rFonts w:ascii="宋体" w:hAnsi="宋体"/>
                <w:color w:val="auto"/>
                <w:szCs w:val="21"/>
                <w:highlight w:val="none"/>
              </w:rPr>
            </w:pPr>
          </w:p>
        </w:tc>
        <w:tc>
          <w:tcPr>
            <w:tcW w:w="1134" w:type="dxa"/>
            <w:noWrap w:val="0"/>
            <w:vAlign w:val="center"/>
          </w:tcPr>
          <w:p w14:paraId="0577CA6F">
            <w:pPr>
              <w:keepNext/>
              <w:spacing w:line="440" w:lineRule="exact"/>
              <w:ind w:left="63" w:right="63"/>
              <w:jc w:val="center"/>
              <w:rPr>
                <w:rFonts w:ascii="宋体" w:hAnsi="宋体"/>
                <w:color w:val="auto"/>
                <w:szCs w:val="21"/>
                <w:highlight w:val="none"/>
              </w:rPr>
            </w:pPr>
          </w:p>
        </w:tc>
        <w:tc>
          <w:tcPr>
            <w:tcW w:w="1134" w:type="dxa"/>
            <w:noWrap w:val="0"/>
            <w:vAlign w:val="center"/>
          </w:tcPr>
          <w:p w14:paraId="25911107">
            <w:pPr>
              <w:keepNext/>
              <w:spacing w:line="440" w:lineRule="exact"/>
              <w:ind w:left="63" w:right="63"/>
              <w:jc w:val="center"/>
              <w:rPr>
                <w:rFonts w:ascii="宋体" w:hAnsi="宋体"/>
                <w:color w:val="auto"/>
                <w:szCs w:val="21"/>
                <w:highlight w:val="none"/>
              </w:rPr>
            </w:pPr>
          </w:p>
        </w:tc>
        <w:tc>
          <w:tcPr>
            <w:tcW w:w="4252" w:type="dxa"/>
            <w:noWrap w:val="0"/>
            <w:vAlign w:val="center"/>
          </w:tcPr>
          <w:p w14:paraId="66C9BB9A">
            <w:pPr>
              <w:keepNext/>
              <w:spacing w:line="440" w:lineRule="exact"/>
              <w:ind w:left="63" w:right="63"/>
              <w:jc w:val="center"/>
              <w:rPr>
                <w:rFonts w:ascii="宋体" w:hAnsi="宋体"/>
                <w:color w:val="auto"/>
                <w:szCs w:val="21"/>
                <w:highlight w:val="none"/>
              </w:rPr>
            </w:pPr>
          </w:p>
        </w:tc>
      </w:tr>
      <w:tr w14:paraId="5A308D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ADD32F8">
            <w:pPr>
              <w:keepNext/>
              <w:spacing w:line="440" w:lineRule="exact"/>
              <w:ind w:left="63" w:right="63"/>
              <w:jc w:val="center"/>
              <w:rPr>
                <w:rFonts w:ascii="宋体" w:hAnsi="宋体"/>
                <w:color w:val="auto"/>
                <w:szCs w:val="21"/>
                <w:highlight w:val="none"/>
              </w:rPr>
            </w:pPr>
          </w:p>
        </w:tc>
        <w:tc>
          <w:tcPr>
            <w:tcW w:w="1418" w:type="dxa"/>
            <w:noWrap w:val="0"/>
            <w:vAlign w:val="center"/>
          </w:tcPr>
          <w:p w14:paraId="6CC37EDC">
            <w:pPr>
              <w:keepNext/>
              <w:spacing w:line="440" w:lineRule="exact"/>
              <w:ind w:left="63" w:right="63"/>
              <w:jc w:val="center"/>
              <w:rPr>
                <w:rFonts w:ascii="宋体" w:hAnsi="宋体"/>
                <w:color w:val="auto"/>
                <w:szCs w:val="21"/>
                <w:highlight w:val="none"/>
              </w:rPr>
            </w:pPr>
          </w:p>
        </w:tc>
        <w:tc>
          <w:tcPr>
            <w:tcW w:w="1134" w:type="dxa"/>
            <w:noWrap w:val="0"/>
            <w:vAlign w:val="center"/>
          </w:tcPr>
          <w:p w14:paraId="3201F7C8">
            <w:pPr>
              <w:keepNext/>
              <w:spacing w:line="440" w:lineRule="exact"/>
              <w:ind w:left="63" w:right="63"/>
              <w:jc w:val="center"/>
              <w:rPr>
                <w:rFonts w:ascii="宋体" w:hAnsi="宋体"/>
                <w:color w:val="auto"/>
                <w:szCs w:val="21"/>
                <w:highlight w:val="none"/>
              </w:rPr>
            </w:pPr>
          </w:p>
        </w:tc>
        <w:tc>
          <w:tcPr>
            <w:tcW w:w="1134" w:type="dxa"/>
            <w:noWrap w:val="0"/>
            <w:vAlign w:val="center"/>
          </w:tcPr>
          <w:p w14:paraId="3C2DBDE4">
            <w:pPr>
              <w:keepNext/>
              <w:spacing w:line="440" w:lineRule="exact"/>
              <w:ind w:left="63" w:right="63"/>
              <w:jc w:val="center"/>
              <w:rPr>
                <w:rFonts w:ascii="宋体" w:hAnsi="宋体"/>
                <w:color w:val="auto"/>
                <w:szCs w:val="21"/>
                <w:highlight w:val="none"/>
              </w:rPr>
            </w:pPr>
          </w:p>
        </w:tc>
        <w:tc>
          <w:tcPr>
            <w:tcW w:w="4252" w:type="dxa"/>
            <w:noWrap w:val="0"/>
            <w:vAlign w:val="center"/>
          </w:tcPr>
          <w:p w14:paraId="5E52BE0C">
            <w:pPr>
              <w:keepNext/>
              <w:spacing w:line="440" w:lineRule="exact"/>
              <w:ind w:left="63" w:right="63"/>
              <w:jc w:val="center"/>
              <w:rPr>
                <w:rFonts w:ascii="宋体" w:hAnsi="宋体"/>
                <w:color w:val="auto"/>
                <w:szCs w:val="21"/>
                <w:highlight w:val="none"/>
              </w:rPr>
            </w:pPr>
          </w:p>
        </w:tc>
      </w:tr>
      <w:tr w14:paraId="30199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A824900">
            <w:pPr>
              <w:keepNext/>
              <w:spacing w:line="440" w:lineRule="exact"/>
              <w:ind w:left="63" w:right="63"/>
              <w:jc w:val="center"/>
              <w:rPr>
                <w:rFonts w:ascii="宋体" w:hAnsi="宋体"/>
                <w:color w:val="auto"/>
                <w:szCs w:val="21"/>
                <w:highlight w:val="none"/>
              </w:rPr>
            </w:pPr>
          </w:p>
        </w:tc>
        <w:tc>
          <w:tcPr>
            <w:tcW w:w="1418" w:type="dxa"/>
            <w:noWrap w:val="0"/>
            <w:vAlign w:val="center"/>
          </w:tcPr>
          <w:p w14:paraId="37A17BF6">
            <w:pPr>
              <w:keepNext/>
              <w:spacing w:line="440" w:lineRule="exact"/>
              <w:ind w:left="63" w:right="63"/>
              <w:jc w:val="center"/>
              <w:rPr>
                <w:rFonts w:ascii="宋体" w:hAnsi="宋体"/>
                <w:color w:val="auto"/>
                <w:szCs w:val="21"/>
                <w:highlight w:val="none"/>
              </w:rPr>
            </w:pPr>
          </w:p>
        </w:tc>
        <w:tc>
          <w:tcPr>
            <w:tcW w:w="1134" w:type="dxa"/>
            <w:noWrap w:val="0"/>
            <w:vAlign w:val="center"/>
          </w:tcPr>
          <w:p w14:paraId="4C4BE9D1">
            <w:pPr>
              <w:keepNext/>
              <w:spacing w:line="440" w:lineRule="exact"/>
              <w:ind w:left="63" w:right="63"/>
              <w:jc w:val="center"/>
              <w:rPr>
                <w:rFonts w:ascii="宋体" w:hAnsi="宋体"/>
                <w:color w:val="auto"/>
                <w:szCs w:val="21"/>
                <w:highlight w:val="none"/>
              </w:rPr>
            </w:pPr>
          </w:p>
        </w:tc>
        <w:tc>
          <w:tcPr>
            <w:tcW w:w="1134" w:type="dxa"/>
            <w:noWrap w:val="0"/>
            <w:vAlign w:val="center"/>
          </w:tcPr>
          <w:p w14:paraId="7CD5A02B">
            <w:pPr>
              <w:keepNext/>
              <w:spacing w:line="440" w:lineRule="exact"/>
              <w:ind w:left="63" w:right="63"/>
              <w:jc w:val="center"/>
              <w:rPr>
                <w:rFonts w:ascii="宋体" w:hAnsi="宋体"/>
                <w:color w:val="auto"/>
                <w:szCs w:val="21"/>
                <w:highlight w:val="none"/>
              </w:rPr>
            </w:pPr>
          </w:p>
        </w:tc>
        <w:tc>
          <w:tcPr>
            <w:tcW w:w="4252" w:type="dxa"/>
            <w:noWrap w:val="0"/>
            <w:vAlign w:val="center"/>
          </w:tcPr>
          <w:p w14:paraId="39301D1A">
            <w:pPr>
              <w:keepNext/>
              <w:spacing w:line="440" w:lineRule="exact"/>
              <w:ind w:left="63" w:right="63"/>
              <w:jc w:val="center"/>
              <w:rPr>
                <w:rFonts w:ascii="宋体" w:hAnsi="宋体"/>
                <w:color w:val="auto"/>
                <w:szCs w:val="21"/>
                <w:highlight w:val="none"/>
              </w:rPr>
            </w:pPr>
          </w:p>
        </w:tc>
      </w:tr>
      <w:tr w14:paraId="2450A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747EC0AB">
            <w:pPr>
              <w:keepNext/>
              <w:spacing w:line="440" w:lineRule="exact"/>
              <w:ind w:left="63" w:right="63"/>
              <w:jc w:val="center"/>
              <w:rPr>
                <w:rFonts w:ascii="宋体" w:hAnsi="宋体"/>
                <w:color w:val="auto"/>
                <w:szCs w:val="21"/>
                <w:highlight w:val="none"/>
              </w:rPr>
            </w:pPr>
          </w:p>
        </w:tc>
        <w:tc>
          <w:tcPr>
            <w:tcW w:w="1418" w:type="dxa"/>
            <w:tcBorders>
              <w:bottom w:val="single" w:color="auto" w:sz="12" w:space="0"/>
            </w:tcBorders>
            <w:noWrap w:val="0"/>
            <w:vAlign w:val="center"/>
          </w:tcPr>
          <w:p w14:paraId="25AFB2E2">
            <w:pPr>
              <w:keepNext/>
              <w:spacing w:line="440" w:lineRule="exact"/>
              <w:ind w:left="63" w:right="63"/>
              <w:jc w:val="center"/>
              <w:rPr>
                <w:rFonts w:ascii="宋体" w:hAnsi="宋体"/>
                <w:color w:val="auto"/>
                <w:szCs w:val="21"/>
                <w:highlight w:val="none"/>
              </w:rPr>
            </w:pPr>
          </w:p>
        </w:tc>
        <w:tc>
          <w:tcPr>
            <w:tcW w:w="1134" w:type="dxa"/>
            <w:tcBorders>
              <w:bottom w:val="single" w:color="auto" w:sz="12" w:space="0"/>
            </w:tcBorders>
            <w:noWrap w:val="0"/>
            <w:vAlign w:val="center"/>
          </w:tcPr>
          <w:p w14:paraId="4C8C2267">
            <w:pPr>
              <w:keepNext/>
              <w:spacing w:line="440" w:lineRule="exact"/>
              <w:ind w:left="63" w:right="63"/>
              <w:jc w:val="center"/>
              <w:rPr>
                <w:rFonts w:ascii="宋体" w:hAnsi="宋体"/>
                <w:color w:val="auto"/>
                <w:szCs w:val="21"/>
                <w:highlight w:val="none"/>
              </w:rPr>
            </w:pPr>
          </w:p>
        </w:tc>
        <w:tc>
          <w:tcPr>
            <w:tcW w:w="1134" w:type="dxa"/>
            <w:tcBorders>
              <w:bottom w:val="single" w:color="auto" w:sz="12" w:space="0"/>
            </w:tcBorders>
            <w:noWrap w:val="0"/>
            <w:vAlign w:val="center"/>
          </w:tcPr>
          <w:p w14:paraId="670209E1">
            <w:pPr>
              <w:keepNext/>
              <w:spacing w:line="440" w:lineRule="exact"/>
              <w:ind w:left="63" w:right="63"/>
              <w:jc w:val="center"/>
              <w:rPr>
                <w:rFonts w:ascii="宋体" w:hAnsi="宋体"/>
                <w:color w:val="auto"/>
                <w:szCs w:val="21"/>
                <w:highlight w:val="none"/>
              </w:rPr>
            </w:pPr>
          </w:p>
        </w:tc>
        <w:tc>
          <w:tcPr>
            <w:tcW w:w="4252" w:type="dxa"/>
            <w:tcBorders>
              <w:bottom w:val="single" w:color="auto" w:sz="12" w:space="0"/>
            </w:tcBorders>
            <w:noWrap w:val="0"/>
            <w:vAlign w:val="center"/>
          </w:tcPr>
          <w:p w14:paraId="02A8D284">
            <w:pPr>
              <w:keepNext/>
              <w:spacing w:line="440" w:lineRule="exact"/>
              <w:ind w:left="63" w:right="63"/>
              <w:jc w:val="center"/>
              <w:rPr>
                <w:rFonts w:ascii="宋体" w:hAnsi="宋体"/>
                <w:color w:val="auto"/>
                <w:szCs w:val="21"/>
                <w:highlight w:val="none"/>
              </w:rPr>
            </w:pPr>
          </w:p>
        </w:tc>
      </w:tr>
    </w:tbl>
    <w:p w14:paraId="74409B69">
      <w:pPr>
        <w:spacing w:before="120" w:beforeLines="50" w:after="120" w:afterLines="50" w:line="440" w:lineRule="exact"/>
        <w:jc w:val="lef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bookmarkStart w:id="2266" w:name="_Toc267261701"/>
      <w:r>
        <w:rPr>
          <w:rFonts w:ascii="宋体" w:hAnsi="宋体"/>
          <w:color w:val="auto"/>
          <w:sz w:val="24"/>
          <w:szCs w:val="24"/>
          <w:highlight w:val="none"/>
        </w:rPr>
        <w:t>附</w:t>
      </w:r>
      <w:bookmarkStart w:id="2267" w:name="_Toc296944570"/>
      <w:bookmarkStart w:id="2268" w:name="_Toc296891059"/>
      <w:bookmarkStart w:id="2269" w:name="_Toc296347230"/>
      <w:bookmarkStart w:id="2270" w:name="_Toc296346732"/>
      <w:bookmarkStart w:id="2271" w:name="_Toc296891271"/>
      <w:bookmarkStart w:id="2272" w:name="_Toc296503231"/>
      <w:r>
        <w:rPr>
          <w:rFonts w:ascii="宋体" w:hAnsi="宋体"/>
          <w:color w:val="auto"/>
          <w:sz w:val="24"/>
          <w:szCs w:val="24"/>
          <w:highlight w:val="none"/>
        </w:rPr>
        <w:t>件8：</w:t>
      </w:r>
    </w:p>
    <w:bookmarkEnd w:id="2266"/>
    <w:bookmarkEnd w:id="2267"/>
    <w:bookmarkEnd w:id="2268"/>
    <w:bookmarkEnd w:id="2269"/>
    <w:bookmarkEnd w:id="2270"/>
    <w:bookmarkEnd w:id="2271"/>
    <w:bookmarkEnd w:id="2272"/>
    <w:p w14:paraId="76E053DB">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履约担保</w:t>
      </w:r>
    </w:p>
    <w:p w14:paraId="20A6D363">
      <w:pPr>
        <w:spacing w:line="440" w:lineRule="exact"/>
        <w:rPr>
          <w:rFonts w:hint="eastAsia" w:ascii="宋体" w:hAnsi="宋体"/>
          <w:color w:val="auto"/>
          <w:szCs w:val="21"/>
          <w:highlight w:val="none"/>
          <w:u w:val="single"/>
        </w:rPr>
      </w:pPr>
    </w:p>
    <w:p w14:paraId="2AD31EFA">
      <w:pPr>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rPr>
        <w:t>（发包人名称）：</w:t>
      </w:r>
    </w:p>
    <w:p w14:paraId="6BE39E94">
      <w:pPr>
        <w:spacing w:line="440" w:lineRule="exact"/>
        <w:rPr>
          <w:rFonts w:ascii="宋体" w:hAnsi="宋体"/>
          <w:color w:val="auto"/>
          <w:szCs w:val="21"/>
          <w:highlight w:val="none"/>
        </w:rPr>
      </w:pPr>
    </w:p>
    <w:p w14:paraId="1C7AB222">
      <w:pPr>
        <w:spacing w:line="360" w:lineRule="auto"/>
        <w:ind w:firstLine="420" w:firstLineChars="200"/>
        <w:rPr>
          <w:rFonts w:ascii="宋体" w:hAnsi="宋体"/>
          <w:color w:val="auto"/>
          <w:szCs w:val="21"/>
          <w:highlight w:val="none"/>
        </w:rPr>
      </w:pPr>
      <w:r>
        <w:rPr>
          <w:rFonts w:ascii="宋体" w:hAnsi="宋体"/>
          <w:color w:val="auto"/>
          <w:szCs w:val="21"/>
          <w:highlight w:val="none"/>
        </w:rPr>
        <w:t>鉴于</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（发包人名称，以下简称“发包人”）与</w:t>
      </w:r>
      <w:r>
        <w:rPr>
          <w:rFonts w:ascii="宋体" w:hAnsi="宋体"/>
          <w:color w:val="auto"/>
          <w:szCs w:val="21"/>
          <w:highlight w:val="none"/>
          <w:u w:val="single"/>
        </w:rPr>
        <w:t xml:space="preserve">                 </w:t>
      </w:r>
      <w:r>
        <w:rPr>
          <w:rFonts w:ascii="宋体" w:hAnsi="宋体"/>
          <w:color w:val="auto"/>
          <w:szCs w:val="21"/>
          <w:highlight w:val="none"/>
        </w:rPr>
        <w:t>（承包人名称）（以下称“承包人”）于</w:t>
      </w: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日就</w:t>
      </w:r>
      <w:r>
        <w:rPr>
          <w:rFonts w:ascii="宋体" w:hAnsi="宋体"/>
          <w:color w:val="auto"/>
          <w:szCs w:val="21"/>
          <w:highlight w:val="none"/>
          <w:u w:val="single"/>
        </w:rPr>
        <w:t xml:space="preserve">                      </w:t>
      </w:r>
      <w:r>
        <w:rPr>
          <w:rFonts w:ascii="宋体" w:hAnsi="宋体"/>
          <w:color w:val="auto"/>
          <w:szCs w:val="21"/>
          <w:highlight w:val="none"/>
        </w:rPr>
        <w:t xml:space="preserve">（工程名称）施工及有关事项协商一致共同签订《建设工程施工合同》。我方愿意无条件地、不可撤销地就承包人履行与你方签订的合同，向你方提供连带责任担保。 </w:t>
      </w:r>
    </w:p>
    <w:p w14:paraId="41E6F514">
      <w:pPr>
        <w:spacing w:line="360" w:lineRule="auto"/>
        <w:ind w:firstLine="420" w:firstLineChars="200"/>
        <w:rPr>
          <w:rFonts w:ascii="宋体" w:hAnsi="宋体"/>
          <w:color w:val="auto"/>
          <w:szCs w:val="21"/>
          <w:highlight w:val="none"/>
        </w:rPr>
      </w:pPr>
      <w:r>
        <w:rPr>
          <w:rFonts w:ascii="宋体" w:hAnsi="宋体"/>
          <w:color w:val="auto"/>
          <w:szCs w:val="21"/>
          <w:highlight w:val="none"/>
        </w:rPr>
        <w:t>1. 担保金额人民币（大写）</w:t>
      </w:r>
      <w:r>
        <w:rPr>
          <w:rFonts w:ascii="宋体" w:hAnsi="宋体"/>
          <w:color w:val="auto"/>
          <w:szCs w:val="21"/>
          <w:highlight w:val="none"/>
          <w:u w:val="single"/>
        </w:rPr>
        <w:t xml:space="preserve">                 </w:t>
      </w:r>
      <w:r>
        <w:rPr>
          <w:rFonts w:ascii="宋体" w:hAnsi="宋体"/>
          <w:color w:val="auto"/>
          <w:szCs w:val="21"/>
          <w:highlight w:val="none"/>
        </w:rPr>
        <w:t>元（¥</w:t>
      </w:r>
      <w:r>
        <w:rPr>
          <w:rFonts w:ascii="宋体" w:hAnsi="宋体"/>
          <w:color w:val="auto"/>
          <w:szCs w:val="21"/>
          <w:highlight w:val="none"/>
          <w:u w:val="single"/>
        </w:rPr>
        <w:t xml:space="preserve">             </w:t>
      </w:r>
      <w:r>
        <w:rPr>
          <w:rFonts w:ascii="宋体" w:hAnsi="宋体"/>
          <w:color w:val="auto"/>
          <w:szCs w:val="21"/>
          <w:highlight w:val="none"/>
        </w:rPr>
        <w:t>）。</w:t>
      </w:r>
    </w:p>
    <w:p w14:paraId="4166D8C5">
      <w:pPr>
        <w:spacing w:line="360" w:lineRule="auto"/>
        <w:ind w:firstLine="420" w:firstLineChars="200"/>
        <w:rPr>
          <w:rFonts w:ascii="宋体" w:hAnsi="宋体"/>
          <w:color w:val="auto"/>
          <w:szCs w:val="21"/>
          <w:highlight w:val="none"/>
        </w:rPr>
      </w:pPr>
      <w:r>
        <w:rPr>
          <w:rFonts w:ascii="宋体" w:hAnsi="宋体"/>
          <w:color w:val="auto"/>
          <w:szCs w:val="21"/>
          <w:highlight w:val="none"/>
        </w:rPr>
        <w:t>2. 担保有效期自你方与承包人签订的合同生效之日起至你方签发或应签发工程接收证书之日止。</w:t>
      </w:r>
    </w:p>
    <w:p w14:paraId="7AE5FDE0">
      <w:pPr>
        <w:spacing w:line="360" w:lineRule="auto"/>
        <w:ind w:firstLine="420" w:firstLineChars="200"/>
        <w:rPr>
          <w:rFonts w:ascii="宋体" w:hAnsi="宋体"/>
          <w:color w:val="auto"/>
          <w:szCs w:val="21"/>
          <w:highlight w:val="none"/>
        </w:rPr>
      </w:pPr>
      <w:r>
        <w:rPr>
          <w:rFonts w:ascii="宋体" w:hAnsi="宋体"/>
          <w:color w:val="auto"/>
          <w:szCs w:val="21"/>
          <w:highlight w:val="none"/>
        </w:rPr>
        <w:t>3. 在本担保有效期内，因承包人违反合同约定的义务给你方造成经济损失时，我方在收到你方以书面形式提出的在担保金额内的赔偿要求后，在7天内无条件支付。</w:t>
      </w:r>
    </w:p>
    <w:p w14:paraId="486426AB">
      <w:pPr>
        <w:spacing w:line="360" w:lineRule="auto"/>
        <w:ind w:firstLine="420" w:firstLineChars="200"/>
        <w:rPr>
          <w:rFonts w:ascii="宋体" w:hAnsi="宋体"/>
          <w:color w:val="auto"/>
          <w:szCs w:val="21"/>
          <w:highlight w:val="none"/>
        </w:rPr>
      </w:pPr>
      <w:r>
        <w:rPr>
          <w:rFonts w:ascii="宋体" w:hAnsi="宋体"/>
          <w:color w:val="auto"/>
          <w:szCs w:val="21"/>
          <w:highlight w:val="none"/>
        </w:rPr>
        <w:t>4. 你方和承包人按合同约定变更合同时，我方承担本担保规定的义务不变。</w:t>
      </w:r>
    </w:p>
    <w:p w14:paraId="37EE66B0">
      <w:pPr>
        <w:spacing w:line="360" w:lineRule="auto"/>
        <w:ind w:firstLine="420" w:firstLineChars="200"/>
        <w:rPr>
          <w:rFonts w:ascii="宋体" w:hAnsi="宋体"/>
          <w:color w:val="auto"/>
          <w:szCs w:val="21"/>
          <w:highlight w:val="none"/>
        </w:rPr>
      </w:pPr>
      <w:r>
        <w:rPr>
          <w:rFonts w:ascii="宋体" w:hAnsi="宋体"/>
          <w:color w:val="auto"/>
          <w:szCs w:val="21"/>
          <w:highlight w:val="none"/>
        </w:rPr>
        <w:t>5. 因本保函发生的纠纷，可由双方协商解决，协商不成的，任何一方均可提请</w:t>
      </w:r>
      <w:r>
        <w:rPr>
          <w:rFonts w:ascii="宋体" w:hAnsi="宋体"/>
          <w:color w:val="auto"/>
          <w:szCs w:val="21"/>
          <w:highlight w:val="none"/>
          <w:u w:val="single"/>
        </w:rPr>
        <w:t xml:space="preserve">        </w:t>
      </w:r>
      <w:r>
        <w:rPr>
          <w:rFonts w:ascii="宋体" w:hAnsi="宋体"/>
          <w:color w:val="auto"/>
          <w:szCs w:val="21"/>
          <w:highlight w:val="none"/>
        </w:rPr>
        <w:t>仲裁委员会仲裁。</w:t>
      </w:r>
    </w:p>
    <w:p w14:paraId="14198B31">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6. 本保函自我方法定代表人（或其授权代理人）签字并加盖公章之日起生效。</w:t>
      </w:r>
    </w:p>
    <w:p w14:paraId="68483D30">
      <w:pPr>
        <w:spacing w:line="360" w:lineRule="auto"/>
        <w:rPr>
          <w:rFonts w:hint="eastAsia" w:ascii="宋体" w:hAnsi="宋体"/>
          <w:color w:val="auto"/>
          <w:szCs w:val="21"/>
          <w:highlight w:val="none"/>
        </w:rPr>
      </w:pPr>
    </w:p>
    <w:p w14:paraId="11C0B0E5">
      <w:pPr>
        <w:spacing w:line="360" w:lineRule="auto"/>
        <w:ind w:firstLine="2835" w:firstLineChars="1350"/>
        <w:rPr>
          <w:rFonts w:hint="eastAsia" w:ascii="宋体" w:hAnsi="宋体"/>
          <w:color w:val="auto"/>
          <w:szCs w:val="21"/>
          <w:highlight w:val="none"/>
        </w:rPr>
      </w:pPr>
    </w:p>
    <w:p w14:paraId="7C0A0812">
      <w:pPr>
        <w:spacing w:line="360" w:lineRule="auto"/>
        <w:ind w:firstLine="2835" w:firstLineChars="1350"/>
        <w:rPr>
          <w:rFonts w:hint="eastAsia" w:ascii="宋体" w:hAnsi="宋体"/>
          <w:color w:val="auto"/>
          <w:szCs w:val="21"/>
          <w:highlight w:val="none"/>
        </w:rPr>
      </w:pPr>
    </w:p>
    <w:p w14:paraId="7D78DE95">
      <w:pPr>
        <w:spacing w:line="360" w:lineRule="auto"/>
        <w:ind w:firstLine="2835" w:firstLineChars="1350"/>
        <w:rPr>
          <w:rFonts w:ascii="宋体" w:hAnsi="宋体"/>
          <w:color w:val="auto"/>
          <w:szCs w:val="21"/>
          <w:highlight w:val="none"/>
        </w:rPr>
      </w:pPr>
      <w:r>
        <w:rPr>
          <w:rFonts w:ascii="宋体" w:hAnsi="宋体"/>
          <w:color w:val="auto"/>
          <w:szCs w:val="21"/>
          <w:highlight w:val="none"/>
        </w:rPr>
        <w:t>担 保 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（盖单位章）</w:t>
      </w:r>
    </w:p>
    <w:p w14:paraId="6DD0CA9F">
      <w:pPr>
        <w:spacing w:line="360" w:lineRule="auto"/>
        <w:ind w:firstLine="2835" w:firstLineChars="1350"/>
        <w:rPr>
          <w:rFonts w:ascii="宋体" w:hAnsi="宋体"/>
          <w:color w:val="auto"/>
          <w:szCs w:val="21"/>
          <w:highlight w:val="none"/>
        </w:rPr>
      </w:pPr>
      <w:r>
        <w:rPr>
          <w:rFonts w:ascii="宋体" w:hAnsi="宋体"/>
          <w:color w:val="auto"/>
          <w:szCs w:val="21"/>
          <w:highlight w:val="none"/>
        </w:rPr>
        <w:t>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（签字）</w:t>
      </w:r>
    </w:p>
    <w:p w14:paraId="1D55B6D7">
      <w:pPr>
        <w:spacing w:line="360" w:lineRule="auto"/>
        <w:ind w:firstLine="2835" w:firstLineChars="1350"/>
        <w:rPr>
          <w:rFonts w:ascii="宋体" w:hAnsi="宋体"/>
          <w:color w:val="auto"/>
          <w:szCs w:val="21"/>
          <w:highlight w:val="none"/>
        </w:rPr>
      </w:pPr>
      <w:r>
        <w:rPr>
          <w:rFonts w:ascii="宋体" w:hAnsi="宋体"/>
          <w:color w:val="auto"/>
          <w:szCs w:val="21"/>
          <w:highlight w:val="none"/>
        </w:rPr>
        <w:t>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44C19A7D">
      <w:pPr>
        <w:spacing w:line="360" w:lineRule="auto"/>
        <w:ind w:firstLine="2835" w:firstLineChars="1350"/>
        <w:rPr>
          <w:rFonts w:ascii="宋体" w:hAnsi="宋体"/>
          <w:color w:val="auto"/>
          <w:szCs w:val="21"/>
          <w:highlight w:val="none"/>
        </w:rPr>
      </w:pPr>
      <w:r>
        <w:rPr>
          <w:rFonts w:ascii="宋体" w:hAnsi="宋体"/>
          <w:color w:val="auto"/>
          <w:szCs w:val="21"/>
          <w:highlight w:val="none"/>
        </w:rPr>
        <w:t>邮政编码：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7D212A03">
      <w:pPr>
        <w:spacing w:line="360" w:lineRule="auto"/>
        <w:ind w:firstLine="2835" w:firstLineChars="1350"/>
        <w:rPr>
          <w:rFonts w:ascii="宋体" w:hAnsi="宋体"/>
          <w:color w:val="auto"/>
          <w:szCs w:val="21"/>
          <w:highlight w:val="none"/>
          <w:u w:val="single"/>
        </w:rPr>
      </w:pPr>
      <w:r>
        <w:rPr>
          <w:rFonts w:ascii="宋体" w:hAnsi="宋体"/>
          <w:color w:val="auto"/>
          <w:szCs w:val="21"/>
          <w:highlight w:val="none"/>
        </w:rPr>
        <w:t>电    话：</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6DB31287">
      <w:pPr>
        <w:spacing w:line="360" w:lineRule="auto"/>
        <w:ind w:firstLine="2835" w:firstLineChars="1350"/>
        <w:rPr>
          <w:rFonts w:ascii="宋体" w:hAnsi="宋体"/>
          <w:color w:val="auto"/>
          <w:szCs w:val="21"/>
          <w:highlight w:val="none"/>
        </w:rPr>
      </w:pPr>
      <w:r>
        <w:rPr>
          <w:rFonts w:ascii="宋体" w:hAnsi="宋体"/>
          <w:color w:val="auto"/>
          <w:szCs w:val="21"/>
          <w:highlight w:val="none"/>
        </w:rPr>
        <w:t>传    真：</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5FA06F33">
      <w:pPr>
        <w:spacing w:line="360" w:lineRule="auto"/>
        <w:ind w:left="1329" w:hanging="1329" w:hangingChars="633"/>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p>
    <w:p w14:paraId="325D8618">
      <w:pPr>
        <w:spacing w:line="360" w:lineRule="auto"/>
        <w:ind w:left="1329" w:hanging="1329" w:hangingChars="633"/>
        <w:rPr>
          <w:rFonts w:ascii="宋体" w:hAnsi="宋体"/>
          <w:color w:val="auto"/>
          <w:szCs w:val="21"/>
          <w:highlight w:val="none"/>
        </w:rPr>
      </w:pPr>
      <w:r>
        <w:rPr>
          <w:rFonts w:ascii="宋体" w:hAnsi="宋体"/>
          <w:color w:val="auto"/>
          <w:szCs w:val="21"/>
          <w:highlight w:val="none"/>
        </w:rPr>
        <w:br w:type="page"/>
      </w:r>
    </w:p>
    <w:p w14:paraId="0B0AB6A6">
      <w:pPr>
        <w:spacing w:before="120" w:beforeLines="50" w:after="120" w:afterLines="50" w:line="440" w:lineRule="exact"/>
        <w:jc w:val="left"/>
        <w:rPr>
          <w:rFonts w:ascii="宋体" w:hAnsi="宋体"/>
          <w:color w:val="auto"/>
          <w:sz w:val="24"/>
          <w:szCs w:val="24"/>
          <w:highlight w:val="none"/>
        </w:rPr>
      </w:pPr>
      <w:r>
        <w:rPr>
          <w:rFonts w:ascii="宋体" w:hAnsi="宋体"/>
          <w:color w:val="auto"/>
          <w:sz w:val="24"/>
          <w:szCs w:val="24"/>
          <w:highlight w:val="none"/>
        </w:rPr>
        <w:t>附</w:t>
      </w:r>
      <w:bookmarkStart w:id="2273" w:name="_Toc296503232"/>
      <w:bookmarkStart w:id="2274" w:name="_Toc267261702"/>
      <w:bookmarkStart w:id="2275" w:name="_Toc296891060"/>
      <w:bookmarkStart w:id="2276" w:name="_Toc296944571"/>
      <w:bookmarkStart w:id="2277" w:name="_Toc296891272"/>
      <w:bookmarkStart w:id="2278" w:name="_Toc296346733"/>
      <w:bookmarkStart w:id="2279" w:name="_Toc296347231"/>
      <w:r>
        <w:rPr>
          <w:rFonts w:ascii="宋体" w:hAnsi="宋体"/>
          <w:color w:val="auto"/>
          <w:sz w:val="24"/>
          <w:szCs w:val="24"/>
          <w:highlight w:val="none"/>
        </w:rPr>
        <w:t>件9 ：</w:t>
      </w:r>
    </w:p>
    <w:bookmarkEnd w:id="2273"/>
    <w:bookmarkEnd w:id="2274"/>
    <w:bookmarkEnd w:id="2275"/>
    <w:bookmarkEnd w:id="2276"/>
    <w:bookmarkEnd w:id="2277"/>
    <w:bookmarkEnd w:id="2278"/>
    <w:bookmarkEnd w:id="2279"/>
    <w:p w14:paraId="38049068">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预付款担保</w:t>
      </w:r>
    </w:p>
    <w:p w14:paraId="0E464C1F">
      <w:pPr>
        <w:spacing w:line="360" w:lineRule="auto"/>
        <w:rPr>
          <w:rFonts w:hint="eastAsia" w:ascii="宋体" w:hAnsi="宋体"/>
          <w:color w:val="auto"/>
          <w:szCs w:val="21"/>
          <w:highlight w:val="none"/>
          <w:u w:val="single"/>
        </w:rPr>
      </w:pPr>
    </w:p>
    <w:p w14:paraId="5477E3DD">
      <w:pPr>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rPr>
        <w:t xml:space="preserve"> （发包人名称）：</w:t>
      </w:r>
    </w:p>
    <w:p w14:paraId="4512F730">
      <w:pPr>
        <w:spacing w:line="360" w:lineRule="auto"/>
        <w:rPr>
          <w:rFonts w:ascii="宋体" w:hAnsi="宋体"/>
          <w:color w:val="auto"/>
          <w:szCs w:val="21"/>
          <w:highlight w:val="none"/>
        </w:rPr>
      </w:pPr>
    </w:p>
    <w:p w14:paraId="2189EF7B">
      <w:pPr>
        <w:spacing w:line="360" w:lineRule="auto"/>
        <w:ind w:firstLine="420" w:firstLineChars="200"/>
        <w:rPr>
          <w:rFonts w:ascii="宋体" w:hAnsi="宋体"/>
          <w:color w:val="auto"/>
          <w:szCs w:val="21"/>
          <w:highlight w:val="none"/>
        </w:rPr>
      </w:pPr>
      <w:r>
        <w:rPr>
          <w:rFonts w:ascii="宋体" w:hAnsi="宋体"/>
          <w:color w:val="auto"/>
          <w:szCs w:val="21"/>
          <w:highlight w:val="none"/>
        </w:rPr>
        <w:t>根据</w:t>
      </w:r>
      <w:r>
        <w:rPr>
          <w:rFonts w:ascii="宋体" w:hAnsi="宋体"/>
          <w:color w:val="auto"/>
          <w:szCs w:val="21"/>
          <w:highlight w:val="none"/>
          <w:u w:val="single"/>
        </w:rPr>
        <w:t xml:space="preserve">                 </w:t>
      </w:r>
      <w:r>
        <w:rPr>
          <w:rFonts w:ascii="宋体" w:hAnsi="宋体"/>
          <w:color w:val="auto"/>
          <w:szCs w:val="21"/>
          <w:highlight w:val="none"/>
        </w:rPr>
        <w:t>（承包人名称）（以下称</w:t>
      </w:r>
      <w:r>
        <w:rPr>
          <w:rFonts w:hint="eastAsia" w:ascii="宋体" w:hAnsi="宋体"/>
          <w:color w:val="auto"/>
          <w:szCs w:val="21"/>
          <w:highlight w:val="none"/>
        </w:rPr>
        <w:t>“</w:t>
      </w:r>
      <w:r>
        <w:rPr>
          <w:rFonts w:ascii="宋体" w:hAnsi="宋体"/>
          <w:color w:val="auto"/>
          <w:szCs w:val="21"/>
          <w:highlight w:val="none"/>
        </w:rPr>
        <w:t>承包人</w:t>
      </w:r>
      <w:r>
        <w:rPr>
          <w:rFonts w:hint="eastAsia" w:ascii="宋体" w:hAnsi="宋体"/>
          <w:color w:val="auto"/>
          <w:szCs w:val="21"/>
          <w:highlight w:val="none"/>
        </w:rPr>
        <w:t>”</w:t>
      </w:r>
      <w:r>
        <w:rPr>
          <w:rFonts w:ascii="宋体" w:hAnsi="宋体"/>
          <w:color w:val="auto"/>
          <w:szCs w:val="21"/>
          <w:highlight w:val="none"/>
        </w:rPr>
        <w:t>）与</w:t>
      </w:r>
      <w:r>
        <w:rPr>
          <w:rFonts w:ascii="宋体" w:hAnsi="宋体"/>
          <w:color w:val="auto"/>
          <w:szCs w:val="21"/>
          <w:highlight w:val="none"/>
          <w:u w:val="single"/>
        </w:rPr>
        <w:t xml:space="preserve">                        </w:t>
      </w:r>
      <w:r>
        <w:rPr>
          <w:rFonts w:ascii="宋体" w:hAnsi="宋体"/>
          <w:color w:val="auto"/>
          <w:szCs w:val="21"/>
          <w:highlight w:val="none"/>
        </w:rPr>
        <w:t>（发包人名称）（以下简称</w:t>
      </w:r>
      <w:r>
        <w:rPr>
          <w:rFonts w:hint="eastAsia" w:ascii="宋体" w:hAnsi="宋体"/>
          <w:color w:val="auto"/>
          <w:szCs w:val="21"/>
          <w:highlight w:val="none"/>
        </w:rPr>
        <w:t>“</w:t>
      </w:r>
      <w:r>
        <w:rPr>
          <w:rFonts w:ascii="宋体" w:hAnsi="宋体"/>
          <w:color w:val="auto"/>
          <w:szCs w:val="21"/>
          <w:highlight w:val="none"/>
        </w:rPr>
        <w:t>发包人</w:t>
      </w:r>
      <w:r>
        <w:rPr>
          <w:rFonts w:hint="eastAsia" w:ascii="宋体" w:hAnsi="宋体"/>
          <w:color w:val="auto"/>
          <w:szCs w:val="21"/>
          <w:highlight w:val="none"/>
        </w:rPr>
        <w:t>”</w:t>
      </w:r>
      <w:r>
        <w:rPr>
          <w:rFonts w:ascii="宋体" w:hAnsi="宋体"/>
          <w:color w:val="auto"/>
          <w:szCs w:val="21"/>
          <w:highlight w:val="none"/>
        </w:rPr>
        <w:t>）于</w:t>
      </w: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日签订的</w:t>
      </w:r>
      <w:r>
        <w:rPr>
          <w:rFonts w:ascii="宋体" w:hAnsi="宋体"/>
          <w:color w:val="auto"/>
          <w:szCs w:val="21"/>
          <w:highlight w:val="none"/>
          <w:u w:val="single"/>
        </w:rPr>
        <w:t xml:space="preserve">                   </w:t>
      </w:r>
      <w:r>
        <w:rPr>
          <w:rFonts w:ascii="宋体" w:hAnsi="宋体"/>
          <w:color w:val="auto"/>
          <w:szCs w:val="21"/>
          <w:highlight w:val="none"/>
        </w:rPr>
        <w:t>（工程名称）《建设工程施工合同》，承包人按约定的金额向</w:t>
      </w:r>
      <w:r>
        <w:rPr>
          <w:rFonts w:hint="eastAsia" w:ascii="宋体" w:hAnsi="宋体"/>
          <w:color w:val="auto"/>
          <w:szCs w:val="21"/>
          <w:highlight w:val="none"/>
        </w:rPr>
        <w:t>你方</w:t>
      </w:r>
      <w:r>
        <w:rPr>
          <w:rFonts w:ascii="宋体" w:hAnsi="宋体"/>
          <w:color w:val="auto"/>
          <w:szCs w:val="21"/>
          <w:highlight w:val="none"/>
        </w:rPr>
        <w:t>提交一份预付款担保，即有权得到</w:t>
      </w:r>
      <w:r>
        <w:rPr>
          <w:rFonts w:hint="eastAsia" w:ascii="宋体" w:hAnsi="宋体"/>
          <w:color w:val="auto"/>
          <w:szCs w:val="21"/>
          <w:highlight w:val="none"/>
        </w:rPr>
        <w:t>你方</w:t>
      </w:r>
      <w:r>
        <w:rPr>
          <w:rFonts w:ascii="宋体" w:hAnsi="宋体"/>
          <w:color w:val="auto"/>
          <w:szCs w:val="21"/>
          <w:highlight w:val="none"/>
        </w:rPr>
        <w:t>支付相等金额的预付款。我方愿意就你方提供给承包人的预付款</w:t>
      </w:r>
      <w:r>
        <w:rPr>
          <w:rFonts w:hint="eastAsia" w:ascii="宋体" w:hAnsi="宋体"/>
          <w:color w:val="auto"/>
          <w:szCs w:val="21"/>
          <w:highlight w:val="none"/>
        </w:rPr>
        <w:t>为承包人</w:t>
      </w:r>
      <w:r>
        <w:rPr>
          <w:rFonts w:ascii="宋体" w:hAnsi="宋体"/>
          <w:color w:val="auto"/>
          <w:szCs w:val="21"/>
          <w:highlight w:val="none"/>
        </w:rPr>
        <w:t>提供连带责任担保。</w:t>
      </w:r>
    </w:p>
    <w:p w14:paraId="4CE122D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1. </w:t>
      </w:r>
      <w:r>
        <w:rPr>
          <w:rFonts w:ascii="宋体" w:hAnsi="宋体"/>
          <w:color w:val="auto"/>
          <w:szCs w:val="21"/>
          <w:highlight w:val="none"/>
        </w:rPr>
        <w:t>担保金额人民币（大写）</w:t>
      </w:r>
      <w:r>
        <w:rPr>
          <w:rFonts w:ascii="宋体" w:hAnsi="宋体"/>
          <w:color w:val="auto"/>
          <w:szCs w:val="21"/>
          <w:highlight w:val="none"/>
          <w:u w:val="single"/>
        </w:rPr>
        <w:t xml:space="preserve">                </w:t>
      </w:r>
      <w:r>
        <w:rPr>
          <w:rFonts w:hint="eastAsia" w:ascii="宋体" w:hAnsi="宋体"/>
          <w:color w:val="auto"/>
          <w:szCs w:val="21"/>
          <w:highlight w:val="none"/>
        </w:rPr>
        <w:t>元</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p>
    <w:p w14:paraId="79D6881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2. </w:t>
      </w:r>
      <w:r>
        <w:rPr>
          <w:rFonts w:ascii="宋体" w:hAnsi="宋体"/>
          <w:color w:val="auto"/>
          <w:szCs w:val="21"/>
          <w:highlight w:val="none"/>
        </w:rPr>
        <w:t>担保有效期自预付款支付给承包人起生效，至</w:t>
      </w:r>
      <w:r>
        <w:rPr>
          <w:rFonts w:hint="eastAsia" w:ascii="宋体" w:hAnsi="宋体"/>
          <w:color w:val="auto"/>
          <w:szCs w:val="21"/>
          <w:highlight w:val="none"/>
        </w:rPr>
        <w:t>你方</w:t>
      </w:r>
      <w:r>
        <w:rPr>
          <w:rFonts w:ascii="宋体" w:hAnsi="宋体"/>
          <w:color w:val="auto"/>
          <w:szCs w:val="21"/>
          <w:highlight w:val="none"/>
        </w:rPr>
        <w:t>签发的</w:t>
      </w:r>
      <w:r>
        <w:rPr>
          <w:rFonts w:hint="eastAsia" w:ascii="宋体" w:hAnsi="宋体"/>
          <w:color w:val="auto"/>
          <w:szCs w:val="21"/>
          <w:highlight w:val="none"/>
        </w:rPr>
        <w:t>进</w:t>
      </w:r>
      <w:r>
        <w:rPr>
          <w:rFonts w:ascii="宋体" w:hAnsi="宋体"/>
          <w:color w:val="auto"/>
          <w:szCs w:val="21"/>
          <w:highlight w:val="none"/>
        </w:rPr>
        <w:t>度款支付证书说明已完全扣清止。</w:t>
      </w:r>
    </w:p>
    <w:p w14:paraId="06ACD0B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3. </w:t>
      </w:r>
      <w:r>
        <w:rPr>
          <w:rFonts w:ascii="宋体" w:hAnsi="宋体"/>
          <w:color w:val="auto"/>
          <w:szCs w:val="21"/>
          <w:highlight w:val="none"/>
        </w:rPr>
        <w:t>在本保函有效期内，因承包人违反合同约定的义务而要求</w:t>
      </w:r>
      <w:r>
        <w:rPr>
          <w:rFonts w:hint="eastAsia" w:ascii="宋体" w:hAnsi="宋体"/>
          <w:color w:val="auto"/>
          <w:szCs w:val="21"/>
          <w:highlight w:val="none"/>
        </w:rPr>
        <w:t>收</w:t>
      </w:r>
      <w:r>
        <w:rPr>
          <w:rFonts w:ascii="宋体" w:hAnsi="宋体"/>
          <w:color w:val="auto"/>
          <w:szCs w:val="21"/>
          <w:highlight w:val="none"/>
        </w:rPr>
        <w:t>回预付款时，我方在收到你方的书面通知后，在７天内无条件支付。但本保函的担保金额，在任何时候不应超过预付款金额减去</w:t>
      </w:r>
      <w:r>
        <w:rPr>
          <w:rFonts w:hint="eastAsia" w:ascii="宋体" w:hAnsi="宋体"/>
          <w:color w:val="auto"/>
          <w:szCs w:val="21"/>
          <w:highlight w:val="none"/>
        </w:rPr>
        <w:t>你方</w:t>
      </w:r>
      <w:r>
        <w:rPr>
          <w:rFonts w:ascii="宋体" w:hAnsi="宋体"/>
          <w:color w:val="auto"/>
          <w:szCs w:val="21"/>
          <w:highlight w:val="none"/>
        </w:rPr>
        <w:t>按合同约定在向承包人签发的进度款支付证书中扣除的金额。</w:t>
      </w:r>
    </w:p>
    <w:p w14:paraId="68CFB88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 你方</w:t>
      </w:r>
      <w:r>
        <w:rPr>
          <w:rFonts w:ascii="宋体" w:hAnsi="宋体"/>
          <w:color w:val="auto"/>
          <w:szCs w:val="21"/>
          <w:highlight w:val="none"/>
        </w:rPr>
        <w:t>和承包人按合同约定变更合同时，我方承担本保函规定的义务不变。</w:t>
      </w:r>
    </w:p>
    <w:p w14:paraId="7FEF32DA">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5. </w:t>
      </w:r>
      <w:r>
        <w:rPr>
          <w:rFonts w:ascii="宋体" w:hAnsi="宋体"/>
          <w:color w:val="auto"/>
          <w:szCs w:val="21"/>
          <w:highlight w:val="none"/>
        </w:rPr>
        <w:t>因本保函发生的纠纷，可由双方协商解决，协商不成的，任何一方均可提请</w:t>
      </w:r>
      <w:r>
        <w:rPr>
          <w:rFonts w:ascii="宋体" w:hAnsi="宋体"/>
          <w:color w:val="auto"/>
          <w:szCs w:val="21"/>
          <w:highlight w:val="none"/>
          <w:u w:val="single"/>
        </w:rPr>
        <w:t xml:space="preserve">        </w:t>
      </w:r>
      <w:r>
        <w:rPr>
          <w:rFonts w:ascii="宋体" w:hAnsi="宋体"/>
          <w:color w:val="auto"/>
          <w:szCs w:val="21"/>
          <w:highlight w:val="none"/>
        </w:rPr>
        <w:t>仲裁委员会仲裁。</w:t>
      </w:r>
    </w:p>
    <w:p w14:paraId="0681561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6. </w:t>
      </w:r>
      <w:r>
        <w:rPr>
          <w:rFonts w:ascii="宋体" w:hAnsi="宋体"/>
          <w:color w:val="auto"/>
          <w:szCs w:val="21"/>
          <w:highlight w:val="none"/>
        </w:rPr>
        <w:t>本保函自我方法定代表人（或其授权代理人）签字并加盖公章之日起生效。</w:t>
      </w:r>
    </w:p>
    <w:p w14:paraId="51309D9C">
      <w:pPr>
        <w:spacing w:line="360" w:lineRule="auto"/>
        <w:ind w:firstLine="3045" w:firstLineChars="1450"/>
        <w:rPr>
          <w:rFonts w:ascii="宋体" w:hAnsi="宋体"/>
          <w:color w:val="auto"/>
          <w:szCs w:val="21"/>
          <w:highlight w:val="none"/>
        </w:rPr>
      </w:pPr>
      <w:r>
        <w:rPr>
          <w:rFonts w:ascii="宋体" w:hAnsi="宋体"/>
          <w:color w:val="auto"/>
          <w:szCs w:val="21"/>
          <w:highlight w:val="none"/>
        </w:rPr>
        <w:t>担保人：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（盖单位章）</w:t>
      </w:r>
    </w:p>
    <w:p w14:paraId="5BF41B66">
      <w:pPr>
        <w:spacing w:line="360" w:lineRule="auto"/>
        <w:ind w:firstLine="3045" w:firstLineChars="1450"/>
        <w:rPr>
          <w:rFonts w:ascii="宋体" w:hAnsi="宋体"/>
          <w:color w:val="auto"/>
          <w:szCs w:val="21"/>
          <w:highlight w:val="none"/>
        </w:rPr>
      </w:pPr>
      <w:r>
        <w:rPr>
          <w:rFonts w:ascii="宋体" w:hAnsi="宋体"/>
          <w:color w:val="auto"/>
          <w:szCs w:val="21"/>
          <w:highlight w:val="none"/>
        </w:rPr>
        <w:t>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（签字）</w:t>
      </w:r>
    </w:p>
    <w:p w14:paraId="31DC5ADB">
      <w:pPr>
        <w:spacing w:line="360" w:lineRule="auto"/>
        <w:ind w:firstLine="3045" w:firstLineChars="1450"/>
        <w:rPr>
          <w:rFonts w:ascii="宋体" w:hAnsi="宋体"/>
          <w:color w:val="auto"/>
          <w:szCs w:val="21"/>
          <w:highlight w:val="none"/>
        </w:rPr>
      </w:pPr>
      <w:r>
        <w:rPr>
          <w:rFonts w:ascii="宋体" w:hAnsi="宋体"/>
          <w:color w:val="auto"/>
          <w:szCs w:val="21"/>
          <w:highlight w:val="none"/>
        </w:rPr>
        <w:t>地    址：</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p>
    <w:p w14:paraId="2D0C2E31">
      <w:pPr>
        <w:spacing w:line="360" w:lineRule="auto"/>
        <w:ind w:firstLine="3045" w:firstLineChars="1450"/>
        <w:rPr>
          <w:rFonts w:ascii="宋体" w:hAnsi="宋体"/>
          <w:color w:val="auto"/>
          <w:szCs w:val="21"/>
          <w:highlight w:val="none"/>
          <w:u w:val="single"/>
        </w:rPr>
      </w:pPr>
      <w:r>
        <w:rPr>
          <w:rFonts w:ascii="宋体" w:hAnsi="宋体"/>
          <w:color w:val="auto"/>
          <w:szCs w:val="21"/>
          <w:highlight w:val="none"/>
        </w:rPr>
        <w:t>邮政编码：</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p>
    <w:p w14:paraId="7DA697EB">
      <w:pPr>
        <w:spacing w:line="360" w:lineRule="auto"/>
        <w:ind w:firstLine="3045" w:firstLineChars="1450"/>
        <w:rPr>
          <w:rFonts w:ascii="宋体" w:hAnsi="宋体"/>
          <w:color w:val="auto"/>
          <w:szCs w:val="21"/>
          <w:highlight w:val="none"/>
          <w:u w:val="single"/>
        </w:rPr>
      </w:pPr>
      <w:r>
        <w:rPr>
          <w:rFonts w:ascii="宋体" w:hAnsi="宋体"/>
          <w:color w:val="auto"/>
          <w:szCs w:val="21"/>
          <w:highlight w:val="none"/>
        </w:rPr>
        <w:t>电    话：</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p>
    <w:p w14:paraId="33A476CC">
      <w:pPr>
        <w:spacing w:line="360" w:lineRule="auto"/>
        <w:ind w:firstLine="3045" w:firstLineChars="1450"/>
        <w:rPr>
          <w:rFonts w:ascii="宋体" w:hAnsi="宋体"/>
          <w:color w:val="auto"/>
          <w:szCs w:val="21"/>
          <w:highlight w:val="none"/>
          <w:u w:val="single"/>
        </w:rPr>
      </w:pPr>
      <w:r>
        <w:rPr>
          <w:rFonts w:ascii="宋体" w:hAnsi="宋体"/>
          <w:color w:val="auto"/>
          <w:szCs w:val="21"/>
          <w:highlight w:val="none"/>
        </w:rPr>
        <w:t>传    真：</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p>
    <w:p w14:paraId="107F4C63">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p>
    <w:p w14:paraId="066929B4">
      <w:pPr>
        <w:spacing w:before="120" w:beforeLines="50" w:after="120" w:afterLines="50" w:line="440" w:lineRule="exact"/>
        <w:jc w:val="left"/>
        <w:rPr>
          <w:rFonts w:ascii="Times New Roman" w:hAnsi="Times New Roman" w:eastAsia="黑体"/>
          <w:color w:val="auto"/>
          <w:sz w:val="30"/>
          <w:szCs w:val="30"/>
          <w:highlight w:val="none"/>
        </w:rPr>
      </w:pPr>
      <w:r>
        <w:rPr>
          <w:rFonts w:ascii="Times New Roman" w:hAnsi="Times New Roman" w:eastAsia="仿宋_GB2312"/>
          <w:b/>
          <w:color w:val="auto"/>
          <w:sz w:val="30"/>
          <w:szCs w:val="30"/>
          <w:highlight w:val="none"/>
        </w:rPr>
        <w:br w:type="page"/>
      </w:r>
      <w:r>
        <w:rPr>
          <w:rFonts w:ascii="宋体" w:hAnsi="宋体"/>
          <w:color w:val="auto"/>
          <w:sz w:val="24"/>
          <w:szCs w:val="24"/>
          <w:highlight w:val="none"/>
        </w:rPr>
        <w:t>附</w:t>
      </w:r>
      <w:bookmarkStart w:id="2280" w:name="_Toc296347232"/>
      <w:bookmarkStart w:id="2281" w:name="_Toc296944572"/>
      <w:bookmarkStart w:id="2282" w:name="_Toc296891273"/>
      <w:bookmarkStart w:id="2283" w:name="_Toc296503233"/>
      <w:bookmarkStart w:id="2284" w:name="_Toc296891061"/>
      <w:bookmarkStart w:id="2285" w:name="_Toc296346734"/>
      <w:r>
        <w:rPr>
          <w:rFonts w:ascii="宋体" w:hAnsi="宋体"/>
          <w:color w:val="auto"/>
          <w:sz w:val="24"/>
          <w:szCs w:val="24"/>
          <w:highlight w:val="none"/>
        </w:rPr>
        <w:t xml:space="preserve">件10:  </w:t>
      </w:r>
    </w:p>
    <w:bookmarkEnd w:id="2280"/>
    <w:bookmarkEnd w:id="2281"/>
    <w:bookmarkEnd w:id="2282"/>
    <w:bookmarkEnd w:id="2283"/>
    <w:bookmarkEnd w:id="2284"/>
    <w:bookmarkEnd w:id="2285"/>
    <w:p w14:paraId="02ACF64C">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支付担保</w:t>
      </w:r>
    </w:p>
    <w:p w14:paraId="32EAE68C">
      <w:pPr>
        <w:spacing w:line="440" w:lineRule="exact"/>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（承包人）：</w:t>
      </w:r>
    </w:p>
    <w:p w14:paraId="6A0552E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鉴于你方作为承包人已经与</w:t>
      </w:r>
      <w:r>
        <w:rPr>
          <w:rFonts w:ascii="宋体" w:hAnsi="宋体"/>
          <w:color w:val="auto"/>
          <w:szCs w:val="21"/>
          <w:highlight w:val="none"/>
          <w:u w:val="single"/>
        </w:rPr>
        <w:t xml:space="preserve">          </w:t>
      </w:r>
      <w:r>
        <w:rPr>
          <w:rFonts w:ascii="宋体" w:hAnsi="宋体"/>
          <w:color w:val="auto"/>
          <w:szCs w:val="21"/>
          <w:highlight w:val="none"/>
        </w:rPr>
        <w:t>（发包人名称）（以下称</w:t>
      </w:r>
      <w:r>
        <w:rPr>
          <w:rFonts w:hint="eastAsia" w:ascii="宋体" w:hAnsi="宋体"/>
          <w:color w:val="auto"/>
          <w:szCs w:val="21"/>
          <w:highlight w:val="none"/>
        </w:rPr>
        <w:t>“</w:t>
      </w:r>
      <w:r>
        <w:rPr>
          <w:rFonts w:ascii="宋体" w:hAnsi="宋体"/>
          <w:color w:val="auto"/>
          <w:szCs w:val="21"/>
          <w:highlight w:val="none"/>
        </w:rPr>
        <w:t>发包人</w:t>
      </w:r>
      <w:r>
        <w:rPr>
          <w:rFonts w:hint="eastAsia" w:ascii="宋体" w:hAnsi="宋体"/>
          <w:color w:val="auto"/>
          <w:szCs w:val="21"/>
          <w:highlight w:val="none"/>
        </w:rPr>
        <w:t>”</w:t>
      </w:r>
      <w:r>
        <w:rPr>
          <w:rFonts w:ascii="宋体" w:hAnsi="宋体"/>
          <w:color w:val="auto"/>
          <w:szCs w:val="21"/>
          <w:highlight w:val="none"/>
        </w:rPr>
        <w:t>）于</w:t>
      </w: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日签订了</w:t>
      </w:r>
      <w:r>
        <w:rPr>
          <w:rFonts w:ascii="宋体" w:hAnsi="宋体"/>
          <w:color w:val="auto"/>
          <w:szCs w:val="21"/>
          <w:highlight w:val="none"/>
          <w:u w:val="single"/>
        </w:rPr>
        <w:t xml:space="preserve">             </w:t>
      </w:r>
      <w:r>
        <w:rPr>
          <w:rFonts w:ascii="宋体" w:hAnsi="宋体"/>
          <w:color w:val="auto"/>
          <w:szCs w:val="21"/>
          <w:highlight w:val="none"/>
        </w:rPr>
        <w:t>（工程名称）《建设工程施工合同》（以下称</w:t>
      </w:r>
      <w:r>
        <w:rPr>
          <w:rFonts w:hint="eastAsia" w:ascii="宋体" w:hAnsi="宋体"/>
          <w:color w:val="auto"/>
          <w:szCs w:val="21"/>
          <w:highlight w:val="none"/>
        </w:rPr>
        <w:t>“</w:t>
      </w:r>
      <w:r>
        <w:rPr>
          <w:rFonts w:ascii="宋体" w:hAnsi="宋体"/>
          <w:color w:val="auto"/>
          <w:szCs w:val="21"/>
          <w:highlight w:val="none"/>
        </w:rPr>
        <w:t>主合同</w:t>
      </w:r>
      <w:r>
        <w:rPr>
          <w:rFonts w:hint="eastAsia" w:ascii="宋体" w:hAnsi="宋体"/>
          <w:color w:val="auto"/>
          <w:szCs w:val="21"/>
          <w:highlight w:val="none"/>
        </w:rPr>
        <w:t>”</w:t>
      </w:r>
      <w:r>
        <w:rPr>
          <w:rFonts w:ascii="宋体" w:hAnsi="宋体"/>
          <w:color w:val="auto"/>
          <w:szCs w:val="21"/>
          <w:highlight w:val="none"/>
        </w:rPr>
        <w:t>），应发包人的申请，我方愿就发包人履行主合同约定的工程款支付义务以保证的方式向你方提供如下担保：</w:t>
      </w:r>
    </w:p>
    <w:p w14:paraId="58D45FAE">
      <w:pPr>
        <w:rPr>
          <w:rFonts w:ascii="Times New Roman" w:hAnsi="Times New Roman"/>
          <w:b/>
          <w:color w:val="auto"/>
          <w:szCs w:val="24"/>
          <w:highlight w:val="none"/>
        </w:rPr>
      </w:pPr>
      <w:r>
        <w:rPr>
          <w:rFonts w:ascii="Times New Roman" w:hAnsi="Times New Roman"/>
          <w:b/>
          <w:color w:val="auto"/>
          <w:szCs w:val="24"/>
          <w:highlight w:val="none"/>
        </w:rPr>
        <w:t>一、保证的范围及保证金额</w:t>
      </w:r>
    </w:p>
    <w:p w14:paraId="78C269EA">
      <w:pPr>
        <w:spacing w:line="360" w:lineRule="auto"/>
        <w:jc w:val="left"/>
        <w:rPr>
          <w:rFonts w:ascii="宋体" w:hAnsi="宋体"/>
          <w:color w:val="auto"/>
          <w:szCs w:val="21"/>
          <w:highlight w:val="none"/>
        </w:rPr>
      </w:pPr>
      <w:r>
        <w:rPr>
          <w:rFonts w:hint="eastAsia" w:ascii="宋体" w:hAnsi="宋体"/>
          <w:color w:val="auto"/>
          <w:szCs w:val="21"/>
          <w:highlight w:val="none"/>
        </w:rPr>
        <w:t xml:space="preserve">1. </w:t>
      </w:r>
      <w:r>
        <w:rPr>
          <w:rFonts w:ascii="宋体" w:hAnsi="宋体"/>
          <w:color w:val="auto"/>
          <w:szCs w:val="21"/>
          <w:highlight w:val="none"/>
        </w:rPr>
        <w:t>我方的保证范围是主合同约定的工程款。</w:t>
      </w:r>
    </w:p>
    <w:p w14:paraId="0D9656DB">
      <w:pPr>
        <w:spacing w:line="360" w:lineRule="auto"/>
        <w:jc w:val="left"/>
        <w:rPr>
          <w:rFonts w:ascii="宋体" w:hAnsi="宋体"/>
          <w:color w:val="auto"/>
          <w:szCs w:val="21"/>
          <w:highlight w:val="none"/>
        </w:rPr>
      </w:pPr>
      <w:r>
        <w:rPr>
          <w:rFonts w:hint="eastAsia" w:ascii="宋体" w:hAnsi="宋体"/>
          <w:color w:val="auto"/>
          <w:szCs w:val="21"/>
          <w:highlight w:val="none"/>
        </w:rPr>
        <w:t xml:space="preserve">2. </w:t>
      </w:r>
      <w:r>
        <w:rPr>
          <w:rFonts w:ascii="宋体" w:hAnsi="宋体"/>
          <w:color w:val="auto"/>
          <w:szCs w:val="21"/>
          <w:highlight w:val="none"/>
        </w:rPr>
        <w:t>本保函所称主合同约定的工程款是指主合同约定的除工程质量保证金以外的合同价款。</w:t>
      </w:r>
      <w:r>
        <w:rPr>
          <w:rFonts w:hint="eastAsia" w:ascii="宋体" w:hAnsi="宋体"/>
          <w:color w:val="auto"/>
          <w:szCs w:val="21"/>
          <w:highlight w:val="none"/>
        </w:rPr>
        <w:t xml:space="preserve">3. </w:t>
      </w:r>
      <w:r>
        <w:rPr>
          <w:rFonts w:ascii="宋体" w:hAnsi="宋体"/>
          <w:color w:val="auto"/>
          <w:szCs w:val="21"/>
          <w:highlight w:val="none"/>
        </w:rPr>
        <w:t>我方保证的金额是主合同约定的工程款的</w:t>
      </w:r>
      <w:r>
        <w:rPr>
          <w:rFonts w:ascii="宋体" w:hAnsi="宋体"/>
          <w:color w:val="auto"/>
          <w:szCs w:val="21"/>
          <w:highlight w:val="none"/>
          <w:u w:val="single"/>
        </w:rPr>
        <w:t xml:space="preserve">      </w:t>
      </w:r>
      <w:r>
        <w:rPr>
          <w:rFonts w:ascii="宋体" w:hAnsi="宋体"/>
          <w:color w:val="auto"/>
          <w:szCs w:val="21"/>
          <w:highlight w:val="none"/>
        </w:rPr>
        <w:t>%，数额最高不超过人民币元（大写：</w:t>
      </w:r>
      <w:r>
        <w:rPr>
          <w:rFonts w:ascii="宋体" w:hAnsi="宋体"/>
          <w:color w:val="auto"/>
          <w:szCs w:val="21"/>
          <w:highlight w:val="none"/>
          <w:u w:val="single"/>
        </w:rPr>
        <w:t xml:space="preserve">        </w:t>
      </w:r>
      <w:r>
        <w:rPr>
          <w:rFonts w:ascii="宋体" w:hAnsi="宋体"/>
          <w:color w:val="auto"/>
          <w:szCs w:val="21"/>
          <w:highlight w:val="none"/>
        </w:rPr>
        <w:t>）。</w:t>
      </w:r>
    </w:p>
    <w:p w14:paraId="28CF1AE4">
      <w:pPr>
        <w:rPr>
          <w:rFonts w:ascii="Times New Roman" w:hAnsi="Times New Roman"/>
          <w:b/>
          <w:color w:val="auto"/>
          <w:szCs w:val="24"/>
          <w:highlight w:val="none"/>
        </w:rPr>
      </w:pPr>
      <w:r>
        <w:rPr>
          <w:rFonts w:ascii="Times New Roman" w:hAnsi="Times New Roman"/>
          <w:b/>
          <w:color w:val="auto"/>
          <w:szCs w:val="24"/>
          <w:highlight w:val="none"/>
        </w:rPr>
        <w:t>二、保证的方式及保证期间</w:t>
      </w:r>
    </w:p>
    <w:p w14:paraId="4F2631F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1. </w:t>
      </w:r>
      <w:r>
        <w:rPr>
          <w:rFonts w:ascii="宋体" w:hAnsi="宋体"/>
          <w:color w:val="auto"/>
          <w:szCs w:val="21"/>
          <w:highlight w:val="none"/>
        </w:rPr>
        <w:t>我方保证的方式为：连带责任保证。</w:t>
      </w:r>
    </w:p>
    <w:p w14:paraId="4176D05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2. </w:t>
      </w:r>
      <w:r>
        <w:rPr>
          <w:rFonts w:ascii="宋体" w:hAnsi="宋体"/>
          <w:color w:val="auto"/>
          <w:szCs w:val="21"/>
          <w:highlight w:val="none"/>
        </w:rPr>
        <w:t>我方保证的期间为：自本合同生效之日起至主合同约定的工程款支付完毕之日后</w:t>
      </w:r>
      <w:r>
        <w:rPr>
          <w:rFonts w:ascii="宋体" w:hAnsi="宋体"/>
          <w:color w:val="auto"/>
          <w:szCs w:val="21"/>
          <w:highlight w:val="none"/>
          <w:u w:val="single"/>
        </w:rPr>
        <w:t xml:space="preserve">    </w:t>
      </w:r>
      <w:r>
        <w:rPr>
          <w:rFonts w:ascii="宋体" w:hAnsi="宋体"/>
          <w:color w:val="auto"/>
          <w:szCs w:val="21"/>
          <w:highlight w:val="none"/>
        </w:rPr>
        <w:t>日内。</w:t>
      </w:r>
    </w:p>
    <w:p w14:paraId="4CC1E41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3. </w:t>
      </w:r>
      <w:r>
        <w:rPr>
          <w:rFonts w:ascii="宋体" w:hAnsi="宋体"/>
          <w:color w:val="auto"/>
          <w:szCs w:val="21"/>
          <w:highlight w:val="none"/>
        </w:rPr>
        <w:t>你方与发包人协议变更工程款支付日期的，经我方书面同意后，保证期间按照变更后的支付日期做相应调整。</w:t>
      </w:r>
    </w:p>
    <w:p w14:paraId="5AB9256E">
      <w:pPr>
        <w:rPr>
          <w:rFonts w:ascii="Times New Roman" w:hAnsi="Times New Roman"/>
          <w:b/>
          <w:color w:val="auto"/>
          <w:szCs w:val="24"/>
          <w:highlight w:val="none"/>
        </w:rPr>
      </w:pPr>
      <w:r>
        <w:rPr>
          <w:rFonts w:ascii="Times New Roman" w:hAnsi="Times New Roman"/>
          <w:b/>
          <w:color w:val="auto"/>
          <w:szCs w:val="24"/>
          <w:highlight w:val="none"/>
        </w:rPr>
        <w:t>三、承担保证责任的形式</w:t>
      </w:r>
    </w:p>
    <w:p w14:paraId="65BDFF9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我方承担保证责任的形式是代为支付。发包人未按主合同约定向你方支付工程款的，由我方在保证金额内代为支付。</w:t>
      </w:r>
    </w:p>
    <w:p w14:paraId="17958C5B">
      <w:pPr>
        <w:rPr>
          <w:rFonts w:ascii="Times New Roman" w:hAnsi="Times New Roman"/>
          <w:b/>
          <w:color w:val="auto"/>
          <w:szCs w:val="24"/>
          <w:highlight w:val="none"/>
        </w:rPr>
      </w:pPr>
      <w:r>
        <w:rPr>
          <w:rFonts w:ascii="Times New Roman" w:hAnsi="Times New Roman"/>
          <w:b/>
          <w:color w:val="auto"/>
          <w:szCs w:val="24"/>
          <w:highlight w:val="none"/>
        </w:rPr>
        <w:t>四、代偿的安排</w:t>
      </w:r>
    </w:p>
    <w:p w14:paraId="49204D2D">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1. </w:t>
      </w:r>
      <w:r>
        <w:rPr>
          <w:rFonts w:ascii="宋体" w:hAnsi="宋体"/>
          <w:color w:val="auto"/>
          <w:szCs w:val="21"/>
          <w:highlight w:val="none"/>
        </w:rPr>
        <w:t>你方要求我方承担保证责任的，应向我方发出书面索赔通知及发包人未支付主合同约定工程款的证明材料。索赔通知应写明要求索赔的金额，支付款项应到达的账号。</w:t>
      </w:r>
    </w:p>
    <w:p w14:paraId="1752FD0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2. </w:t>
      </w:r>
      <w:r>
        <w:rPr>
          <w:rFonts w:ascii="宋体" w:hAnsi="宋体"/>
          <w:color w:val="auto"/>
          <w:szCs w:val="21"/>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10937F4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3. </w:t>
      </w:r>
      <w:r>
        <w:rPr>
          <w:rFonts w:ascii="宋体" w:hAnsi="宋体"/>
          <w:color w:val="auto"/>
          <w:szCs w:val="21"/>
          <w:highlight w:val="none"/>
        </w:rPr>
        <w:t>我方收到你方的书面索赔通知及相应的证明材料后７天内无条件支付。</w:t>
      </w:r>
    </w:p>
    <w:p w14:paraId="21736F6B">
      <w:pPr>
        <w:rPr>
          <w:rFonts w:ascii="Times New Roman" w:hAnsi="Times New Roman"/>
          <w:b/>
          <w:color w:val="auto"/>
          <w:szCs w:val="24"/>
          <w:highlight w:val="none"/>
        </w:rPr>
      </w:pPr>
      <w:r>
        <w:rPr>
          <w:rFonts w:ascii="Times New Roman" w:hAnsi="Times New Roman"/>
          <w:b/>
          <w:color w:val="auto"/>
          <w:szCs w:val="24"/>
          <w:highlight w:val="none"/>
        </w:rPr>
        <w:t>五、保证责任的解除</w:t>
      </w:r>
    </w:p>
    <w:p w14:paraId="4881F528">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1. </w:t>
      </w:r>
      <w:r>
        <w:rPr>
          <w:rFonts w:ascii="宋体" w:hAnsi="宋体"/>
          <w:color w:val="auto"/>
          <w:szCs w:val="21"/>
          <w:highlight w:val="none"/>
        </w:rPr>
        <w:t>在本保函承诺的保证期间内，你方未书面向我方主张保证责任的，自保证期间届满次日起，我方保证责任解除。</w:t>
      </w:r>
    </w:p>
    <w:p w14:paraId="58E705C3">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2. </w:t>
      </w:r>
      <w:r>
        <w:rPr>
          <w:rFonts w:ascii="宋体" w:hAnsi="宋体"/>
          <w:color w:val="auto"/>
          <w:szCs w:val="21"/>
          <w:highlight w:val="none"/>
        </w:rPr>
        <w:t>发包人按主合同约定履行了工程款的全部支付义务的，自本保函承诺的保证期间届满次日起，我方保证责任解除。</w:t>
      </w:r>
    </w:p>
    <w:p w14:paraId="73B518E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3. </w:t>
      </w:r>
      <w:r>
        <w:rPr>
          <w:rFonts w:ascii="宋体" w:hAnsi="宋体"/>
          <w:color w:val="auto"/>
          <w:szCs w:val="21"/>
          <w:highlight w:val="none"/>
        </w:rPr>
        <w:t>我方按照本保函向你方履行保证责任所支付金额达到本保函保证金额时，自我方向你方支付（支付款项从我方账户划出）之日起，保证责任即解除。</w:t>
      </w:r>
    </w:p>
    <w:p w14:paraId="7F333EC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4. </w:t>
      </w:r>
      <w:r>
        <w:rPr>
          <w:rFonts w:ascii="宋体" w:hAnsi="宋体"/>
          <w:color w:val="auto"/>
          <w:szCs w:val="21"/>
          <w:highlight w:val="none"/>
        </w:rPr>
        <w:t>按照法律法规的规定或出现应解除我方保证责任的其他情形的，我方在本保函项下的保证责任亦解除。</w:t>
      </w:r>
    </w:p>
    <w:p w14:paraId="59F09719">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5. </w:t>
      </w:r>
      <w:r>
        <w:rPr>
          <w:rFonts w:ascii="宋体" w:hAnsi="宋体"/>
          <w:color w:val="auto"/>
          <w:szCs w:val="21"/>
          <w:highlight w:val="none"/>
        </w:rPr>
        <w:t>我方解除保证责任后，你方应自我方保证责任解除之日起</w:t>
      </w:r>
      <w:r>
        <w:rPr>
          <w:rFonts w:hint="eastAsia" w:ascii="宋体" w:hAnsi="宋体"/>
          <w:color w:val="auto"/>
          <w:szCs w:val="21"/>
          <w:highlight w:val="none"/>
          <w:u w:val="single"/>
        </w:rPr>
        <w:t xml:space="preserve">  </w:t>
      </w:r>
      <w:r>
        <w:rPr>
          <w:rFonts w:ascii="宋体" w:hAnsi="宋体"/>
          <w:color w:val="auto"/>
          <w:szCs w:val="21"/>
          <w:highlight w:val="none"/>
        </w:rPr>
        <w:t>个工作日内，将本保函原件返还我方。</w:t>
      </w:r>
    </w:p>
    <w:p w14:paraId="32A92857">
      <w:pPr>
        <w:rPr>
          <w:rFonts w:ascii="Times New Roman" w:hAnsi="Times New Roman"/>
          <w:b/>
          <w:color w:val="auto"/>
          <w:szCs w:val="24"/>
          <w:highlight w:val="none"/>
        </w:rPr>
      </w:pPr>
      <w:r>
        <w:rPr>
          <w:rFonts w:ascii="Times New Roman" w:hAnsi="Times New Roman"/>
          <w:b/>
          <w:color w:val="auto"/>
          <w:szCs w:val="24"/>
          <w:highlight w:val="none"/>
        </w:rPr>
        <w:t>六、免责条款</w:t>
      </w:r>
    </w:p>
    <w:p w14:paraId="3867ABF4">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1. </w:t>
      </w:r>
      <w:r>
        <w:rPr>
          <w:rFonts w:ascii="宋体" w:hAnsi="宋体"/>
          <w:color w:val="auto"/>
          <w:szCs w:val="21"/>
          <w:highlight w:val="none"/>
        </w:rPr>
        <w:t>因你方违约致使发包人不能履行义务的，我方不承担保证责任。</w:t>
      </w:r>
    </w:p>
    <w:p w14:paraId="3974B3C1">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2. </w:t>
      </w:r>
      <w:r>
        <w:rPr>
          <w:rFonts w:ascii="宋体" w:hAnsi="宋体"/>
          <w:color w:val="auto"/>
          <w:szCs w:val="21"/>
          <w:highlight w:val="none"/>
        </w:rPr>
        <w:t>依照法律法规的规定或你方与发包人的另行约定，免除发包人部分或全部义务的，我方亦免除其相应的保证责任。</w:t>
      </w:r>
    </w:p>
    <w:p w14:paraId="460CD62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3. </w:t>
      </w:r>
      <w:r>
        <w:rPr>
          <w:rFonts w:ascii="宋体" w:hAnsi="宋体"/>
          <w:color w:val="auto"/>
          <w:szCs w:val="21"/>
          <w:highlight w:val="none"/>
        </w:rPr>
        <w:t>你方与发包人协议变更主合同的，如加重发包人责任致使我方保证责任加重的，需征得我方书面同意，否则我方不再承担因此而加重部分的保证责任，但主合同第10条</w:t>
      </w:r>
      <w:r>
        <w:rPr>
          <w:rFonts w:hint="eastAsia" w:ascii="宋体" w:hAnsi="宋体"/>
          <w:color w:val="auto"/>
          <w:szCs w:val="21"/>
          <w:highlight w:val="none"/>
        </w:rPr>
        <w:t>〔</w:t>
      </w:r>
      <w:r>
        <w:rPr>
          <w:rFonts w:ascii="宋体" w:hAnsi="宋体"/>
          <w:color w:val="auto"/>
          <w:szCs w:val="21"/>
          <w:highlight w:val="none"/>
        </w:rPr>
        <w:t>变更</w:t>
      </w:r>
      <w:r>
        <w:rPr>
          <w:rFonts w:hint="eastAsia" w:ascii="宋体" w:hAnsi="宋体"/>
          <w:color w:val="auto"/>
          <w:szCs w:val="21"/>
          <w:highlight w:val="none"/>
        </w:rPr>
        <w:t>〕</w:t>
      </w:r>
      <w:r>
        <w:rPr>
          <w:rFonts w:ascii="宋体" w:hAnsi="宋体"/>
          <w:color w:val="auto"/>
          <w:szCs w:val="21"/>
          <w:highlight w:val="none"/>
        </w:rPr>
        <w:t>约定的变更不受本款限制。</w:t>
      </w:r>
    </w:p>
    <w:p w14:paraId="70F2F0A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4. </w:t>
      </w:r>
      <w:r>
        <w:rPr>
          <w:rFonts w:ascii="宋体" w:hAnsi="宋体"/>
          <w:color w:val="auto"/>
          <w:szCs w:val="21"/>
          <w:highlight w:val="none"/>
        </w:rPr>
        <w:t>因不可抗力造成发包人不能履行义务的，我方不承担保证责任。</w:t>
      </w:r>
    </w:p>
    <w:p w14:paraId="403D85B2">
      <w:pPr>
        <w:rPr>
          <w:rFonts w:ascii="Times New Roman" w:hAnsi="Times New Roman"/>
          <w:b/>
          <w:color w:val="auto"/>
          <w:szCs w:val="24"/>
          <w:highlight w:val="none"/>
        </w:rPr>
      </w:pPr>
      <w:r>
        <w:rPr>
          <w:rFonts w:ascii="Times New Roman" w:hAnsi="Times New Roman"/>
          <w:b/>
          <w:color w:val="auto"/>
          <w:szCs w:val="24"/>
          <w:highlight w:val="none"/>
        </w:rPr>
        <w:t>七、争议解决</w:t>
      </w:r>
    </w:p>
    <w:p w14:paraId="6D6E5009">
      <w:pPr>
        <w:spacing w:after="120" w:line="360" w:lineRule="auto"/>
        <w:ind w:firstLine="420" w:firstLineChars="200"/>
        <w:rPr>
          <w:rFonts w:ascii="宋体" w:hAnsi="宋体"/>
          <w:color w:val="auto"/>
          <w:szCs w:val="21"/>
          <w:highlight w:val="none"/>
        </w:rPr>
      </w:pPr>
      <w:r>
        <w:rPr>
          <w:rFonts w:ascii="宋体" w:hAnsi="宋体"/>
          <w:color w:val="auto"/>
          <w:szCs w:val="21"/>
          <w:highlight w:val="none"/>
        </w:rPr>
        <w:t>因本保函</w:t>
      </w:r>
      <w:r>
        <w:rPr>
          <w:rFonts w:hint="eastAsia" w:ascii="宋体" w:hAnsi="宋体"/>
          <w:color w:val="auto"/>
          <w:szCs w:val="21"/>
          <w:highlight w:val="none"/>
        </w:rPr>
        <w:t>或本保函相关事项</w:t>
      </w:r>
      <w:r>
        <w:rPr>
          <w:rFonts w:ascii="宋体" w:hAnsi="宋体"/>
          <w:color w:val="auto"/>
          <w:szCs w:val="21"/>
          <w:highlight w:val="none"/>
        </w:rPr>
        <w:t>发生的纠纷，可由双方协商解决，协商不成的，按下列第</w:t>
      </w:r>
      <w:r>
        <w:rPr>
          <w:rFonts w:ascii="宋体" w:hAnsi="宋体"/>
          <w:color w:val="auto"/>
          <w:szCs w:val="21"/>
          <w:highlight w:val="none"/>
          <w:u w:val="single"/>
        </w:rPr>
        <w:t xml:space="preserve">     </w:t>
      </w:r>
      <w:r>
        <w:rPr>
          <w:rFonts w:ascii="宋体" w:hAnsi="宋体"/>
          <w:color w:val="auto"/>
          <w:szCs w:val="21"/>
          <w:highlight w:val="none"/>
        </w:rPr>
        <w:t>种方式</w:t>
      </w:r>
      <w:r>
        <w:rPr>
          <w:rFonts w:hint="eastAsia" w:ascii="宋体" w:hAnsi="宋体"/>
          <w:color w:val="auto"/>
          <w:szCs w:val="21"/>
          <w:highlight w:val="none"/>
        </w:rPr>
        <w:t>解</w:t>
      </w:r>
      <w:r>
        <w:rPr>
          <w:rFonts w:ascii="宋体" w:hAnsi="宋体"/>
          <w:color w:val="auto"/>
          <w:szCs w:val="21"/>
          <w:highlight w:val="none"/>
        </w:rPr>
        <w:t>决：</w:t>
      </w:r>
    </w:p>
    <w:p w14:paraId="6FFE490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（1）向</w:t>
      </w:r>
      <w:r>
        <w:rPr>
          <w:rFonts w:ascii="宋体" w:hAnsi="宋体"/>
          <w:color w:val="auto"/>
          <w:szCs w:val="21"/>
          <w:highlight w:val="none"/>
          <w:u w:val="single"/>
        </w:rPr>
        <w:t xml:space="preserve">                     </w:t>
      </w:r>
      <w:r>
        <w:rPr>
          <w:rFonts w:ascii="宋体" w:hAnsi="宋体"/>
          <w:color w:val="auto"/>
          <w:szCs w:val="21"/>
          <w:highlight w:val="none"/>
        </w:rPr>
        <w:t>仲裁委员会申请仲裁；</w:t>
      </w:r>
    </w:p>
    <w:p w14:paraId="30449DC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（2）向</w:t>
      </w:r>
      <w:r>
        <w:rPr>
          <w:rFonts w:ascii="宋体" w:hAnsi="宋体"/>
          <w:color w:val="auto"/>
          <w:szCs w:val="21"/>
          <w:highlight w:val="none"/>
          <w:u w:val="single"/>
        </w:rPr>
        <w:t xml:space="preserve">                     </w:t>
      </w:r>
      <w:r>
        <w:rPr>
          <w:rFonts w:ascii="宋体" w:hAnsi="宋体"/>
          <w:color w:val="auto"/>
          <w:szCs w:val="21"/>
          <w:highlight w:val="none"/>
        </w:rPr>
        <w:t>人民法院起诉。</w:t>
      </w:r>
    </w:p>
    <w:p w14:paraId="53B37708">
      <w:pPr>
        <w:rPr>
          <w:rFonts w:ascii="Times New Roman" w:hAnsi="Times New Roman"/>
          <w:b/>
          <w:color w:val="auto"/>
          <w:szCs w:val="24"/>
          <w:highlight w:val="none"/>
        </w:rPr>
      </w:pPr>
      <w:r>
        <w:rPr>
          <w:rFonts w:ascii="Times New Roman" w:hAnsi="Times New Roman"/>
          <w:b/>
          <w:color w:val="auto"/>
          <w:szCs w:val="24"/>
          <w:highlight w:val="none"/>
        </w:rPr>
        <w:t>八、保函的生效</w:t>
      </w:r>
    </w:p>
    <w:p w14:paraId="7DCF026C">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本保函自我方法定代表人（或其授权代理人）签字并加盖公章之日起生效。</w:t>
      </w:r>
    </w:p>
    <w:p w14:paraId="5B81C6FD">
      <w:pPr>
        <w:spacing w:line="360" w:lineRule="auto"/>
        <w:ind w:right="600" w:firstLine="2625" w:firstLineChars="1250"/>
        <w:jc w:val="left"/>
        <w:rPr>
          <w:rFonts w:ascii="宋体" w:hAnsi="宋体"/>
          <w:color w:val="auto"/>
          <w:szCs w:val="21"/>
          <w:highlight w:val="none"/>
        </w:rPr>
      </w:pPr>
      <w:r>
        <w:rPr>
          <w:rFonts w:ascii="宋体" w:hAnsi="宋体"/>
          <w:color w:val="auto"/>
          <w:szCs w:val="21"/>
          <w:highlight w:val="none"/>
        </w:rPr>
        <w:t>担保人：</w:t>
      </w:r>
      <w:r>
        <w:rPr>
          <w:rFonts w:ascii="宋体" w:hAnsi="宋体"/>
          <w:color w:val="auto"/>
          <w:szCs w:val="21"/>
          <w:highlight w:val="none"/>
          <w:u w:val="single"/>
        </w:rPr>
        <w:t xml:space="preserve">                                   </w:t>
      </w:r>
      <w:r>
        <w:rPr>
          <w:rFonts w:ascii="宋体" w:hAnsi="宋体"/>
          <w:color w:val="auto"/>
          <w:szCs w:val="21"/>
          <w:highlight w:val="none"/>
        </w:rPr>
        <w:t>（盖章）</w:t>
      </w:r>
    </w:p>
    <w:p w14:paraId="6D102064">
      <w:pPr>
        <w:spacing w:line="360" w:lineRule="auto"/>
        <w:ind w:right="1200" w:firstLine="2310" w:firstLineChars="1100"/>
        <w:rPr>
          <w:rFonts w:ascii="宋体" w:hAnsi="宋体"/>
          <w:color w:val="auto"/>
          <w:szCs w:val="21"/>
          <w:highlight w:val="none"/>
        </w:rPr>
      </w:pPr>
      <w:r>
        <w:rPr>
          <w:rFonts w:ascii="宋体" w:hAnsi="宋体"/>
          <w:color w:val="auto"/>
          <w:szCs w:val="21"/>
          <w:highlight w:val="none"/>
        </w:rPr>
        <w:t>法定代表人或委托代理人：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（签字）</w:t>
      </w:r>
    </w:p>
    <w:p w14:paraId="6E1A8C0D">
      <w:pPr>
        <w:spacing w:line="360" w:lineRule="auto"/>
        <w:ind w:firstLine="2625" w:firstLineChars="1250"/>
        <w:jc w:val="left"/>
        <w:rPr>
          <w:rFonts w:ascii="宋体" w:hAnsi="宋体"/>
          <w:color w:val="auto"/>
          <w:szCs w:val="21"/>
          <w:highlight w:val="none"/>
        </w:rPr>
      </w:pPr>
      <w:r>
        <w:rPr>
          <w:rFonts w:ascii="宋体" w:hAnsi="宋体"/>
          <w:color w:val="auto"/>
          <w:szCs w:val="21"/>
          <w:highlight w:val="none"/>
        </w:rPr>
        <w:t>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6C2B736E">
      <w:pPr>
        <w:spacing w:line="360" w:lineRule="auto"/>
        <w:ind w:firstLine="2625" w:firstLineChars="1250"/>
        <w:jc w:val="left"/>
        <w:rPr>
          <w:rFonts w:ascii="宋体" w:hAnsi="宋体"/>
          <w:color w:val="auto"/>
          <w:szCs w:val="21"/>
          <w:highlight w:val="none"/>
        </w:rPr>
      </w:pPr>
      <w:r>
        <w:rPr>
          <w:rFonts w:ascii="宋体" w:hAnsi="宋体"/>
          <w:color w:val="auto"/>
          <w:szCs w:val="21"/>
          <w:highlight w:val="none"/>
        </w:rPr>
        <w:t>邮政编码：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58A56938">
      <w:pPr>
        <w:spacing w:line="360" w:lineRule="auto"/>
        <w:ind w:firstLine="2625" w:firstLineChars="1250"/>
        <w:jc w:val="left"/>
        <w:rPr>
          <w:rFonts w:ascii="宋体" w:hAnsi="宋体"/>
          <w:color w:val="auto"/>
          <w:szCs w:val="21"/>
          <w:highlight w:val="none"/>
        </w:rPr>
      </w:pPr>
      <w:r>
        <w:rPr>
          <w:rFonts w:ascii="宋体" w:hAnsi="宋体"/>
          <w:color w:val="auto"/>
          <w:szCs w:val="21"/>
          <w:highlight w:val="none"/>
        </w:rPr>
        <w:t>传    真：</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109988B1">
      <w:pPr>
        <w:spacing w:line="360" w:lineRule="auto"/>
        <w:ind w:right="150" w:firstLine="420" w:firstLineChars="200"/>
        <w:jc w:val="lef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p>
    <w:p w14:paraId="7E5B82F2">
      <w:pPr>
        <w:spacing w:line="360" w:lineRule="auto"/>
        <w:ind w:right="150"/>
        <w:jc w:val="lef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宋体" w:hAnsi="宋体"/>
          <w:color w:val="auto"/>
          <w:sz w:val="24"/>
          <w:szCs w:val="24"/>
          <w:highlight w:val="none"/>
        </w:rPr>
        <w:t>附件11：</w:t>
      </w:r>
    </w:p>
    <w:p w14:paraId="1B3702AC">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11-1：材料暂估价表</w:t>
      </w:r>
    </w:p>
    <w:tbl>
      <w:tblPr>
        <w:tblStyle w:val="15"/>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48649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54669B98">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序号</w:t>
            </w:r>
          </w:p>
        </w:tc>
        <w:tc>
          <w:tcPr>
            <w:tcW w:w="1984" w:type="dxa"/>
            <w:tcBorders>
              <w:top w:val="single" w:color="auto" w:sz="12" w:space="0"/>
              <w:bottom w:val="double" w:color="auto" w:sz="6" w:space="0"/>
            </w:tcBorders>
            <w:noWrap w:val="0"/>
            <w:vAlign w:val="center"/>
          </w:tcPr>
          <w:p w14:paraId="22859A6F">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名称</w:t>
            </w:r>
          </w:p>
        </w:tc>
        <w:tc>
          <w:tcPr>
            <w:tcW w:w="851" w:type="dxa"/>
            <w:tcBorders>
              <w:top w:val="single" w:color="auto" w:sz="12" w:space="0"/>
              <w:bottom w:val="double" w:color="auto" w:sz="6" w:space="0"/>
            </w:tcBorders>
            <w:noWrap w:val="0"/>
            <w:vAlign w:val="center"/>
          </w:tcPr>
          <w:p w14:paraId="6D89714B">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单位</w:t>
            </w:r>
          </w:p>
        </w:tc>
        <w:tc>
          <w:tcPr>
            <w:tcW w:w="774" w:type="dxa"/>
            <w:tcBorders>
              <w:top w:val="single" w:color="auto" w:sz="12" w:space="0"/>
              <w:bottom w:val="double" w:color="auto" w:sz="6" w:space="0"/>
            </w:tcBorders>
            <w:noWrap w:val="0"/>
            <w:vAlign w:val="center"/>
          </w:tcPr>
          <w:p w14:paraId="1F614BD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数量</w:t>
            </w:r>
          </w:p>
        </w:tc>
        <w:tc>
          <w:tcPr>
            <w:tcW w:w="1352" w:type="dxa"/>
            <w:tcBorders>
              <w:top w:val="single" w:color="auto" w:sz="12" w:space="0"/>
              <w:bottom w:val="double" w:color="auto" w:sz="6" w:space="0"/>
            </w:tcBorders>
            <w:noWrap w:val="0"/>
            <w:vAlign w:val="center"/>
          </w:tcPr>
          <w:p w14:paraId="559FC03E">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单价</w:t>
            </w:r>
            <w:r>
              <w:rPr>
                <w:rFonts w:hint="eastAsia" w:ascii="宋体" w:hAnsi="宋体"/>
                <w:color w:val="auto"/>
                <w:szCs w:val="21"/>
                <w:highlight w:val="none"/>
              </w:rPr>
              <w:t>（元）</w:t>
            </w:r>
          </w:p>
        </w:tc>
        <w:tc>
          <w:tcPr>
            <w:tcW w:w="1418" w:type="dxa"/>
            <w:tcBorders>
              <w:top w:val="single" w:color="auto" w:sz="12" w:space="0"/>
              <w:bottom w:val="double" w:color="auto" w:sz="6" w:space="0"/>
            </w:tcBorders>
            <w:noWrap w:val="0"/>
            <w:vAlign w:val="center"/>
          </w:tcPr>
          <w:p w14:paraId="2D28B74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合价</w:t>
            </w:r>
            <w:r>
              <w:rPr>
                <w:rFonts w:hint="eastAsia" w:ascii="宋体" w:hAnsi="宋体"/>
                <w:color w:val="auto"/>
                <w:szCs w:val="21"/>
                <w:highlight w:val="none"/>
              </w:rPr>
              <w:t>（元）</w:t>
            </w:r>
          </w:p>
        </w:tc>
        <w:tc>
          <w:tcPr>
            <w:tcW w:w="1701" w:type="dxa"/>
            <w:tcBorders>
              <w:top w:val="single" w:color="auto" w:sz="12" w:space="0"/>
              <w:bottom w:val="double" w:color="auto" w:sz="6" w:space="0"/>
            </w:tcBorders>
            <w:noWrap w:val="0"/>
            <w:vAlign w:val="center"/>
          </w:tcPr>
          <w:p w14:paraId="2CD6CC36">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备注</w:t>
            </w:r>
          </w:p>
        </w:tc>
      </w:tr>
      <w:tr w14:paraId="04D8D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296E3366">
            <w:pPr>
              <w:keepNext/>
              <w:spacing w:line="440" w:lineRule="exact"/>
              <w:ind w:left="63" w:right="63"/>
              <w:rPr>
                <w:rFonts w:ascii="Times New Roman" w:hAnsi="Times New Roman" w:eastAsia="仿宋_GB2312"/>
                <w:color w:val="auto"/>
                <w:sz w:val="28"/>
                <w:szCs w:val="30"/>
                <w:highlight w:val="none"/>
              </w:rPr>
            </w:pPr>
          </w:p>
        </w:tc>
        <w:tc>
          <w:tcPr>
            <w:tcW w:w="1984" w:type="dxa"/>
            <w:tcBorders>
              <w:top w:val="double" w:color="auto" w:sz="6" w:space="0"/>
              <w:bottom w:val="single" w:color="auto" w:sz="6" w:space="0"/>
            </w:tcBorders>
            <w:noWrap w:val="0"/>
            <w:vAlign w:val="top"/>
          </w:tcPr>
          <w:p w14:paraId="57F6D039">
            <w:pPr>
              <w:keepNext/>
              <w:spacing w:line="440" w:lineRule="exact"/>
              <w:ind w:left="63" w:right="63"/>
              <w:rPr>
                <w:rFonts w:ascii="Times New Roman" w:hAnsi="Times New Roman" w:eastAsia="仿宋_GB2312"/>
                <w:color w:val="auto"/>
                <w:sz w:val="28"/>
                <w:szCs w:val="30"/>
                <w:highlight w:val="none"/>
              </w:rPr>
            </w:pPr>
          </w:p>
        </w:tc>
        <w:tc>
          <w:tcPr>
            <w:tcW w:w="851" w:type="dxa"/>
            <w:tcBorders>
              <w:top w:val="double" w:color="auto" w:sz="6" w:space="0"/>
              <w:bottom w:val="single" w:color="auto" w:sz="6" w:space="0"/>
            </w:tcBorders>
            <w:noWrap w:val="0"/>
            <w:vAlign w:val="top"/>
          </w:tcPr>
          <w:p w14:paraId="51225351">
            <w:pPr>
              <w:keepNext/>
              <w:spacing w:line="440" w:lineRule="exact"/>
              <w:ind w:left="63" w:right="63"/>
              <w:rPr>
                <w:rFonts w:ascii="Times New Roman" w:hAnsi="Times New Roman" w:eastAsia="仿宋_GB2312"/>
                <w:color w:val="auto"/>
                <w:sz w:val="28"/>
                <w:szCs w:val="30"/>
                <w:highlight w:val="none"/>
              </w:rPr>
            </w:pPr>
          </w:p>
        </w:tc>
        <w:tc>
          <w:tcPr>
            <w:tcW w:w="774" w:type="dxa"/>
            <w:tcBorders>
              <w:top w:val="double" w:color="auto" w:sz="6" w:space="0"/>
              <w:bottom w:val="single" w:color="auto" w:sz="6" w:space="0"/>
            </w:tcBorders>
            <w:noWrap w:val="0"/>
            <w:vAlign w:val="top"/>
          </w:tcPr>
          <w:p w14:paraId="4E9F8A34">
            <w:pPr>
              <w:keepNext/>
              <w:spacing w:line="440" w:lineRule="exact"/>
              <w:ind w:left="63" w:right="63"/>
              <w:rPr>
                <w:rFonts w:ascii="Times New Roman" w:hAnsi="Times New Roman" w:eastAsia="仿宋_GB2312"/>
                <w:color w:val="auto"/>
                <w:sz w:val="28"/>
                <w:szCs w:val="30"/>
                <w:highlight w:val="none"/>
              </w:rPr>
            </w:pPr>
          </w:p>
        </w:tc>
        <w:tc>
          <w:tcPr>
            <w:tcW w:w="1352" w:type="dxa"/>
            <w:tcBorders>
              <w:top w:val="double" w:color="auto" w:sz="6" w:space="0"/>
              <w:bottom w:val="single" w:color="auto" w:sz="6" w:space="0"/>
            </w:tcBorders>
            <w:noWrap w:val="0"/>
            <w:vAlign w:val="top"/>
          </w:tcPr>
          <w:p w14:paraId="59F45795">
            <w:pPr>
              <w:keepNext/>
              <w:spacing w:line="440" w:lineRule="exact"/>
              <w:ind w:left="63" w:right="63"/>
              <w:rPr>
                <w:rFonts w:ascii="Times New Roman" w:hAnsi="Times New Roman" w:eastAsia="仿宋_GB2312"/>
                <w:color w:val="auto"/>
                <w:sz w:val="28"/>
                <w:szCs w:val="30"/>
                <w:highlight w:val="none"/>
              </w:rPr>
            </w:pPr>
          </w:p>
        </w:tc>
        <w:tc>
          <w:tcPr>
            <w:tcW w:w="1418" w:type="dxa"/>
            <w:tcBorders>
              <w:top w:val="double" w:color="auto" w:sz="6" w:space="0"/>
              <w:bottom w:val="single" w:color="auto" w:sz="6" w:space="0"/>
            </w:tcBorders>
            <w:noWrap w:val="0"/>
            <w:vAlign w:val="top"/>
          </w:tcPr>
          <w:p w14:paraId="43F1014F">
            <w:pPr>
              <w:keepNext/>
              <w:spacing w:line="440" w:lineRule="exact"/>
              <w:ind w:left="63" w:right="63"/>
              <w:rPr>
                <w:rFonts w:ascii="Times New Roman" w:hAnsi="Times New Roman" w:eastAsia="仿宋_GB2312"/>
                <w:color w:val="auto"/>
                <w:sz w:val="28"/>
                <w:szCs w:val="30"/>
                <w:highlight w:val="none"/>
              </w:rPr>
            </w:pPr>
          </w:p>
        </w:tc>
        <w:tc>
          <w:tcPr>
            <w:tcW w:w="1701" w:type="dxa"/>
            <w:tcBorders>
              <w:top w:val="double" w:color="auto" w:sz="6" w:space="0"/>
              <w:bottom w:val="single" w:color="auto" w:sz="6" w:space="0"/>
            </w:tcBorders>
            <w:noWrap w:val="0"/>
            <w:vAlign w:val="top"/>
          </w:tcPr>
          <w:p w14:paraId="175AF502">
            <w:pPr>
              <w:keepNext/>
              <w:spacing w:line="440" w:lineRule="exact"/>
              <w:ind w:left="63" w:right="63"/>
              <w:rPr>
                <w:rFonts w:ascii="Times New Roman" w:hAnsi="Times New Roman" w:eastAsia="仿宋_GB2312"/>
                <w:color w:val="auto"/>
                <w:sz w:val="28"/>
                <w:szCs w:val="30"/>
                <w:highlight w:val="none"/>
              </w:rPr>
            </w:pPr>
          </w:p>
        </w:tc>
      </w:tr>
      <w:tr w14:paraId="3D4C55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70EDDE5">
            <w:pPr>
              <w:keepNext/>
              <w:spacing w:line="440" w:lineRule="exact"/>
              <w:ind w:left="63" w:right="63"/>
              <w:rPr>
                <w:rFonts w:ascii="Times New Roman" w:hAnsi="Times New Roman" w:eastAsia="仿宋_GB2312"/>
                <w:color w:val="auto"/>
                <w:sz w:val="28"/>
                <w:szCs w:val="30"/>
                <w:highlight w:val="none"/>
              </w:rPr>
            </w:pPr>
          </w:p>
        </w:tc>
        <w:tc>
          <w:tcPr>
            <w:tcW w:w="1984" w:type="dxa"/>
            <w:tcBorders>
              <w:top w:val="nil"/>
            </w:tcBorders>
            <w:noWrap w:val="0"/>
            <w:vAlign w:val="top"/>
          </w:tcPr>
          <w:p w14:paraId="2DCD2B29">
            <w:pPr>
              <w:keepNext/>
              <w:spacing w:line="440" w:lineRule="exact"/>
              <w:ind w:left="63" w:right="63"/>
              <w:rPr>
                <w:rFonts w:ascii="Times New Roman" w:hAnsi="Times New Roman" w:eastAsia="仿宋_GB2312"/>
                <w:color w:val="auto"/>
                <w:sz w:val="28"/>
                <w:szCs w:val="30"/>
                <w:highlight w:val="none"/>
              </w:rPr>
            </w:pPr>
          </w:p>
        </w:tc>
        <w:tc>
          <w:tcPr>
            <w:tcW w:w="851" w:type="dxa"/>
            <w:tcBorders>
              <w:top w:val="nil"/>
            </w:tcBorders>
            <w:noWrap w:val="0"/>
            <w:vAlign w:val="top"/>
          </w:tcPr>
          <w:p w14:paraId="5991E4EB">
            <w:pPr>
              <w:keepNext/>
              <w:spacing w:line="440" w:lineRule="exact"/>
              <w:ind w:left="63" w:right="63"/>
              <w:rPr>
                <w:rFonts w:ascii="Times New Roman" w:hAnsi="Times New Roman" w:eastAsia="仿宋_GB2312"/>
                <w:color w:val="auto"/>
                <w:sz w:val="28"/>
                <w:szCs w:val="30"/>
                <w:highlight w:val="none"/>
              </w:rPr>
            </w:pPr>
          </w:p>
        </w:tc>
        <w:tc>
          <w:tcPr>
            <w:tcW w:w="774" w:type="dxa"/>
            <w:tcBorders>
              <w:top w:val="nil"/>
            </w:tcBorders>
            <w:noWrap w:val="0"/>
            <w:vAlign w:val="top"/>
          </w:tcPr>
          <w:p w14:paraId="0E75268A">
            <w:pPr>
              <w:keepNext/>
              <w:spacing w:line="440" w:lineRule="exact"/>
              <w:ind w:left="63" w:right="63"/>
              <w:rPr>
                <w:rFonts w:ascii="Times New Roman" w:hAnsi="Times New Roman" w:eastAsia="仿宋_GB2312"/>
                <w:color w:val="auto"/>
                <w:sz w:val="28"/>
                <w:szCs w:val="30"/>
                <w:highlight w:val="none"/>
              </w:rPr>
            </w:pPr>
          </w:p>
        </w:tc>
        <w:tc>
          <w:tcPr>
            <w:tcW w:w="1352" w:type="dxa"/>
            <w:tcBorders>
              <w:top w:val="nil"/>
            </w:tcBorders>
            <w:noWrap w:val="0"/>
            <w:vAlign w:val="top"/>
          </w:tcPr>
          <w:p w14:paraId="48D5B1F4">
            <w:pPr>
              <w:keepNext/>
              <w:spacing w:line="440" w:lineRule="exact"/>
              <w:ind w:left="63" w:right="63"/>
              <w:rPr>
                <w:rFonts w:ascii="Times New Roman" w:hAnsi="Times New Roman" w:eastAsia="仿宋_GB2312"/>
                <w:color w:val="auto"/>
                <w:sz w:val="28"/>
                <w:szCs w:val="30"/>
                <w:highlight w:val="none"/>
              </w:rPr>
            </w:pPr>
          </w:p>
        </w:tc>
        <w:tc>
          <w:tcPr>
            <w:tcW w:w="1418" w:type="dxa"/>
            <w:tcBorders>
              <w:top w:val="nil"/>
            </w:tcBorders>
            <w:noWrap w:val="0"/>
            <w:vAlign w:val="top"/>
          </w:tcPr>
          <w:p w14:paraId="280E30C9">
            <w:pPr>
              <w:keepNext/>
              <w:spacing w:line="440" w:lineRule="exact"/>
              <w:ind w:left="63" w:right="63"/>
              <w:rPr>
                <w:rFonts w:ascii="Times New Roman" w:hAnsi="Times New Roman" w:eastAsia="仿宋_GB2312"/>
                <w:color w:val="auto"/>
                <w:sz w:val="28"/>
                <w:szCs w:val="30"/>
                <w:highlight w:val="none"/>
              </w:rPr>
            </w:pPr>
          </w:p>
        </w:tc>
        <w:tc>
          <w:tcPr>
            <w:tcW w:w="1701" w:type="dxa"/>
            <w:tcBorders>
              <w:top w:val="nil"/>
            </w:tcBorders>
            <w:noWrap w:val="0"/>
            <w:vAlign w:val="top"/>
          </w:tcPr>
          <w:p w14:paraId="65C88C04">
            <w:pPr>
              <w:keepNext/>
              <w:spacing w:line="440" w:lineRule="exact"/>
              <w:ind w:left="63" w:right="63"/>
              <w:rPr>
                <w:rFonts w:ascii="Times New Roman" w:hAnsi="Times New Roman" w:eastAsia="仿宋_GB2312"/>
                <w:color w:val="auto"/>
                <w:sz w:val="28"/>
                <w:szCs w:val="30"/>
                <w:highlight w:val="none"/>
              </w:rPr>
            </w:pPr>
          </w:p>
        </w:tc>
      </w:tr>
      <w:tr w14:paraId="4DC4C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8D48B68">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50687A0D">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1704465F">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2EC5DA06">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D721D98">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5DEB13A">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4EAADC7D">
            <w:pPr>
              <w:keepNext/>
              <w:spacing w:line="440" w:lineRule="exact"/>
              <w:ind w:left="63" w:right="63"/>
              <w:rPr>
                <w:rFonts w:ascii="Times New Roman" w:hAnsi="Times New Roman" w:eastAsia="仿宋_GB2312"/>
                <w:color w:val="auto"/>
                <w:sz w:val="28"/>
                <w:szCs w:val="30"/>
                <w:highlight w:val="none"/>
              </w:rPr>
            </w:pPr>
          </w:p>
        </w:tc>
      </w:tr>
      <w:tr w14:paraId="6F1358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CA82C2">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38B8CE53">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1A1B2A68">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5E8D428B">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68BBFCD">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42796614">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72857206">
            <w:pPr>
              <w:keepNext/>
              <w:spacing w:line="440" w:lineRule="exact"/>
              <w:ind w:left="63" w:right="63"/>
              <w:rPr>
                <w:rFonts w:ascii="Times New Roman" w:hAnsi="Times New Roman" w:eastAsia="仿宋_GB2312"/>
                <w:color w:val="auto"/>
                <w:sz w:val="28"/>
                <w:szCs w:val="30"/>
                <w:highlight w:val="none"/>
              </w:rPr>
            </w:pPr>
          </w:p>
        </w:tc>
      </w:tr>
      <w:tr w14:paraId="40274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63AD3C9">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0C12101D">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1B00ADC">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65CDE310">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7C98AC71">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D9E6A23">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0EEE3EE0">
            <w:pPr>
              <w:keepNext/>
              <w:spacing w:line="440" w:lineRule="exact"/>
              <w:ind w:left="63" w:right="63"/>
              <w:rPr>
                <w:rFonts w:ascii="Times New Roman" w:hAnsi="Times New Roman" w:eastAsia="仿宋_GB2312"/>
                <w:color w:val="auto"/>
                <w:sz w:val="28"/>
                <w:szCs w:val="30"/>
                <w:highlight w:val="none"/>
              </w:rPr>
            </w:pPr>
          </w:p>
        </w:tc>
      </w:tr>
      <w:tr w14:paraId="702902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67129A">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02CE566">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B6AD866">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D23794B">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896247F">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6E7E5B5B">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2C41ECF3">
            <w:pPr>
              <w:keepNext/>
              <w:spacing w:line="440" w:lineRule="exact"/>
              <w:ind w:left="63" w:right="63"/>
              <w:rPr>
                <w:rFonts w:ascii="Times New Roman" w:hAnsi="Times New Roman" w:eastAsia="仿宋_GB2312"/>
                <w:color w:val="auto"/>
                <w:sz w:val="28"/>
                <w:szCs w:val="30"/>
                <w:highlight w:val="none"/>
              </w:rPr>
            </w:pPr>
          </w:p>
        </w:tc>
      </w:tr>
      <w:tr w14:paraId="5BB65A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AF2E423">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2A0F7F23">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B9120D1">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1CA1F61A">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230AE99B">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0B193D4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B09DF33">
            <w:pPr>
              <w:keepNext/>
              <w:spacing w:line="440" w:lineRule="exact"/>
              <w:ind w:left="63" w:right="63"/>
              <w:rPr>
                <w:rFonts w:ascii="Times New Roman" w:hAnsi="Times New Roman" w:eastAsia="仿宋_GB2312"/>
                <w:color w:val="auto"/>
                <w:sz w:val="28"/>
                <w:szCs w:val="30"/>
                <w:highlight w:val="none"/>
              </w:rPr>
            </w:pPr>
          </w:p>
        </w:tc>
      </w:tr>
      <w:tr w14:paraId="49BBF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29DCA8F">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430DC671">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E6818A8">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7EA05F1">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2A8910AD">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2D4E6813">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0C45C960">
            <w:pPr>
              <w:keepNext/>
              <w:spacing w:line="440" w:lineRule="exact"/>
              <w:ind w:left="63" w:right="63"/>
              <w:rPr>
                <w:rFonts w:ascii="Times New Roman" w:hAnsi="Times New Roman" w:eastAsia="仿宋_GB2312"/>
                <w:color w:val="auto"/>
                <w:sz w:val="28"/>
                <w:szCs w:val="30"/>
                <w:highlight w:val="none"/>
              </w:rPr>
            </w:pPr>
          </w:p>
        </w:tc>
      </w:tr>
      <w:tr w14:paraId="5DD2C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2162DD">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336D44CA">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4CAFE444">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7CB93393">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529100B9">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642698B2">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0256D1CA">
            <w:pPr>
              <w:keepNext/>
              <w:spacing w:line="440" w:lineRule="exact"/>
              <w:ind w:left="63" w:right="63"/>
              <w:rPr>
                <w:rFonts w:ascii="Times New Roman" w:hAnsi="Times New Roman" w:eastAsia="仿宋_GB2312"/>
                <w:color w:val="auto"/>
                <w:sz w:val="28"/>
                <w:szCs w:val="30"/>
                <w:highlight w:val="none"/>
              </w:rPr>
            </w:pPr>
          </w:p>
        </w:tc>
      </w:tr>
      <w:tr w14:paraId="5EE6D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B7F891">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A89288C">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ACA90AB">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423933C">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6AB6C202">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65E83E7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254CC296">
            <w:pPr>
              <w:keepNext/>
              <w:spacing w:line="440" w:lineRule="exact"/>
              <w:ind w:left="63" w:right="63"/>
              <w:rPr>
                <w:rFonts w:ascii="Times New Roman" w:hAnsi="Times New Roman" w:eastAsia="仿宋_GB2312"/>
                <w:color w:val="auto"/>
                <w:sz w:val="28"/>
                <w:szCs w:val="30"/>
                <w:highlight w:val="none"/>
              </w:rPr>
            </w:pPr>
          </w:p>
        </w:tc>
      </w:tr>
      <w:tr w14:paraId="01B1E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8B859F3">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259073A7">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7BA2B54">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3699BC66">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606B55CB">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1597B92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43374A7C">
            <w:pPr>
              <w:keepNext/>
              <w:spacing w:line="440" w:lineRule="exact"/>
              <w:ind w:left="63" w:right="63"/>
              <w:rPr>
                <w:rFonts w:ascii="Times New Roman" w:hAnsi="Times New Roman" w:eastAsia="仿宋_GB2312"/>
                <w:color w:val="auto"/>
                <w:sz w:val="28"/>
                <w:szCs w:val="30"/>
                <w:highlight w:val="none"/>
              </w:rPr>
            </w:pPr>
          </w:p>
        </w:tc>
      </w:tr>
      <w:tr w14:paraId="5E79F1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F1E721">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B962F7D">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F947670">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DBE2566">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6BE174EE">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4D93D8F6">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7985BB1D">
            <w:pPr>
              <w:keepNext/>
              <w:spacing w:line="440" w:lineRule="exact"/>
              <w:ind w:left="63" w:right="63"/>
              <w:rPr>
                <w:rFonts w:ascii="Times New Roman" w:hAnsi="Times New Roman" w:eastAsia="仿宋_GB2312"/>
                <w:color w:val="auto"/>
                <w:sz w:val="28"/>
                <w:szCs w:val="30"/>
                <w:highlight w:val="none"/>
              </w:rPr>
            </w:pPr>
          </w:p>
        </w:tc>
      </w:tr>
      <w:tr w14:paraId="2442D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EA13BDF">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5F48296E">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4FEED809">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1A2127CD">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478CF2A">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62E7486E">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3CAA171E">
            <w:pPr>
              <w:keepNext/>
              <w:spacing w:line="440" w:lineRule="exact"/>
              <w:ind w:left="63" w:right="63"/>
              <w:rPr>
                <w:rFonts w:ascii="Times New Roman" w:hAnsi="Times New Roman" w:eastAsia="仿宋_GB2312"/>
                <w:color w:val="auto"/>
                <w:sz w:val="28"/>
                <w:szCs w:val="30"/>
                <w:highlight w:val="none"/>
              </w:rPr>
            </w:pPr>
          </w:p>
        </w:tc>
      </w:tr>
      <w:tr w14:paraId="242C5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E289C8">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00EE7E97">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76214E4B">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3C9A5C3">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78128129">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432226B1">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4085E421">
            <w:pPr>
              <w:keepNext/>
              <w:spacing w:line="440" w:lineRule="exact"/>
              <w:ind w:left="63" w:right="63"/>
              <w:rPr>
                <w:rFonts w:ascii="Times New Roman" w:hAnsi="Times New Roman" w:eastAsia="仿宋_GB2312"/>
                <w:color w:val="auto"/>
                <w:sz w:val="28"/>
                <w:szCs w:val="30"/>
                <w:highlight w:val="none"/>
              </w:rPr>
            </w:pPr>
          </w:p>
        </w:tc>
      </w:tr>
      <w:tr w14:paraId="110108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9FC99A">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0B9EB525">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1056C97F">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22030165">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7BF8A22E">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2A6EF8BE">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7C58CD94">
            <w:pPr>
              <w:keepNext/>
              <w:spacing w:line="440" w:lineRule="exact"/>
              <w:ind w:left="63" w:right="63"/>
              <w:rPr>
                <w:rFonts w:ascii="Times New Roman" w:hAnsi="Times New Roman" w:eastAsia="仿宋_GB2312"/>
                <w:color w:val="auto"/>
                <w:sz w:val="28"/>
                <w:szCs w:val="30"/>
                <w:highlight w:val="none"/>
              </w:rPr>
            </w:pPr>
          </w:p>
        </w:tc>
      </w:tr>
      <w:tr w14:paraId="00B57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601C55">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412C959">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5C5B583A">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6B77CFEE">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FFF89E2">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050E2EEC">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2ED2FD48">
            <w:pPr>
              <w:keepNext/>
              <w:spacing w:line="440" w:lineRule="exact"/>
              <w:ind w:left="63" w:right="63"/>
              <w:rPr>
                <w:rFonts w:ascii="Times New Roman" w:hAnsi="Times New Roman" w:eastAsia="仿宋_GB2312"/>
                <w:color w:val="auto"/>
                <w:sz w:val="28"/>
                <w:szCs w:val="30"/>
                <w:highlight w:val="none"/>
              </w:rPr>
            </w:pPr>
          </w:p>
        </w:tc>
      </w:tr>
      <w:tr w14:paraId="211975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3B67973">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9321EBD">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74563828">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9ADDCA9">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6E15F011">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6680C53">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40D8159D">
            <w:pPr>
              <w:keepNext/>
              <w:spacing w:line="440" w:lineRule="exact"/>
              <w:ind w:left="63" w:right="63"/>
              <w:rPr>
                <w:rFonts w:ascii="Times New Roman" w:hAnsi="Times New Roman" w:eastAsia="仿宋_GB2312"/>
                <w:color w:val="auto"/>
                <w:sz w:val="28"/>
                <w:szCs w:val="30"/>
                <w:highlight w:val="none"/>
              </w:rPr>
            </w:pPr>
          </w:p>
        </w:tc>
      </w:tr>
      <w:tr w14:paraId="76562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34A3EC2">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5D1C8BC6">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25A846D">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7CB360A3">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6C913621">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4D639245">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20384EC0">
            <w:pPr>
              <w:keepNext/>
              <w:spacing w:line="440" w:lineRule="exact"/>
              <w:ind w:left="63" w:right="63"/>
              <w:rPr>
                <w:rFonts w:ascii="Times New Roman" w:hAnsi="Times New Roman" w:eastAsia="仿宋_GB2312"/>
                <w:color w:val="auto"/>
                <w:sz w:val="28"/>
                <w:szCs w:val="30"/>
                <w:highlight w:val="none"/>
              </w:rPr>
            </w:pPr>
          </w:p>
        </w:tc>
      </w:tr>
      <w:tr w14:paraId="4E75F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DC1C79">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C0CF421">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4F8FEB82">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0CF4291C">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5551B96D">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703DCD2C">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834196B">
            <w:pPr>
              <w:keepNext/>
              <w:spacing w:line="440" w:lineRule="exact"/>
              <w:ind w:left="63" w:right="63"/>
              <w:rPr>
                <w:rFonts w:ascii="Times New Roman" w:hAnsi="Times New Roman" w:eastAsia="仿宋_GB2312"/>
                <w:color w:val="auto"/>
                <w:sz w:val="28"/>
                <w:szCs w:val="30"/>
                <w:highlight w:val="none"/>
              </w:rPr>
            </w:pPr>
          </w:p>
        </w:tc>
      </w:tr>
      <w:tr w14:paraId="27C94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9B251F">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41175C0D">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3C476F26">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0F8B22C9">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D1C79EE">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011100FD">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53FCFEDF">
            <w:pPr>
              <w:keepNext/>
              <w:spacing w:line="440" w:lineRule="exact"/>
              <w:ind w:left="63" w:right="63"/>
              <w:rPr>
                <w:rFonts w:ascii="Times New Roman" w:hAnsi="Times New Roman" w:eastAsia="仿宋_GB2312"/>
                <w:color w:val="auto"/>
                <w:sz w:val="28"/>
                <w:szCs w:val="30"/>
                <w:highlight w:val="none"/>
              </w:rPr>
            </w:pPr>
          </w:p>
        </w:tc>
      </w:tr>
      <w:tr w14:paraId="509032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DB920D">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2533C64E">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FA1D6F9">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6CF3AB9B">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B9AE291">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4600595C">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74384CDC">
            <w:pPr>
              <w:keepNext/>
              <w:spacing w:line="440" w:lineRule="exact"/>
              <w:ind w:left="63" w:right="63"/>
              <w:rPr>
                <w:rFonts w:ascii="Times New Roman" w:hAnsi="Times New Roman" w:eastAsia="仿宋_GB2312"/>
                <w:color w:val="auto"/>
                <w:sz w:val="28"/>
                <w:szCs w:val="30"/>
                <w:highlight w:val="none"/>
              </w:rPr>
            </w:pPr>
          </w:p>
        </w:tc>
      </w:tr>
      <w:tr w14:paraId="37610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1C4F0B4">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5F6CEC4">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2596471">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32C29599">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03AB1BBF">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82F16E2">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9BF14F3">
            <w:pPr>
              <w:keepNext/>
              <w:spacing w:line="440" w:lineRule="exact"/>
              <w:ind w:left="63" w:right="63"/>
              <w:rPr>
                <w:rFonts w:ascii="Times New Roman" w:hAnsi="Times New Roman" w:eastAsia="仿宋_GB2312"/>
                <w:color w:val="auto"/>
                <w:sz w:val="28"/>
                <w:szCs w:val="30"/>
                <w:highlight w:val="none"/>
              </w:rPr>
            </w:pPr>
          </w:p>
        </w:tc>
      </w:tr>
      <w:tr w14:paraId="7B35B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F8D231">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2843BABE">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45B450DA">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639AD29C">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26F7646B">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7F98A07B">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5C8513E3">
            <w:pPr>
              <w:keepNext/>
              <w:spacing w:line="440" w:lineRule="exact"/>
              <w:ind w:left="63" w:right="63"/>
              <w:rPr>
                <w:rFonts w:ascii="Times New Roman" w:hAnsi="Times New Roman" w:eastAsia="仿宋_GB2312"/>
                <w:color w:val="auto"/>
                <w:sz w:val="28"/>
                <w:szCs w:val="30"/>
                <w:highlight w:val="none"/>
              </w:rPr>
            </w:pPr>
          </w:p>
        </w:tc>
      </w:tr>
    </w:tbl>
    <w:p w14:paraId="6DA043BB">
      <w:pPr>
        <w:spacing w:before="120" w:beforeLines="50" w:after="120" w:afterLines="50" w:line="440" w:lineRule="exact"/>
        <w:rPr>
          <w:rFonts w:hint="eastAsia" w:ascii="Times New Roman" w:hAnsi="Times New Roman" w:eastAsia="黑体"/>
          <w:color w:val="auto"/>
          <w:sz w:val="30"/>
          <w:szCs w:val="30"/>
          <w:highlight w:val="none"/>
        </w:rPr>
      </w:pPr>
    </w:p>
    <w:p w14:paraId="46B70958">
      <w:pPr>
        <w:spacing w:before="120" w:beforeLines="50" w:after="120" w:afterLines="50" w:line="440" w:lineRule="exact"/>
        <w:jc w:val="center"/>
        <w:rPr>
          <w:rFonts w:hint="eastAsia" w:ascii="Times New Roman" w:hAnsi="Times New Roman" w:eastAsia="黑体"/>
          <w:color w:val="auto"/>
          <w:sz w:val="28"/>
          <w:szCs w:val="28"/>
          <w:highlight w:val="none"/>
        </w:rPr>
      </w:pPr>
    </w:p>
    <w:p w14:paraId="79F70020">
      <w:pPr>
        <w:spacing w:before="120" w:beforeLines="50" w:after="120" w:afterLines="50" w:line="440" w:lineRule="exact"/>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11-2：工程设备暂估价表</w:t>
      </w:r>
    </w:p>
    <w:tbl>
      <w:tblPr>
        <w:tblStyle w:val="1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92B9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6858041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序号</w:t>
            </w:r>
          </w:p>
        </w:tc>
        <w:tc>
          <w:tcPr>
            <w:tcW w:w="1984" w:type="dxa"/>
            <w:tcBorders>
              <w:top w:val="single" w:color="auto" w:sz="12" w:space="0"/>
              <w:bottom w:val="double" w:color="auto" w:sz="6" w:space="0"/>
            </w:tcBorders>
            <w:noWrap w:val="0"/>
            <w:vAlign w:val="center"/>
          </w:tcPr>
          <w:p w14:paraId="06F00E3D">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名称</w:t>
            </w:r>
          </w:p>
        </w:tc>
        <w:tc>
          <w:tcPr>
            <w:tcW w:w="851" w:type="dxa"/>
            <w:tcBorders>
              <w:top w:val="single" w:color="auto" w:sz="12" w:space="0"/>
              <w:bottom w:val="double" w:color="auto" w:sz="6" w:space="0"/>
            </w:tcBorders>
            <w:noWrap w:val="0"/>
            <w:vAlign w:val="center"/>
          </w:tcPr>
          <w:p w14:paraId="19C9D5A3">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单位</w:t>
            </w:r>
          </w:p>
        </w:tc>
        <w:tc>
          <w:tcPr>
            <w:tcW w:w="774" w:type="dxa"/>
            <w:tcBorders>
              <w:top w:val="single" w:color="auto" w:sz="12" w:space="0"/>
              <w:bottom w:val="double" w:color="auto" w:sz="6" w:space="0"/>
            </w:tcBorders>
            <w:noWrap w:val="0"/>
            <w:vAlign w:val="center"/>
          </w:tcPr>
          <w:p w14:paraId="0C6CD13E">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数量</w:t>
            </w:r>
          </w:p>
        </w:tc>
        <w:tc>
          <w:tcPr>
            <w:tcW w:w="1352" w:type="dxa"/>
            <w:tcBorders>
              <w:top w:val="single" w:color="auto" w:sz="12" w:space="0"/>
              <w:bottom w:val="double" w:color="auto" w:sz="6" w:space="0"/>
            </w:tcBorders>
            <w:noWrap w:val="0"/>
            <w:vAlign w:val="center"/>
          </w:tcPr>
          <w:p w14:paraId="572DB7D2">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单价</w:t>
            </w:r>
            <w:r>
              <w:rPr>
                <w:rFonts w:hint="eastAsia" w:ascii="宋体" w:hAnsi="宋体"/>
                <w:color w:val="auto"/>
                <w:szCs w:val="21"/>
                <w:highlight w:val="none"/>
              </w:rPr>
              <w:t>（元）</w:t>
            </w:r>
          </w:p>
        </w:tc>
        <w:tc>
          <w:tcPr>
            <w:tcW w:w="1418" w:type="dxa"/>
            <w:tcBorders>
              <w:top w:val="single" w:color="auto" w:sz="12" w:space="0"/>
              <w:bottom w:val="double" w:color="auto" w:sz="6" w:space="0"/>
            </w:tcBorders>
            <w:noWrap w:val="0"/>
            <w:vAlign w:val="center"/>
          </w:tcPr>
          <w:p w14:paraId="2EFEBBCB">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合价</w:t>
            </w:r>
            <w:r>
              <w:rPr>
                <w:rFonts w:hint="eastAsia" w:ascii="宋体" w:hAnsi="宋体"/>
                <w:color w:val="auto"/>
                <w:szCs w:val="21"/>
                <w:highlight w:val="none"/>
              </w:rPr>
              <w:t>（元）</w:t>
            </w:r>
          </w:p>
        </w:tc>
        <w:tc>
          <w:tcPr>
            <w:tcW w:w="1701" w:type="dxa"/>
            <w:tcBorders>
              <w:top w:val="single" w:color="auto" w:sz="12" w:space="0"/>
              <w:bottom w:val="double" w:color="auto" w:sz="6" w:space="0"/>
            </w:tcBorders>
            <w:noWrap w:val="0"/>
            <w:vAlign w:val="center"/>
          </w:tcPr>
          <w:p w14:paraId="4657120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备注</w:t>
            </w:r>
          </w:p>
        </w:tc>
      </w:tr>
      <w:tr w14:paraId="0B197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31BE45C">
            <w:pPr>
              <w:keepNext/>
              <w:spacing w:line="440" w:lineRule="exact"/>
              <w:ind w:left="63" w:right="63"/>
              <w:rPr>
                <w:rFonts w:ascii="Times New Roman" w:hAnsi="Times New Roman" w:eastAsia="仿宋_GB2312"/>
                <w:color w:val="auto"/>
                <w:sz w:val="28"/>
                <w:szCs w:val="30"/>
                <w:highlight w:val="none"/>
              </w:rPr>
            </w:pPr>
          </w:p>
        </w:tc>
        <w:tc>
          <w:tcPr>
            <w:tcW w:w="1984" w:type="dxa"/>
            <w:tcBorders>
              <w:top w:val="double" w:color="auto" w:sz="6" w:space="0"/>
              <w:bottom w:val="single" w:color="auto" w:sz="6" w:space="0"/>
            </w:tcBorders>
            <w:noWrap w:val="0"/>
            <w:vAlign w:val="top"/>
          </w:tcPr>
          <w:p w14:paraId="55AB90C7">
            <w:pPr>
              <w:keepNext/>
              <w:spacing w:line="440" w:lineRule="exact"/>
              <w:ind w:left="63" w:right="63"/>
              <w:rPr>
                <w:rFonts w:ascii="Times New Roman" w:hAnsi="Times New Roman" w:eastAsia="仿宋_GB2312"/>
                <w:color w:val="auto"/>
                <w:sz w:val="28"/>
                <w:szCs w:val="30"/>
                <w:highlight w:val="none"/>
              </w:rPr>
            </w:pPr>
          </w:p>
        </w:tc>
        <w:tc>
          <w:tcPr>
            <w:tcW w:w="851" w:type="dxa"/>
            <w:tcBorders>
              <w:top w:val="double" w:color="auto" w:sz="6" w:space="0"/>
              <w:bottom w:val="single" w:color="auto" w:sz="6" w:space="0"/>
            </w:tcBorders>
            <w:noWrap w:val="0"/>
            <w:vAlign w:val="top"/>
          </w:tcPr>
          <w:p w14:paraId="27C6EDCD">
            <w:pPr>
              <w:keepNext/>
              <w:spacing w:line="440" w:lineRule="exact"/>
              <w:ind w:left="63" w:right="63"/>
              <w:rPr>
                <w:rFonts w:ascii="Times New Roman" w:hAnsi="Times New Roman" w:eastAsia="仿宋_GB2312"/>
                <w:color w:val="auto"/>
                <w:sz w:val="28"/>
                <w:szCs w:val="30"/>
                <w:highlight w:val="none"/>
              </w:rPr>
            </w:pPr>
          </w:p>
        </w:tc>
        <w:tc>
          <w:tcPr>
            <w:tcW w:w="774" w:type="dxa"/>
            <w:tcBorders>
              <w:top w:val="double" w:color="auto" w:sz="6" w:space="0"/>
              <w:bottom w:val="single" w:color="auto" w:sz="6" w:space="0"/>
            </w:tcBorders>
            <w:noWrap w:val="0"/>
            <w:vAlign w:val="top"/>
          </w:tcPr>
          <w:p w14:paraId="4498E7D8">
            <w:pPr>
              <w:keepNext/>
              <w:spacing w:line="440" w:lineRule="exact"/>
              <w:ind w:left="63" w:right="63"/>
              <w:rPr>
                <w:rFonts w:ascii="Times New Roman" w:hAnsi="Times New Roman" w:eastAsia="仿宋_GB2312"/>
                <w:color w:val="auto"/>
                <w:sz w:val="28"/>
                <w:szCs w:val="30"/>
                <w:highlight w:val="none"/>
              </w:rPr>
            </w:pPr>
          </w:p>
        </w:tc>
        <w:tc>
          <w:tcPr>
            <w:tcW w:w="1352" w:type="dxa"/>
            <w:tcBorders>
              <w:top w:val="double" w:color="auto" w:sz="6" w:space="0"/>
              <w:bottom w:val="single" w:color="auto" w:sz="6" w:space="0"/>
            </w:tcBorders>
            <w:noWrap w:val="0"/>
            <w:vAlign w:val="top"/>
          </w:tcPr>
          <w:p w14:paraId="10B7A4FC">
            <w:pPr>
              <w:keepNext/>
              <w:spacing w:line="440" w:lineRule="exact"/>
              <w:ind w:left="63" w:right="63"/>
              <w:rPr>
                <w:rFonts w:ascii="Times New Roman" w:hAnsi="Times New Roman" w:eastAsia="仿宋_GB2312"/>
                <w:color w:val="auto"/>
                <w:sz w:val="28"/>
                <w:szCs w:val="30"/>
                <w:highlight w:val="none"/>
              </w:rPr>
            </w:pPr>
          </w:p>
        </w:tc>
        <w:tc>
          <w:tcPr>
            <w:tcW w:w="1418" w:type="dxa"/>
            <w:tcBorders>
              <w:top w:val="double" w:color="auto" w:sz="6" w:space="0"/>
              <w:bottom w:val="single" w:color="auto" w:sz="6" w:space="0"/>
            </w:tcBorders>
            <w:noWrap w:val="0"/>
            <w:vAlign w:val="top"/>
          </w:tcPr>
          <w:p w14:paraId="49459758">
            <w:pPr>
              <w:keepNext/>
              <w:spacing w:line="440" w:lineRule="exact"/>
              <w:ind w:left="63" w:right="63"/>
              <w:rPr>
                <w:rFonts w:ascii="Times New Roman" w:hAnsi="Times New Roman" w:eastAsia="仿宋_GB2312"/>
                <w:color w:val="auto"/>
                <w:sz w:val="28"/>
                <w:szCs w:val="30"/>
                <w:highlight w:val="none"/>
              </w:rPr>
            </w:pPr>
          </w:p>
        </w:tc>
        <w:tc>
          <w:tcPr>
            <w:tcW w:w="1701" w:type="dxa"/>
            <w:tcBorders>
              <w:top w:val="double" w:color="auto" w:sz="6" w:space="0"/>
              <w:bottom w:val="single" w:color="auto" w:sz="6" w:space="0"/>
            </w:tcBorders>
            <w:noWrap w:val="0"/>
            <w:vAlign w:val="top"/>
          </w:tcPr>
          <w:p w14:paraId="32F768A5">
            <w:pPr>
              <w:keepNext/>
              <w:spacing w:line="440" w:lineRule="exact"/>
              <w:ind w:left="63" w:right="63"/>
              <w:rPr>
                <w:rFonts w:ascii="Times New Roman" w:hAnsi="Times New Roman" w:eastAsia="仿宋_GB2312"/>
                <w:color w:val="auto"/>
                <w:sz w:val="28"/>
                <w:szCs w:val="30"/>
                <w:highlight w:val="none"/>
              </w:rPr>
            </w:pPr>
          </w:p>
        </w:tc>
      </w:tr>
      <w:tr w14:paraId="11BC5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0C5069C8">
            <w:pPr>
              <w:keepNext/>
              <w:spacing w:line="440" w:lineRule="exact"/>
              <w:ind w:left="63" w:right="63"/>
              <w:rPr>
                <w:rFonts w:ascii="Times New Roman" w:hAnsi="Times New Roman" w:eastAsia="仿宋_GB2312"/>
                <w:color w:val="auto"/>
                <w:sz w:val="28"/>
                <w:szCs w:val="30"/>
                <w:highlight w:val="none"/>
              </w:rPr>
            </w:pPr>
          </w:p>
        </w:tc>
        <w:tc>
          <w:tcPr>
            <w:tcW w:w="1984" w:type="dxa"/>
            <w:tcBorders>
              <w:top w:val="nil"/>
            </w:tcBorders>
            <w:noWrap w:val="0"/>
            <w:vAlign w:val="top"/>
          </w:tcPr>
          <w:p w14:paraId="1658AFD8">
            <w:pPr>
              <w:keepNext/>
              <w:spacing w:line="440" w:lineRule="exact"/>
              <w:ind w:left="63" w:right="63"/>
              <w:rPr>
                <w:rFonts w:ascii="Times New Roman" w:hAnsi="Times New Roman" w:eastAsia="仿宋_GB2312"/>
                <w:color w:val="auto"/>
                <w:sz w:val="28"/>
                <w:szCs w:val="30"/>
                <w:highlight w:val="none"/>
              </w:rPr>
            </w:pPr>
          </w:p>
        </w:tc>
        <w:tc>
          <w:tcPr>
            <w:tcW w:w="851" w:type="dxa"/>
            <w:tcBorders>
              <w:top w:val="nil"/>
            </w:tcBorders>
            <w:noWrap w:val="0"/>
            <w:vAlign w:val="top"/>
          </w:tcPr>
          <w:p w14:paraId="6732C9C2">
            <w:pPr>
              <w:keepNext/>
              <w:spacing w:line="440" w:lineRule="exact"/>
              <w:ind w:left="63" w:right="63"/>
              <w:rPr>
                <w:rFonts w:ascii="Times New Roman" w:hAnsi="Times New Roman" w:eastAsia="仿宋_GB2312"/>
                <w:color w:val="auto"/>
                <w:sz w:val="28"/>
                <w:szCs w:val="30"/>
                <w:highlight w:val="none"/>
              </w:rPr>
            </w:pPr>
          </w:p>
        </w:tc>
        <w:tc>
          <w:tcPr>
            <w:tcW w:w="774" w:type="dxa"/>
            <w:tcBorders>
              <w:top w:val="nil"/>
            </w:tcBorders>
            <w:noWrap w:val="0"/>
            <w:vAlign w:val="top"/>
          </w:tcPr>
          <w:p w14:paraId="7A029589">
            <w:pPr>
              <w:keepNext/>
              <w:spacing w:line="440" w:lineRule="exact"/>
              <w:ind w:left="63" w:right="63"/>
              <w:rPr>
                <w:rFonts w:ascii="Times New Roman" w:hAnsi="Times New Roman" w:eastAsia="仿宋_GB2312"/>
                <w:color w:val="auto"/>
                <w:sz w:val="28"/>
                <w:szCs w:val="30"/>
                <w:highlight w:val="none"/>
              </w:rPr>
            </w:pPr>
          </w:p>
        </w:tc>
        <w:tc>
          <w:tcPr>
            <w:tcW w:w="1352" w:type="dxa"/>
            <w:tcBorders>
              <w:top w:val="nil"/>
            </w:tcBorders>
            <w:noWrap w:val="0"/>
            <w:vAlign w:val="top"/>
          </w:tcPr>
          <w:p w14:paraId="4FA5D122">
            <w:pPr>
              <w:keepNext/>
              <w:spacing w:line="440" w:lineRule="exact"/>
              <w:ind w:left="63" w:right="63"/>
              <w:rPr>
                <w:rFonts w:ascii="Times New Roman" w:hAnsi="Times New Roman" w:eastAsia="仿宋_GB2312"/>
                <w:color w:val="auto"/>
                <w:sz w:val="28"/>
                <w:szCs w:val="30"/>
                <w:highlight w:val="none"/>
              </w:rPr>
            </w:pPr>
          </w:p>
        </w:tc>
        <w:tc>
          <w:tcPr>
            <w:tcW w:w="1418" w:type="dxa"/>
            <w:tcBorders>
              <w:top w:val="nil"/>
            </w:tcBorders>
            <w:noWrap w:val="0"/>
            <w:vAlign w:val="top"/>
          </w:tcPr>
          <w:p w14:paraId="3CFFFDBF">
            <w:pPr>
              <w:keepNext/>
              <w:spacing w:line="440" w:lineRule="exact"/>
              <w:ind w:left="63" w:right="63"/>
              <w:rPr>
                <w:rFonts w:ascii="Times New Roman" w:hAnsi="Times New Roman" w:eastAsia="仿宋_GB2312"/>
                <w:color w:val="auto"/>
                <w:sz w:val="28"/>
                <w:szCs w:val="30"/>
                <w:highlight w:val="none"/>
              </w:rPr>
            </w:pPr>
          </w:p>
        </w:tc>
        <w:tc>
          <w:tcPr>
            <w:tcW w:w="1701" w:type="dxa"/>
            <w:tcBorders>
              <w:top w:val="nil"/>
            </w:tcBorders>
            <w:noWrap w:val="0"/>
            <w:vAlign w:val="top"/>
          </w:tcPr>
          <w:p w14:paraId="46D284AC">
            <w:pPr>
              <w:keepNext/>
              <w:spacing w:line="440" w:lineRule="exact"/>
              <w:ind w:left="63" w:right="63"/>
              <w:rPr>
                <w:rFonts w:ascii="Times New Roman" w:hAnsi="Times New Roman" w:eastAsia="仿宋_GB2312"/>
                <w:color w:val="auto"/>
                <w:sz w:val="28"/>
                <w:szCs w:val="30"/>
                <w:highlight w:val="none"/>
              </w:rPr>
            </w:pPr>
          </w:p>
        </w:tc>
      </w:tr>
      <w:tr w14:paraId="6A1693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9165C6">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446F7C32">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0AB14BE">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7BD8F944">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0DD17A8C">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2967359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3D127AED">
            <w:pPr>
              <w:keepNext/>
              <w:spacing w:line="440" w:lineRule="exact"/>
              <w:ind w:left="63" w:right="63"/>
              <w:rPr>
                <w:rFonts w:ascii="Times New Roman" w:hAnsi="Times New Roman" w:eastAsia="仿宋_GB2312"/>
                <w:color w:val="auto"/>
                <w:sz w:val="28"/>
                <w:szCs w:val="30"/>
                <w:highlight w:val="none"/>
              </w:rPr>
            </w:pPr>
          </w:p>
        </w:tc>
      </w:tr>
      <w:tr w14:paraId="22A651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23D6DA8">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BD30F66">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DA58033">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5A525707">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275B221">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6BC1E4E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752D6C1F">
            <w:pPr>
              <w:keepNext/>
              <w:spacing w:line="440" w:lineRule="exact"/>
              <w:ind w:left="63" w:right="63"/>
              <w:rPr>
                <w:rFonts w:ascii="Times New Roman" w:hAnsi="Times New Roman" w:eastAsia="仿宋_GB2312"/>
                <w:color w:val="auto"/>
                <w:sz w:val="28"/>
                <w:szCs w:val="30"/>
                <w:highlight w:val="none"/>
              </w:rPr>
            </w:pPr>
          </w:p>
        </w:tc>
      </w:tr>
      <w:tr w14:paraId="743673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FEBD5A">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424BC546">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1EA77BEB">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20B37CC5">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0D18F20">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74EF12FE">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9E9C80A">
            <w:pPr>
              <w:keepNext/>
              <w:spacing w:line="440" w:lineRule="exact"/>
              <w:ind w:left="63" w:right="63"/>
              <w:rPr>
                <w:rFonts w:ascii="Times New Roman" w:hAnsi="Times New Roman" w:eastAsia="仿宋_GB2312"/>
                <w:color w:val="auto"/>
                <w:sz w:val="28"/>
                <w:szCs w:val="30"/>
                <w:highlight w:val="none"/>
              </w:rPr>
            </w:pPr>
          </w:p>
        </w:tc>
      </w:tr>
      <w:tr w14:paraId="196504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A68CD9">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3A675DDF">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3A1E777B">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1453E9FA">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101CD6A">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00CDCEF5">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35979CAD">
            <w:pPr>
              <w:keepNext/>
              <w:spacing w:line="440" w:lineRule="exact"/>
              <w:ind w:left="63" w:right="63"/>
              <w:rPr>
                <w:rFonts w:ascii="Times New Roman" w:hAnsi="Times New Roman" w:eastAsia="仿宋_GB2312"/>
                <w:color w:val="auto"/>
                <w:sz w:val="28"/>
                <w:szCs w:val="30"/>
                <w:highlight w:val="none"/>
              </w:rPr>
            </w:pPr>
          </w:p>
        </w:tc>
      </w:tr>
      <w:tr w14:paraId="68FC01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3D074E">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9545B5E">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23029EDC">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01E44E8E">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8C51995">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1635732D">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5C2A01C5">
            <w:pPr>
              <w:keepNext/>
              <w:spacing w:line="440" w:lineRule="exact"/>
              <w:ind w:left="63" w:right="63"/>
              <w:rPr>
                <w:rFonts w:ascii="Times New Roman" w:hAnsi="Times New Roman" w:eastAsia="仿宋_GB2312"/>
                <w:color w:val="auto"/>
                <w:sz w:val="28"/>
                <w:szCs w:val="30"/>
                <w:highlight w:val="none"/>
              </w:rPr>
            </w:pPr>
          </w:p>
        </w:tc>
      </w:tr>
      <w:tr w14:paraId="5ECCF2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D7214C">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FC93B3E">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0309351">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7228B161">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8B84ED1">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4FE00C0">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56FE0604">
            <w:pPr>
              <w:keepNext/>
              <w:spacing w:line="440" w:lineRule="exact"/>
              <w:ind w:left="63" w:right="63"/>
              <w:rPr>
                <w:rFonts w:ascii="Times New Roman" w:hAnsi="Times New Roman" w:eastAsia="仿宋_GB2312"/>
                <w:color w:val="auto"/>
                <w:sz w:val="28"/>
                <w:szCs w:val="30"/>
                <w:highlight w:val="none"/>
              </w:rPr>
            </w:pPr>
          </w:p>
        </w:tc>
      </w:tr>
      <w:tr w14:paraId="187A3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46F8EB">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0651FCE7">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20A0885">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57E715A7">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29C49724">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26735332">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5E0A8B55">
            <w:pPr>
              <w:keepNext/>
              <w:spacing w:line="440" w:lineRule="exact"/>
              <w:ind w:left="63" w:right="63"/>
              <w:rPr>
                <w:rFonts w:ascii="Times New Roman" w:hAnsi="Times New Roman" w:eastAsia="仿宋_GB2312"/>
                <w:color w:val="auto"/>
                <w:sz w:val="28"/>
                <w:szCs w:val="30"/>
                <w:highlight w:val="none"/>
              </w:rPr>
            </w:pPr>
          </w:p>
        </w:tc>
      </w:tr>
      <w:tr w14:paraId="6002C5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E2ABAE6">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5E540C4C">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00B2ADC5">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CA700A5">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6F1C9370">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294B5DA2">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26A836D1">
            <w:pPr>
              <w:keepNext/>
              <w:spacing w:line="440" w:lineRule="exact"/>
              <w:ind w:left="63" w:right="63"/>
              <w:rPr>
                <w:rFonts w:ascii="Times New Roman" w:hAnsi="Times New Roman" w:eastAsia="仿宋_GB2312"/>
                <w:color w:val="auto"/>
                <w:sz w:val="28"/>
                <w:szCs w:val="30"/>
                <w:highlight w:val="none"/>
              </w:rPr>
            </w:pPr>
          </w:p>
        </w:tc>
      </w:tr>
      <w:tr w14:paraId="5B3CA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ACFC42">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57E90CF4">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347480A6">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5FF2D09E">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07ADDC81">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0C9931D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15CE4D2F">
            <w:pPr>
              <w:keepNext/>
              <w:spacing w:line="440" w:lineRule="exact"/>
              <w:ind w:left="63" w:right="63"/>
              <w:rPr>
                <w:rFonts w:ascii="Times New Roman" w:hAnsi="Times New Roman" w:eastAsia="仿宋_GB2312"/>
                <w:color w:val="auto"/>
                <w:sz w:val="28"/>
                <w:szCs w:val="30"/>
                <w:highlight w:val="none"/>
              </w:rPr>
            </w:pPr>
          </w:p>
        </w:tc>
      </w:tr>
      <w:tr w14:paraId="6EED8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1A61924">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0B140625">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26F695C5">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7A0E7692">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5868101D">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6CB0ACF">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C8AF004">
            <w:pPr>
              <w:keepNext/>
              <w:spacing w:line="440" w:lineRule="exact"/>
              <w:ind w:left="63" w:right="63"/>
              <w:rPr>
                <w:rFonts w:ascii="Times New Roman" w:hAnsi="Times New Roman" w:eastAsia="仿宋_GB2312"/>
                <w:color w:val="auto"/>
                <w:sz w:val="28"/>
                <w:szCs w:val="30"/>
                <w:highlight w:val="none"/>
              </w:rPr>
            </w:pPr>
          </w:p>
        </w:tc>
      </w:tr>
      <w:tr w14:paraId="1FA464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4D421A">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30E9AB44">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68480558">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1AFAB092">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2F4B96C">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4DDE392B">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5F476275">
            <w:pPr>
              <w:keepNext/>
              <w:spacing w:line="440" w:lineRule="exact"/>
              <w:ind w:left="63" w:right="63"/>
              <w:rPr>
                <w:rFonts w:ascii="Times New Roman" w:hAnsi="Times New Roman" w:eastAsia="仿宋_GB2312"/>
                <w:color w:val="auto"/>
                <w:sz w:val="28"/>
                <w:szCs w:val="30"/>
                <w:highlight w:val="none"/>
              </w:rPr>
            </w:pPr>
          </w:p>
        </w:tc>
      </w:tr>
      <w:tr w14:paraId="2D0B80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D8120A">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1EA5F7A">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419B79C0">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33DF1313">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41527CAF">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70495BFE">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CB52363">
            <w:pPr>
              <w:keepNext/>
              <w:spacing w:line="440" w:lineRule="exact"/>
              <w:ind w:left="63" w:right="63"/>
              <w:rPr>
                <w:rFonts w:ascii="Times New Roman" w:hAnsi="Times New Roman" w:eastAsia="仿宋_GB2312"/>
                <w:color w:val="auto"/>
                <w:sz w:val="28"/>
                <w:szCs w:val="30"/>
                <w:highlight w:val="none"/>
              </w:rPr>
            </w:pPr>
          </w:p>
        </w:tc>
      </w:tr>
      <w:tr w14:paraId="27FFE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4FED1D">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212FAB7">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71000768">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129F35E">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1880A883">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2D70744">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1FD5E3FD">
            <w:pPr>
              <w:keepNext/>
              <w:spacing w:line="440" w:lineRule="exact"/>
              <w:ind w:left="63" w:right="63"/>
              <w:rPr>
                <w:rFonts w:ascii="Times New Roman" w:hAnsi="Times New Roman" w:eastAsia="仿宋_GB2312"/>
                <w:color w:val="auto"/>
                <w:sz w:val="28"/>
                <w:szCs w:val="30"/>
                <w:highlight w:val="none"/>
              </w:rPr>
            </w:pPr>
          </w:p>
        </w:tc>
      </w:tr>
      <w:tr w14:paraId="3C4360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626A56">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66CF344F">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15BCD9E6">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5F8973DA">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0793A45B">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4535FD32">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2AB9BBB3">
            <w:pPr>
              <w:keepNext/>
              <w:spacing w:line="440" w:lineRule="exact"/>
              <w:ind w:left="63" w:right="63"/>
              <w:rPr>
                <w:rFonts w:ascii="Times New Roman" w:hAnsi="Times New Roman" w:eastAsia="仿宋_GB2312"/>
                <w:color w:val="auto"/>
                <w:sz w:val="28"/>
                <w:szCs w:val="30"/>
                <w:highlight w:val="none"/>
              </w:rPr>
            </w:pPr>
          </w:p>
        </w:tc>
      </w:tr>
      <w:tr w14:paraId="674BF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5F0D6F">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169A902">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42CA2022">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3A319071">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40F7F61A">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240037A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269BCD39">
            <w:pPr>
              <w:keepNext/>
              <w:spacing w:line="440" w:lineRule="exact"/>
              <w:ind w:left="63" w:right="63"/>
              <w:rPr>
                <w:rFonts w:ascii="Times New Roman" w:hAnsi="Times New Roman" w:eastAsia="仿宋_GB2312"/>
                <w:color w:val="auto"/>
                <w:sz w:val="28"/>
                <w:szCs w:val="30"/>
                <w:highlight w:val="none"/>
              </w:rPr>
            </w:pPr>
          </w:p>
        </w:tc>
      </w:tr>
      <w:tr w14:paraId="567D3E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C335CD1">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6258AA29">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5246F5AA">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66DBFD12">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51253D48">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0E08539E">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75A8FA13">
            <w:pPr>
              <w:keepNext/>
              <w:spacing w:line="440" w:lineRule="exact"/>
              <w:ind w:left="63" w:right="63"/>
              <w:rPr>
                <w:rFonts w:ascii="Times New Roman" w:hAnsi="Times New Roman" w:eastAsia="仿宋_GB2312"/>
                <w:color w:val="auto"/>
                <w:sz w:val="28"/>
                <w:szCs w:val="30"/>
                <w:highlight w:val="none"/>
              </w:rPr>
            </w:pPr>
          </w:p>
        </w:tc>
      </w:tr>
      <w:tr w14:paraId="33F84F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D921D6F">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786B638">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25358296">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711A516D">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0696B734">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78B9C4C9">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FC6EF64">
            <w:pPr>
              <w:keepNext/>
              <w:spacing w:line="440" w:lineRule="exact"/>
              <w:ind w:left="63" w:right="63"/>
              <w:rPr>
                <w:rFonts w:ascii="Times New Roman" w:hAnsi="Times New Roman" w:eastAsia="仿宋_GB2312"/>
                <w:color w:val="auto"/>
                <w:sz w:val="28"/>
                <w:szCs w:val="30"/>
                <w:highlight w:val="none"/>
              </w:rPr>
            </w:pPr>
          </w:p>
        </w:tc>
      </w:tr>
      <w:tr w14:paraId="5FC53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0A6506">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697C5087">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231EC093">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73D19B41">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538D105">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56D4D5B3">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0CE71DEA">
            <w:pPr>
              <w:keepNext/>
              <w:spacing w:line="440" w:lineRule="exact"/>
              <w:ind w:left="63" w:right="63"/>
              <w:rPr>
                <w:rFonts w:ascii="Times New Roman" w:hAnsi="Times New Roman" w:eastAsia="仿宋_GB2312"/>
                <w:color w:val="auto"/>
                <w:sz w:val="28"/>
                <w:szCs w:val="30"/>
                <w:highlight w:val="none"/>
              </w:rPr>
            </w:pPr>
          </w:p>
        </w:tc>
      </w:tr>
      <w:tr w14:paraId="05BD4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25756EC">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EF502D8">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2C90C54B">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2AA2B067">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75723992">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1DA651C2">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4660F7EE">
            <w:pPr>
              <w:keepNext/>
              <w:spacing w:line="440" w:lineRule="exact"/>
              <w:ind w:left="63" w:right="63"/>
              <w:rPr>
                <w:rFonts w:ascii="Times New Roman" w:hAnsi="Times New Roman" w:eastAsia="仿宋_GB2312"/>
                <w:color w:val="auto"/>
                <w:sz w:val="28"/>
                <w:szCs w:val="30"/>
                <w:highlight w:val="none"/>
              </w:rPr>
            </w:pPr>
          </w:p>
        </w:tc>
      </w:tr>
      <w:tr w14:paraId="3605A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2CA18F">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31E8D653">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1EE0AC70">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F82CEB9">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2FE864FF">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798F6B65">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F96E7D4">
            <w:pPr>
              <w:keepNext/>
              <w:spacing w:line="440" w:lineRule="exact"/>
              <w:ind w:left="63" w:right="63"/>
              <w:rPr>
                <w:rFonts w:ascii="Times New Roman" w:hAnsi="Times New Roman" w:eastAsia="仿宋_GB2312"/>
                <w:color w:val="auto"/>
                <w:sz w:val="28"/>
                <w:szCs w:val="30"/>
                <w:highlight w:val="none"/>
              </w:rPr>
            </w:pPr>
          </w:p>
        </w:tc>
      </w:tr>
      <w:tr w14:paraId="29C3D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0932F9">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52C0AD1">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71BC76F4">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1D81B1DE">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5B6C4AE3">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3F1B87C3">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741757D5">
            <w:pPr>
              <w:keepNext/>
              <w:spacing w:line="440" w:lineRule="exact"/>
              <w:ind w:left="63" w:right="63"/>
              <w:rPr>
                <w:rFonts w:ascii="Times New Roman" w:hAnsi="Times New Roman" w:eastAsia="仿宋_GB2312"/>
                <w:color w:val="auto"/>
                <w:sz w:val="28"/>
                <w:szCs w:val="30"/>
                <w:highlight w:val="none"/>
              </w:rPr>
            </w:pPr>
          </w:p>
        </w:tc>
      </w:tr>
      <w:tr w14:paraId="3C4C9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DEC39E">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782C96EB">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33C48147">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6433DAEC">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3EE71AD4">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594555FB">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108E211C">
            <w:pPr>
              <w:keepNext/>
              <w:spacing w:line="440" w:lineRule="exact"/>
              <w:ind w:left="63" w:right="63"/>
              <w:rPr>
                <w:rFonts w:ascii="Times New Roman" w:hAnsi="Times New Roman" w:eastAsia="仿宋_GB2312"/>
                <w:color w:val="auto"/>
                <w:sz w:val="28"/>
                <w:szCs w:val="30"/>
                <w:highlight w:val="none"/>
              </w:rPr>
            </w:pPr>
          </w:p>
        </w:tc>
      </w:tr>
      <w:tr w14:paraId="51267D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92506C">
            <w:pPr>
              <w:keepNext/>
              <w:spacing w:line="440" w:lineRule="exact"/>
              <w:ind w:left="63" w:right="63"/>
              <w:rPr>
                <w:rFonts w:ascii="Times New Roman" w:hAnsi="Times New Roman" w:eastAsia="仿宋_GB2312"/>
                <w:color w:val="auto"/>
                <w:sz w:val="28"/>
                <w:szCs w:val="30"/>
                <w:highlight w:val="none"/>
              </w:rPr>
            </w:pPr>
          </w:p>
        </w:tc>
        <w:tc>
          <w:tcPr>
            <w:tcW w:w="1984" w:type="dxa"/>
            <w:noWrap w:val="0"/>
            <w:vAlign w:val="top"/>
          </w:tcPr>
          <w:p w14:paraId="1E031D66">
            <w:pPr>
              <w:keepNext/>
              <w:spacing w:line="440" w:lineRule="exact"/>
              <w:ind w:left="63" w:right="63"/>
              <w:rPr>
                <w:rFonts w:ascii="Times New Roman" w:hAnsi="Times New Roman" w:eastAsia="仿宋_GB2312"/>
                <w:color w:val="auto"/>
                <w:sz w:val="28"/>
                <w:szCs w:val="30"/>
                <w:highlight w:val="none"/>
              </w:rPr>
            </w:pPr>
          </w:p>
        </w:tc>
        <w:tc>
          <w:tcPr>
            <w:tcW w:w="851" w:type="dxa"/>
            <w:noWrap w:val="0"/>
            <w:vAlign w:val="top"/>
          </w:tcPr>
          <w:p w14:paraId="30B46737">
            <w:pPr>
              <w:keepNext/>
              <w:spacing w:line="440" w:lineRule="exact"/>
              <w:ind w:left="63" w:right="63"/>
              <w:rPr>
                <w:rFonts w:ascii="Times New Roman" w:hAnsi="Times New Roman" w:eastAsia="仿宋_GB2312"/>
                <w:color w:val="auto"/>
                <w:sz w:val="28"/>
                <w:szCs w:val="30"/>
                <w:highlight w:val="none"/>
              </w:rPr>
            </w:pPr>
          </w:p>
        </w:tc>
        <w:tc>
          <w:tcPr>
            <w:tcW w:w="774" w:type="dxa"/>
            <w:noWrap w:val="0"/>
            <w:vAlign w:val="top"/>
          </w:tcPr>
          <w:p w14:paraId="4BA4F990">
            <w:pPr>
              <w:keepNext/>
              <w:spacing w:line="440" w:lineRule="exact"/>
              <w:ind w:left="63" w:right="63"/>
              <w:rPr>
                <w:rFonts w:ascii="Times New Roman" w:hAnsi="Times New Roman" w:eastAsia="仿宋_GB2312"/>
                <w:color w:val="auto"/>
                <w:sz w:val="28"/>
                <w:szCs w:val="30"/>
                <w:highlight w:val="none"/>
              </w:rPr>
            </w:pPr>
          </w:p>
        </w:tc>
        <w:tc>
          <w:tcPr>
            <w:tcW w:w="1352" w:type="dxa"/>
            <w:noWrap w:val="0"/>
            <w:vAlign w:val="top"/>
          </w:tcPr>
          <w:p w14:paraId="589246AF">
            <w:pPr>
              <w:keepNext/>
              <w:spacing w:line="440" w:lineRule="exact"/>
              <w:ind w:left="63" w:right="63"/>
              <w:rPr>
                <w:rFonts w:ascii="Times New Roman" w:hAnsi="Times New Roman" w:eastAsia="仿宋_GB2312"/>
                <w:color w:val="auto"/>
                <w:sz w:val="28"/>
                <w:szCs w:val="30"/>
                <w:highlight w:val="none"/>
              </w:rPr>
            </w:pPr>
          </w:p>
        </w:tc>
        <w:tc>
          <w:tcPr>
            <w:tcW w:w="1418" w:type="dxa"/>
            <w:noWrap w:val="0"/>
            <w:vAlign w:val="top"/>
          </w:tcPr>
          <w:p w14:paraId="12340B42">
            <w:pPr>
              <w:keepNext/>
              <w:spacing w:line="440" w:lineRule="exact"/>
              <w:ind w:left="63" w:right="63"/>
              <w:rPr>
                <w:rFonts w:ascii="Times New Roman" w:hAnsi="Times New Roman" w:eastAsia="仿宋_GB2312"/>
                <w:color w:val="auto"/>
                <w:sz w:val="28"/>
                <w:szCs w:val="30"/>
                <w:highlight w:val="none"/>
              </w:rPr>
            </w:pPr>
          </w:p>
        </w:tc>
        <w:tc>
          <w:tcPr>
            <w:tcW w:w="1701" w:type="dxa"/>
            <w:noWrap w:val="0"/>
            <w:vAlign w:val="top"/>
          </w:tcPr>
          <w:p w14:paraId="64EE4C3A">
            <w:pPr>
              <w:keepNext/>
              <w:spacing w:line="440" w:lineRule="exact"/>
              <w:ind w:left="63" w:right="63"/>
              <w:rPr>
                <w:rFonts w:ascii="Times New Roman" w:hAnsi="Times New Roman" w:eastAsia="仿宋_GB2312"/>
                <w:color w:val="auto"/>
                <w:sz w:val="28"/>
                <w:szCs w:val="30"/>
                <w:highlight w:val="none"/>
              </w:rPr>
            </w:pPr>
          </w:p>
        </w:tc>
      </w:tr>
    </w:tbl>
    <w:p w14:paraId="3EBC9C77">
      <w:pPr>
        <w:spacing w:line="440" w:lineRule="exact"/>
        <w:rPr>
          <w:rFonts w:ascii="Times New Roman" w:hAnsi="Times New Roman" w:eastAsia="仿宋_GB2312"/>
          <w:color w:val="auto"/>
          <w:sz w:val="30"/>
          <w:szCs w:val="30"/>
          <w:highlight w:val="none"/>
        </w:rPr>
      </w:pPr>
    </w:p>
    <w:p w14:paraId="274F89D5">
      <w:pPr>
        <w:spacing w:before="120" w:beforeLines="50" w:after="120" w:afterLines="50" w:line="440" w:lineRule="exact"/>
        <w:jc w:val="center"/>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Times New Roman" w:hAnsi="Times New Roman" w:eastAsia="黑体"/>
          <w:color w:val="auto"/>
          <w:sz w:val="28"/>
          <w:szCs w:val="28"/>
          <w:highlight w:val="none"/>
        </w:rPr>
        <w:t>11-3：专业工程暂估价表</w:t>
      </w:r>
    </w:p>
    <w:tbl>
      <w:tblPr>
        <w:tblStyle w:val="1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49FD3E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center"/>
          </w:tcPr>
          <w:p w14:paraId="6708FA76">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序号</w:t>
            </w:r>
          </w:p>
        </w:tc>
        <w:tc>
          <w:tcPr>
            <w:tcW w:w="1984" w:type="dxa"/>
            <w:tcBorders>
              <w:top w:val="single" w:color="auto" w:sz="12" w:space="0"/>
              <w:bottom w:val="double" w:color="auto" w:sz="6" w:space="0"/>
            </w:tcBorders>
            <w:noWrap w:val="0"/>
            <w:vAlign w:val="center"/>
          </w:tcPr>
          <w:p w14:paraId="0E0103E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专业工程名称</w:t>
            </w:r>
          </w:p>
        </w:tc>
        <w:tc>
          <w:tcPr>
            <w:tcW w:w="4678" w:type="dxa"/>
            <w:tcBorders>
              <w:top w:val="single" w:color="auto" w:sz="12" w:space="0"/>
              <w:bottom w:val="double" w:color="auto" w:sz="6" w:space="0"/>
            </w:tcBorders>
            <w:noWrap w:val="0"/>
            <w:vAlign w:val="center"/>
          </w:tcPr>
          <w:p w14:paraId="20C67ACA">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工程内容</w:t>
            </w:r>
          </w:p>
        </w:tc>
        <w:tc>
          <w:tcPr>
            <w:tcW w:w="1276" w:type="dxa"/>
            <w:tcBorders>
              <w:top w:val="single" w:color="auto" w:sz="12" w:space="0"/>
              <w:bottom w:val="double" w:color="auto" w:sz="6" w:space="0"/>
            </w:tcBorders>
            <w:noWrap w:val="0"/>
            <w:vAlign w:val="center"/>
          </w:tcPr>
          <w:p w14:paraId="6A52EC0C">
            <w:pPr>
              <w:keepNext/>
              <w:spacing w:line="440" w:lineRule="exact"/>
              <w:ind w:left="63" w:right="63"/>
              <w:jc w:val="center"/>
              <w:rPr>
                <w:rFonts w:ascii="宋体" w:hAnsi="宋体"/>
                <w:color w:val="auto"/>
                <w:szCs w:val="21"/>
                <w:highlight w:val="none"/>
              </w:rPr>
            </w:pPr>
            <w:r>
              <w:rPr>
                <w:rFonts w:ascii="宋体" w:hAnsi="宋体"/>
                <w:color w:val="auto"/>
                <w:szCs w:val="21"/>
                <w:highlight w:val="none"/>
              </w:rPr>
              <w:t>金额</w:t>
            </w:r>
          </w:p>
        </w:tc>
      </w:tr>
      <w:tr w14:paraId="3A172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6E1F230F">
            <w:pPr>
              <w:keepNext/>
              <w:spacing w:line="440" w:lineRule="exact"/>
              <w:ind w:left="63" w:right="63"/>
              <w:rPr>
                <w:rFonts w:ascii="Times New Roman" w:hAnsi="Times New Roman"/>
                <w:color w:val="auto"/>
                <w:szCs w:val="21"/>
                <w:highlight w:val="none"/>
              </w:rPr>
            </w:pPr>
          </w:p>
        </w:tc>
        <w:tc>
          <w:tcPr>
            <w:tcW w:w="1984" w:type="dxa"/>
            <w:tcBorders>
              <w:top w:val="double" w:color="auto" w:sz="6" w:space="0"/>
              <w:bottom w:val="single" w:color="auto" w:sz="6" w:space="0"/>
            </w:tcBorders>
            <w:noWrap w:val="0"/>
            <w:vAlign w:val="top"/>
          </w:tcPr>
          <w:p w14:paraId="4839A6CB">
            <w:pPr>
              <w:keepNext/>
              <w:spacing w:line="440" w:lineRule="exact"/>
              <w:ind w:left="63" w:right="63"/>
              <w:rPr>
                <w:rFonts w:ascii="Times New Roman" w:hAnsi="Times New Roman"/>
                <w:color w:val="auto"/>
                <w:szCs w:val="21"/>
                <w:highlight w:val="none"/>
              </w:rPr>
            </w:pPr>
          </w:p>
        </w:tc>
        <w:tc>
          <w:tcPr>
            <w:tcW w:w="4678" w:type="dxa"/>
            <w:tcBorders>
              <w:top w:val="double" w:color="auto" w:sz="6" w:space="0"/>
              <w:bottom w:val="single" w:color="auto" w:sz="6" w:space="0"/>
            </w:tcBorders>
            <w:noWrap w:val="0"/>
            <w:vAlign w:val="top"/>
          </w:tcPr>
          <w:p w14:paraId="5C0E1BFA">
            <w:pPr>
              <w:keepNext/>
              <w:spacing w:line="440" w:lineRule="exact"/>
              <w:ind w:left="63" w:right="63"/>
              <w:rPr>
                <w:rFonts w:ascii="Times New Roman" w:hAnsi="Times New Roman"/>
                <w:color w:val="auto"/>
                <w:szCs w:val="21"/>
                <w:highlight w:val="none"/>
              </w:rPr>
            </w:pPr>
          </w:p>
        </w:tc>
        <w:tc>
          <w:tcPr>
            <w:tcW w:w="1276" w:type="dxa"/>
            <w:tcBorders>
              <w:top w:val="double" w:color="auto" w:sz="6" w:space="0"/>
              <w:bottom w:val="single" w:color="auto" w:sz="6" w:space="0"/>
            </w:tcBorders>
            <w:noWrap w:val="0"/>
            <w:vAlign w:val="top"/>
          </w:tcPr>
          <w:p w14:paraId="70ADAC96">
            <w:pPr>
              <w:keepNext/>
              <w:spacing w:line="440" w:lineRule="exact"/>
              <w:ind w:left="63" w:right="63"/>
              <w:rPr>
                <w:rFonts w:ascii="Times New Roman" w:hAnsi="Times New Roman"/>
                <w:color w:val="auto"/>
                <w:szCs w:val="21"/>
                <w:highlight w:val="none"/>
              </w:rPr>
            </w:pPr>
          </w:p>
        </w:tc>
      </w:tr>
      <w:tr w14:paraId="5D99B6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D3210EB">
            <w:pPr>
              <w:keepNext/>
              <w:spacing w:line="440" w:lineRule="exact"/>
              <w:ind w:left="63" w:right="63"/>
              <w:rPr>
                <w:rFonts w:ascii="Times New Roman" w:hAnsi="Times New Roman"/>
                <w:color w:val="auto"/>
                <w:szCs w:val="21"/>
                <w:highlight w:val="none"/>
              </w:rPr>
            </w:pPr>
          </w:p>
        </w:tc>
        <w:tc>
          <w:tcPr>
            <w:tcW w:w="1984" w:type="dxa"/>
            <w:tcBorders>
              <w:top w:val="nil"/>
            </w:tcBorders>
            <w:noWrap w:val="0"/>
            <w:vAlign w:val="top"/>
          </w:tcPr>
          <w:p w14:paraId="244BABF1">
            <w:pPr>
              <w:keepNext/>
              <w:spacing w:line="440" w:lineRule="exact"/>
              <w:ind w:left="63" w:right="63"/>
              <w:rPr>
                <w:rFonts w:ascii="Times New Roman" w:hAnsi="Times New Roman"/>
                <w:color w:val="auto"/>
                <w:szCs w:val="21"/>
                <w:highlight w:val="none"/>
              </w:rPr>
            </w:pPr>
          </w:p>
        </w:tc>
        <w:tc>
          <w:tcPr>
            <w:tcW w:w="4678" w:type="dxa"/>
            <w:tcBorders>
              <w:top w:val="nil"/>
            </w:tcBorders>
            <w:noWrap w:val="0"/>
            <w:vAlign w:val="top"/>
          </w:tcPr>
          <w:p w14:paraId="739C8A57">
            <w:pPr>
              <w:keepNext/>
              <w:spacing w:line="440" w:lineRule="exact"/>
              <w:ind w:left="63" w:right="63"/>
              <w:rPr>
                <w:rFonts w:ascii="Times New Roman" w:hAnsi="Times New Roman"/>
                <w:color w:val="auto"/>
                <w:szCs w:val="21"/>
                <w:highlight w:val="none"/>
              </w:rPr>
            </w:pPr>
          </w:p>
        </w:tc>
        <w:tc>
          <w:tcPr>
            <w:tcW w:w="1276" w:type="dxa"/>
            <w:tcBorders>
              <w:top w:val="nil"/>
            </w:tcBorders>
            <w:noWrap w:val="0"/>
            <w:vAlign w:val="top"/>
          </w:tcPr>
          <w:p w14:paraId="1E45EF0F">
            <w:pPr>
              <w:keepNext/>
              <w:spacing w:line="440" w:lineRule="exact"/>
              <w:ind w:left="63" w:right="63"/>
              <w:rPr>
                <w:rFonts w:ascii="Times New Roman" w:hAnsi="Times New Roman"/>
                <w:color w:val="auto"/>
                <w:szCs w:val="21"/>
                <w:highlight w:val="none"/>
              </w:rPr>
            </w:pPr>
          </w:p>
        </w:tc>
      </w:tr>
      <w:tr w14:paraId="2096BC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C407E36">
            <w:pPr>
              <w:keepNext/>
              <w:spacing w:line="440" w:lineRule="exact"/>
              <w:ind w:left="63" w:right="63"/>
              <w:rPr>
                <w:rFonts w:ascii="Times New Roman" w:hAnsi="Times New Roman"/>
                <w:color w:val="auto"/>
                <w:szCs w:val="21"/>
                <w:highlight w:val="none"/>
              </w:rPr>
            </w:pPr>
          </w:p>
        </w:tc>
        <w:tc>
          <w:tcPr>
            <w:tcW w:w="1984" w:type="dxa"/>
            <w:tcBorders>
              <w:top w:val="nil"/>
            </w:tcBorders>
            <w:noWrap w:val="0"/>
            <w:vAlign w:val="top"/>
          </w:tcPr>
          <w:p w14:paraId="0E6EFE53">
            <w:pPr>
              <w:keepNext/>
              <w:spacing w:line="440" w:lineRule="exact"/>
              <w:ind w:left="63" w:right="63"/>
              <w:rPr>
                <w:rFonts w:ascii="Times New Roman" w:hAnsi="Times New Roman"/>
                <w:color w:val="auto"/>
                <w:szCs w:val="21"/>
                <w:highlight w:val="none"/>
              </w:rPr>
            </w:pPr>
          </w:p>
        </w:tc>
        <w:tc>
          <w:tcPr>
            <w:tcW w:w="4678" w:type="dxa"/>
            <w:tcBorders>
              <w:top w:val="nil"/>
            </w:tcBorders>
            <w:noWrap w:val="0"/>
            <w:vAlign w:val="top"/>
          </w:tcPr>
          <w:p w14:paraId="45C89F7B">
            <w:pPr>
              <w:keepNext/>
              <w:spacing w:line="440" w:lineRule="exact"/>
              <w:ind w:left="63" w:right="63"/>
              <w:rPr>
                <w:rFonts w:ascii="Times New Roman" w:hAnsi="Times New Roman"/>
                <w:color w:val="auto"/>
                <w:szCs w:val="21"/>
                <w:highlight w:val="none"/>
              </w:rPr>
            </w:pPr>
          </w:p>
        </w:tc>
        <w:tc>
          <w:tcPr>
            <w:tcW w:w="1276" w:type="dxa"/>
            <w:tcBorders>
              <w:top w:val="nil"/>
            </w:tcBorders>
            <w:noWrap w:val="0"/>
            <w:vAlign w:val="top"/>
          </w:tcPr>
          <w:p w14:paraId="13FD7839">
            <w:pPr>
              <w:keepNext/>
              <w:spacing w:line="440" w:lineRule="exact"/>
              <w:ind w:left="63" w:right="63"/>
              <w:rPr>
                <w:rFonts w:ascii="Times New Roman" w:hAnsi="Times New Roman"/>
                <w:color w:val="auto"/>
                <w:szCs w:val="21"/>
                <w:highlight w:val="none"/>
              </w:rPr>
            </w:pPr>
          </w:p>
        </w:tc>
      </w:tr>
      <w:tr w14:paraId="6AEB4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DC7B50F">
            <w:pPr>
              <w:keepNext/>
              <w:spacing w:line="440" w:lineRule="exact"/>
              <w:ind w:left="63" w:right="63"/>
              <w:rPr>
                <w:rFonts w:ascii="Times New Roman" w:hAnsi="Times New Roman"/>
                <w:color w:val="auto"/>
                <w:szCs w:val="21"/>
                <w:highlight w:val="none"/>
              </w:rPr>
            </w:pPr>
          </w:p>
        </w:tc>
        <w:tc>
          <w:tcPr>
            <w:tcW w:w="1984" w:type="dxa"/>
            <w:noWrap w:val="0"/>
            <w:vAlign w:val="top"/>
          </w:tcPr>
          <w:p w14:paraId="2E557292">
            <w:pPr>
              <w:keepNext/>
              <w:spacing w:line="440" w:lineRule="exact"/>
              <w:ind w:left="63" w:right="63"/>
              <w:rPr>
                <w:rFonts w:ascii="Times New Roman" w:hAnsi="Times New Roman"/>
                <w:color w:val="auto"/>
                <w:szCs w:val="21"/>
                <w:highlight w:val="none"/>
              </w:rPr>
            </w:pPr>
          </w:p>
        </w:tc>
        <w:tc>
          <w:tcPr>
            <w:tcW w:w="4678" w:type="dxa"/>
            <w:noWrap w:val="0"/>
            <w:vAlign w:val="top"/>
          </w:tcPr>
          <w:p w14:paraId="6197B007">
            <w:pPr>
              <w:keepNext/>
              <w:spacing w:line="440" w:lineRule="exact"/>
              <w:ind w:left="63" w:right="63"/>
              <w:rPr>
                <w:rFonts w:ascii="Times New Roman" w:hAnsi="Times New Roman"/>
                <w:color w:val="auto"/>
                <w:szCs w:val="21"/>
                <w:highlight w:val="none"/>
              </w:rPr>
            </w:pPr>
          </w:p>
        </w:tc>
        <w:tc>
          <w:tcPr>
            <w:tcW w:w="1276" w:type="dxa"/>
            <w:noWrap w:val="0"/>
            <w:vAlign w:val="top"/>
          </w:tcPr>
          <w:p w14:paraId="559669CF">
            <w:pPr>
              <w:keepNext/>
              <w:spacing w:line="440" w:lineRule="exact"/>
              <w:ind w:left="63" w:right="63"/>
              <w:rPr>
                <w:rFonts w:ascii="Times New Roman" w:hAnsi="Times New Roman"/>
                <w:color w:val="auto"/>
                <w:szCs w:val="21"/>
                <w:highlight w:val="none"/>
              </w:rPr>
            </w:pPr>
          </w:p>
        </w:tc>
      </w:tr>
      <w:tr w14:paraId="53343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6800C96">
            <w:pPr>
              <w:keepNext/>
              <w:spacing w:line="440" w:lineRule="exact"/>
              <w:ind w:left="63" w:right="63"/>
              <w:rPr>
                <w:rFonts w:ascii="Times New Roman" w:hAnsi="Times New Roman"/>
                <w:color w:val="auto"/>
                <w:szCs w:val="21"/>
                <w:highlight w:val="none"/>
              </w:rPr>
            </w:pPr>
          </w:p>
        </w:tc>
        <w:tc>
          <w:tcPr>
            <w:tcW w:w="1984" w:type="dxa"/>
            <w:noWrap w:val="0"/>
            <w:vAlign w:val="top"/>
          </w:tcPr>
          <w:p w14:paraId="4C7B8C69">
            <w:pPr>
              <w:keepNext/>
              <w:spacing w:line="440" w:lineRule="exact"/>
              <w:ind w:left="63" w:right="63"/>
              <w:rPr>
                <w:rFonts w:ascii="Times New Roman" w:hAnsi="Times New Roman"/>
                <w:color w:val="auto"/>
                <w:szCs w:val="21"/>
                <w:highlight w:val="none"/>
              </w:rPr>
            </w:pPr>
          </w:p>
        </w:tc>
        <w:tc>
          <w:tcPr>
            <w:tcW w:w="4678" w:type="dxa"/>
            <w:noWrap w:val="0"/>
            <w:vAlign w:val="top"/>
          </w:tcPr>
          <w:p w14:paraId="4D711424">
            <w:pPr>
              <w:keepNext/>
              <w:spacing w:line="440" w:lineRule="exact"/>
              <w:ind w:left="63" w:right="63"/>
              <w:rPr>
                <w:rFonts w:ascii="Times New Roman" w:hAnsi="Times New Roman"/>
                <w:color w:val="auto"/>
                <w:szCs w:val="21"/>
                <w:highlight w:val="none"/>
              </w:rPr>
            </w:pPr>
          </w:p>
        </w:tc>
        <w:tc>
          <w:tcPr>
            <w:tcW w:w="1276" w:type="dxa"/>
            <w:noWrap w:val="0"/>
            <w:vAlign w:val="top"/>
          </w:tcPr>
          <w:p w14:paraId="0F2DA1B4">
            <w:pPr>
              <w:keepNext/>
              <w:spacing w:line="440" w:lineRule="exact"/>
              <w:ind w:left="63" w:right="63"/>
              <w:rPr>
                <w:rFonts w:ascii="Times New Roman" w:hAnsi="Times New Roman"/>
                <w:color w:val="auto"/>
                <w:szCs w:val="21"/>
                <w:highlight w:val="none"/>
              </w:rPr>
            </w:pPr>
          </w:p>
        </w:tc>
      </w:tr>
      <w:tr w14:paraId="15F73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CA8524A">
            <w:pPr>
              <w:keepNext/>
              <w:spacing w:line="440" w:lineRule="exact"/>
              <w:ind w:left="63" w:right="63"/>
              <w:rPr>
                <w:rFonts w:ascii="Times New Roman" w:hAnsi="Times New Roman"/>
                <w:color w:val="auto"/>
                <w:szCs w:val="21"/>
                <w:highlight w:val="none"/>
              </w:rPr>
            </w:pPr>
          </w:p>
        </w:tc>
        <w:tc>
          <w:tcPr>
            <w:tcW w:w="1984" w:type="dxa"/>
            <w:noWrap w:val="0"/>
            <w:vAlign w:val="top"/>
          </w:tcPr>
          <w:p w14:paraId="34B83C2D">
            <w:pPr>
              <w:keepNext/>
              <w:spacing w:line="440" w:lineRule="exact"/>
              <w:ind w:left="63" w:right="63"/>
              <w:rPr>
                <w:rFonts w:ascii="Times New Roman" w:hAnsi="Times New Roman"/>
                <w:color w:val="auto"/>
                <w:szCs w:val="21"/>
                <w:highlight w:val="none"/>
              </w:rPr>
            </w:pPr>
          </w:p>
        </w:tc>
        <w:tc>
          <w:tcPr>
            <w:tcW w:w="4678" w:type="dxa"/>
            <w:noWrap w:val="0"/>
            <w:vAlign w:val="top"/>
          </w:tcPr>
          <w:p w14:paraId="0D09402E">
            <w:pPr>
              <w:keepNext/>
              <w:spacing w:line="440" w:lineRule="exact"/>
              <w:ind w:left="63" w:right="63"/>
              <w:rPr>
                <w:rFonts w:ascii="Times New Roman" w:hAnsi="Times New Roman"/>
                <w:color w:val="auto"/>
                <w:szCs w:val="21"/>
                <w:highlight w:val="none"/>
              </w:rPr>
            </w:pPr>
          </w:p>
        </w:tc>
        <w:tc>
          <w:tcPr>
            <w:tcW w:w="1276" w:type="dxa"/>
            <w:noWrap w:val="0"/>
            <w:vAlign w:val="top"/>
          </w:tcPr>
          <w:p w14:paraId="557A270D">
            <w:pPr>
              <w:keepNext/>
              <w:spacing w:line="440" w:lineRule="exact"/>
              <w:ind w:left="63" w:right="63"/>
              <w:rPr>
                <w:rFonts w:ascii="Times New Roman" w:hAnsi="Times New Roman"/>
                <w:color w:val="auto"/>
                <w:szCs w:val="21"/>
                <w:highlight w:val="none"/>
              </w:rPr>
            </w:pPr>
          </w:p>
        </w:tc>
      </w:tr>
      <w:tr w14:paraId="1C88A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6DC5BB">
            <w:pPr>
              <w:keepNext/>
              <w:spacing w:line="440" w:lineRule="exact"/>
              <w:ind w:left="63" w:right="63"/>
              <w:rPr>
                <w:rFonts w:ascii="Times New Roman" w:hAnsi="Times New Roman"/>
                <w:color w:val="auto"/>
                <w:szCs w:val="21"/>
                <w:highlight w:val="none"/>
              </w:rPr>
            </w:pPr>
          </w:p>
        </w:tc>
        <w:tc>
          <w:tcPr>
            <w:tcW w:w="1984" w:type="dxa"/>
            <w:noWrap w:val="0"/>
            <w:vAlign w:val="top"/>
          </w:tcPr>
          <w:p w14:paraId="4BC61628">
            <w:pPr>
              <w:keepNext/>
              <w:spacing w:line="440" w:lineRule="exact"/>
              <w:ind w:left="63" w:right="63"/>
              <w:rPr>
                <w:rFonts w:ascii="Times New Roman" w:hAnsi="Times New Roman"/>
                <w:color w:val="auto"/>
                <w:szCs w:val="21"/>
                <w:highlight w:val="none"/>
              </w:rPr>
            </w:pPr>
          </w:p>
        </w:tc>
        <w:tc>
          <w:tcPr>
            <w:tcW w:w="4678" w:type="dxa"/>
            <w:noWrap w:val="0"/>
            <w:vAlign w:val="top"/>
          </w:tcPr>
          <w:p w14:paraId="56BF2621">
            <w:pPr>
              <w:keepNext/>
              <w:spacing w:line="440" w:lineRule="exact"/>
              <w:ind w:left="63" w:right="63"/>
              <w:rPr>
                <w:rFonts w:ascii="Times New Roman" w:hAnsi="Times New Roman"/>
                <w:color w:val="auto"/>
                <w:szCs w:val="21"/>
                <w:highlight w:val="none"/>
              </w:rPr>
            </w:pPr>
          </w:p>
        </w:tc>
        <w:tc>
          <w:tcPr>
            <w:tcW w:w="1276" w:type="dxa"/>
            <w:noWrap w:val="0"/>
            <w:vAlign w:val="top"/>
          </w:tcPr>
          <w:p w14:paraId="4E88E43B">
            <w:pPr>
              <w:keepNext/>
              <w:spacing w:line="440" w:lineRule="exact"/>
              <w:ind w:left="63" w:right="63"/>
              <w:rPr>
                <w:rFonts w:ascii="Times New Roman" w:hAnsi="Times New Roman"/>
                <w:color w:val="auto"/>
                <w:szCs w:val="21"/>
                <w:highlight w:val="none"/>
              </w:rPr>
            </w:pPr>
          </w:p>
        </w:tc>
      </w:tr>
      <w:tr w14:paraId="21ED7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6F8087D">
            <w:pPr>
              <w:keepNext/>
              <w:spacing w:line="440" w:lineRule="exact"/>
              <w:ind w:left="63" w:right="63"/>
              <w:rPr>
                <w:rFonts w:ascii="Times New Roman" w:hAnsi="Times New Roman"/>
                <w:color w:val="auto"/>
                <w:szCs w:val="21"/>
                <w:highlight w:val="none"/>
              </w:rPr>
            </w:pPr>
          </w:p>
        </w:tc>
        <w:tc>
          <w:tcPr>
            <w:tcW w:w="1984" w:type="dxa"/>
            <w:noWrap w:val="0"/>
            <w:vAlign w:val="top"/>
          </w:tcPr>
          <w:p w14:paraId="1F67B834">
            <w:pPr>
              <w:keepNext/>
              <w:spacing w:line="440" w:lineRule="exact"/>
              <w:ind w:left="63" w:right="63"/>
              <w:rPr>
                <w:rFonts w:ascii="Times New Roman" w:hAnsi="Times New Roman"/>
                <w:color w:val="auto"/>
                <w:szCs w:val="21"/>
                <w:highlight w:val="none"/>
              </w:rPr>
            </w:pPr>
          </w:p>
        </w:tc>
        <w:tc>
          <w:tcPr>
            <w:tcW w:w="4678" w:type="dxa"/>
            <w:noWrap w:val="0"/>
            <w:vAlign w:val="top"/>
          </w:tcPr>
          <w:p w14:paraId="645DC37C">
            <w:pPr>
              <w:keepNext/>
              <w:spacing w:line="440" w:lineRule="exact"/>
              <w:ind w:left="63" w:right="63"/>
              <w:rPr>
                <w:rFonts w:ascii="Times New Roman" w:hAnsi="Times New Roman"/>
                <w:color w:val="auto"/>
                <w:szCs w:val="21"/>
                <w:highlight w:val="none"/>
              </w:rPr>
            </w:pPr>
          </w:p>
        </w:tc>
        <w:tc>
          <w:tcPr>
            <w:tcW w:w="1276" w:type="dxa"/>
            <w:noWrap w:val="0"/>
            <w:vAlign w:val="top"/>
          </w:tcPr>
          <w:p w14:paraId="1DDA8588">
            <w:pPr>
              <w:keepNext/>
              <w:spacing w:line="440" w:lineRule="exact"/>
              <w:ind w:left="63" w:right="63"/>
              <w:rPr>
                <w:rFonts w:ascii="Times New Roman" w:hAnsi="Times New Roman"/>
                <w:color w:val="auto"/>
                <w:szCs w:val="21"/>
                <w:highlight w:val="none"/>
              </w:rPr>
            </w:pPr>
          </w:p>
        </w:tc>
      </w:tr>
      <w:tr w14:paraId="1A13EA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602D752">
            <w:pPr>
              <w:keepNext/>
              <w:spacing w:line="440" w:lineRule="exact"/>
              <w:ind w:left="63" w:right="63"/>
              <w:rPr>
                <w:rFonts w:ascii="Times New Roman" w:hAnsi="Times New Roman"/>
                <w:color w:val="auto"/>
                <w:szCs w:val="21"/>
                <w:highlight w:val="none"/>
              </w:rPr>
            </w:pPr>
          </w:p>
        </w:tc>
        <w:tc>
          <w:tcPr>
            <w:tcW w:w="1984" w:type="dxa"/>
            <w:noWrap w:val="0"/>
            <w:vAlign w:val="top"/>
          </w:tcPr>
          <w:p w14:paraId="282CB057">
            <w:pPr>
              <w:keepNext/>
              <w:spacing w:line="440" w:lineRule="exact"/>
              <w:ind w:left="63" w:right="63"/>
              <w:rPr>
                <w:rFonts w:ascii="Times New Roman" w:hAnsi="Times New Roman"/>
                <w:color w:val="auto"/>
                <w:szCs w:val="21"/>
                <w:highlight w:val="none"/>
              </w:rPr>
            </w:pPr>
          </w:p>
        </w:tc>
        <w:tc>
          <w:tcPr>
            <w:tcW w:w="4678" w:type="dxa"/>
            <w:noWrap w:val="0"/>
            <w:vAlign w:val="top"/>
          </w:tcPr>
          <w:p w14:paraId="73D312BF">
            <w:pPr>
              <w:keepNext/>
              <w:spacing w:line="440" w:lineRule="exact"/>
              <w:ind w:left="63" w:right="63"/>
              <w:rPr>
                <w:rFonts w:ascii="Times New Roman" w:hAnsi="Times New Roman"/>
                <w:color w:val="auto"/>
                <w:szCs w:val="21"/>
                <w:highlight w:val="none"/>
              </w:rPr>
            </w:pPr>
          </w:p>
        </w:tc>
        <w:tc>
          <w:tcPr>
            <w:tcW w:w="1276" w:type="dxa"/>
            <w:noWrap w:val="0"/>
            <w:vAlign w:val="top"/>
          </w:tcPr>
          <w:p w14:paraId="7B720C1A">
            <w:pPr>
              <w:keepNext/>
              <w:spacing w:line="440" w:lineRule="exact"/>
              <w:ind w:left="63" w:right="63"/>
              <w:rPr>
                <w:rFonts w:ascii="Times New Roman" w:hAnsi="Times New Roman"/>
                <w:color w:val="auto"/>
                <w:szCs w:val="21"/>
                <w:highlight w:val="none"/>
              </w:rPr>
            </w:pPr>
          </w:p>
        </w:tc>
      </w:tr>
      <w:tr w14:paraId="72C35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51311FB">
            <w:pPr>
              <w:keepNext/>
              <w:spacing w:line="440" w:lineRule="exact"/>
              <w:ind w:left="63" w:right="63"/>
              <w:rPr>
                <w:rFonts w:ascii="Times New Roman" w:hAnsi="Times New Roman"/>
                <w:color w:val="auto"/>
                <w:szCs w:val="21"/>
                <w:highlight w:val="none"/>
              </w:rPr>
            </w:pPr>
          </w:p>
        </w:tc>
        <w:tc>
          <w:tcPr>
            <w:tcW w:w="1984" w:type="dxa"/>
            <w:noWrap w:val="0"/>
            <w:vAlign w:val="top"/>
          </w:tcPr>
          <w:p w14:paraId="11B4000F">
            <w:pPr>
              <w:keepNext/>
              <w:spacing w:line="440" w:lineRule="exact"/>
              <w:ind w:left="63" w:right="63"/>
              <w:rPr>
                <w:rFonts w:ascii="Times New Roman" w:hAnsi="Times New Roman"/>
                <w:color w:val="auto"/>
                <w:szCs w:val="21"/>
                <w:highlight w:val="none"/>
              </w:rPr>
            </w:pPr>
          </w:p>
        </w:tc>
        <w:tc>
          <w:tcPr>
            <w:tcW w:w="4678" w:type="dxa"/>
            <w:noWrap w:val="0"/>
            <w:vAlign w:val="top"/>
          </w:tcPr>
          <w:p w14:paraId="598B2112">
            <w:pPr>
              <w:keepNext/>
              <w:spacing w:line="440" w:lineRule="exact"/>
              <w:ind w:left="63" w:right="63"/>
              <w:rPr>
                <w:rFonts w:ascii="Times New Roman" w:hAnsi="Times New Roman"/>
                <w:color w:val="auto"/>
                <w:szCs w:val="21"/>
                <w:highlight w:val="none"/>
              </w:rPr>
            </w:pPr>
          </w:p>
        </w:tc>
        <w:tc>
          <w:tcPr>
            <w:tcW w:w="1276" w:type="dxa"/>
            <w:noWrap w:val="0"/>
            <w:vAlign w:val="top"/>
          </w:tcPr>
          <w:p w14:paraId="44A80905">
            <w:pPr>
              <w:keepNext/>
              <w:spacing w:line="440" w:lineRule="exact"/>
              <w:ind w:left="63" w:right="63"/>
              <w:rPr>
                <w:rFonts w:ascii="Times New Roman" w:hAnsi="Times New Roman"/>
                <w:color w:val="auto"/>
                <w:szCs w:val="21"/>
                <w:highlight w:val="none"/>
              </w:rPr>
            </w:pPr>
          </w:p>
        </w:tc>
      </w:tr>
      <w:tr w14:paraId="103A28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7479C9E">
            <w:pPr>
              <w:keepNext/>
              <w:spacing w:line="440" w:lineRule="exact"/>
              <w:ind w:left="63" w:right="63"/>
              <w:rPr>
                <w:rFonts w:ascii="Times New Roman" w:hAnsi="Times New Roman"/>
                <w:color w:val="auto"/>
                <w:szCs w:val="21"/>
                <w:highlight w:val="none"/>
              </w:rPr>
            </w:pPr>
          </w:p>
        </w:tc>
        <w:tc>
          <w:tcPr>
            <w:tcW w:w="1984" w:type="dxa"/>
            <w:noWrap w:val="0"/>
            <w:vAlign w:val="top"/>
          </w:tcPr>
          <w:p w14:paraId="3D7808BE">
            <w:pPr>
              <w:keepNext/>
              <w:spacing w:line="440" w:lineRule="exact"/>
              <w:ind w:left="63" w:right="63"/>
              <w:rPr>
                <w:rFonts w:ascii="Times New Roman" w:hAnsi="Times New Roman"/>
                <w:color w:val="auto"/>
                <w:szCs w:val="21"/>
                <w:highlight w:val="none"/>
              </w:rPr>
            </w:pPr>
          </w:p>
        </w:tc>
        <w:tc>
          <w:tcPr>
            <w:tcW w:w="4678" w:type="dxa"/>
            <w:noWrap w:val="0"/>
            <w:vAlign w:val="top"/>
          </w:tcPr>
          <w:p w14:paraId="1613A5D0">
            <w:pPr>
              <w:keepNext/>
              <w:spacing w:line="440" w:lineRule="exact"/>
              <w:ind w:left="63" w:right="63"/>
              <w:rPr>
                <w:rFonts w:ascii="Times New Roman" w:hAnsi="Times New Roman"/>
                <w:color w:val="auto"/>
                <w:szCs w:val="21"/>
                <w:highlight w:val="none"/>
              </w:rPr>
            </w:pPr>
          </w:p>
        </w:tc>
        <w:tc>
          <w:tcPr>
            <w:tcW w:w="1276" w:type="dxa"/>
            <w:noWrap w:val="0"/>
            <w:vAlign w:val="top"/>
          </w:tcPr>
          <w:p w14:paraId="7D49C999">
            <w:pPr>
              <w:keepNext/>
              <w:spacing w:line="440" w:lineRule="exact"/>
              <w:ind w:left="63" w:right="63"/>
              <w:rPr>
                <w:rFonts w:ascii="Times New Roman" w:hAnsi="Times New Roman"/>
                <w:color w:val="auto"/>
                <w:szCs w:val="21"/>
                <w:highlight w:val="none"/>
              </w:rPr>
            </w:pPr>
          </w:p>
        </w:tc>
      </w:tr>
      <w:tr w14:paraId="0F4B0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28DF879">
            <w:pPr>
              <w:keepNext/>
              <w:spacing w:line="440" w:lineRule="exact"/>
              <w:ind w:left="63" w:right="63"/>
              <w:rPr>
                <w:rFonts w:ascii="Times New Roman" w:hAnsi="Times New Roman"/>
                <w:color w:val="auto"/>
                <w:szCs w:val="21"/>
                <w:highlight w:val="none"/>
              </w:rPr>
            </w:pPr>
          </w:p>
        </w:tc>
        <w:tc>
          <w:tcPr>
            <w:tcW w:w="1984" w:type="dxa"/>
            <w:noWrap w:val="0"/>
            <w:vAlign w:val="top"/>
          </w:tcPr>
          <w:p w14:paraId="7CE22729">
            <w:pPr>
              <w:keepNext/>
              <w:spacing w:line="440" w:lineRule="exact"/>
              <w:ind w:left="63" w:right="63"/>
              <w:rPr>
                <w:rFonts w:ascii="Times New Roman" w:hAnsi="Times New Roman"/>
                <w:color w:val="auto"/>
                <w:szCs w:val="21"/>
                <w:highlight w:val="none"/>
              </w:rPr>
            </w:pPr>
          </w:p>
        </w:tc>
        <w:tc>
          <w:tcPr>
            <w:tcW w:w="4678" w:type="dxa"/>
            <w:noWrap w:val="0"/>
            <w:vAlign w:val="top"/>
          </w:tcPr>
          <w:p w14:paraId="672A78AD">
            <w:pPr>
              <w:keepNext/>
              <w:spacing w:line="440" w:lineRule="exact"/>
              <w:ind w:left="63" w:right="63"/>
              <w:rPr>
                <w:rFonts w:ascii="Times New Roman" w:hAnsi="Times New Roman"/>
                <w:color w:val="auto"/>
                <w:szCs w:val="21"/>
                <w:highlight w:val="none"/>
              </w:rPr>
            </w:pPr>
          </w:p>
        </w:tc>
        <w:tc>
          <w:tcPr>
            <w:tcW w:w="1276" w:type="dxa"/>
            <w:noWrap w:val="0"/>
            <w:vAlign w:val="top"/>
          </w:tcPr>
          <w:p w14:paraId="1731D7F0">
            <w:pPr>
              <w:keepNext/>
              <w:spacing w:line="440" w:lineRule="exact"/>
              <w:ind w:left="63" w:right="63"/>
              <w:rPr>
                <w:rFonts w:ascii="Times New Roman" w:hAnsi="Times New Roman"/>
                <w:color w:val="auto"/>
                <w:szCs w:val="21"/>
                <w:highlight w:val="none"/>
              </w:rPr>
            </w:pPr>
          </w:p>
        </w:tc>
      </w:tr>
      <w:tr w14:paraId="60AB55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4DDECFB">
            <w:pPr>
              <w:keepNext/>
              <w:spacing w:line="440" w:lineRule="exact"/>
              <w:ind w:left="63" w:right="63"/>
              <w:rPr>
                <w:rFonts w:ascii="Times New Roman" w:hAnsi="Times New Roman"/>
                <w:color w:val="auto"/>
                <w:szCs w:val="21"/>
                <w:highlight w:val="none"/>
              </w:rPr>
            </w:pPr>
          </w:p>
        </w:tc>
        <w:tc>
          <w:tcPr>
            <w:tcW w:w="1984" w:type="dxa"/>
            <w:noWrap w:val="0"/>
            <w:vAlign w:val="top"/>
          </w:tcPr>
          <w:p w14:paraId="6C2486B8">
            <w:pPr>
              <w:keepNext/>
              <w:spacing w:line="440" w:lineRule="exact"/>
              <w:ind w:left="63" w:right="63"/>
              <w:rPr>
                <w:rFonts w:ascii="Times New Roman" w:hAnsi="Times New Roman"/>
                <w:color w:val="auto"/>
                <w:szCs w:val="21"/>
                <w:highlight w:val="none"/>
              </w:rPr>
            </w:pPr>
          </w:p>
        </w:tc>
        <w:tc>
          <w:tcPr>
            <w:tcW w:w="4678" w:type="dxa"/>
            <w:noWrap w:val="0"/>
            <w:vAlign w:val="top"/>
          </w:tcPr>
          <w:p w14:paraId="77F6BB49">
            <w:pPr>
              <w:keepNext/>
              <w:spacing w:line="440" w:lineRule="exact"/>
              <w:ind w:left="63" w:right="63"/>
              <w:rPr>
                <w:rFonts w:ascii="Times New Roman" w:hAnsi="Times New Roman"/>
                <w:color w:val="auto"/>
                <w:szCs w:val="21"/>
                <w:highlight w:val="none"/>
              </w:rPr>
            </w:pPr>
          </w:p>
        </w:tc>
        <w:tc>
          <w:tcPr>
            <w:tcW w:w="1276" w:type="dxa"/>
            <w:noWrap w:val="0"/>
            <w:vAlign w:val="top"/>
          </w:tcPr>
          <w:p w14:paraId="3968C4D3">
            <w:pPr>
              <w:keepNext/>
              <w:spacing w:line="440" w:lineRule="exact"/>
              <w:ind w:left="63" w:right="63"/>
              <w:rPr>
                <w:rFonts w:ascii="Times New Roman" w:hAnsi="Times New Roman"/>
                <w:color w:val="auto"/>
                <w:szCs w:val="21"/>
                <w:highlight w:val="none"/>
              </w:rPr>
            </w:pPr>
          </w:p>
        </w:tc>
      </w:tr>
      <w:tr w14:paraId="34A793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6BD5D73">
            <w:pPr>
              <w:keepNext/>
              <w:spacing w:line="440" w:lineRule="exact"/>
              <w:ind w:left="63" w:right="63"/>
              <w:rPr>
                <w:rFonts w:ascii="Times New Roman" w:hAnsi="Times New Roman"/>
                <w:color w:val="auto"/>
                <w:szCs w:val="21"/>
                <w:highlight w:val="none"/>
              </w:rPr>
            </w:pPr>
          </w:p>
        </w:tc>
        <w:tc>
          <w:tcPr>
            <w:tcW w:w="1984" w:type="dxa"/>
            <w:noWrap w:val="0"/>
            <w:vAlign w:val="top"/>
          </w:tcPr>
          <w:p w14:paraId="170AA807">
            <w:pPr>
              <w:keepNext/>
              <w:spacing w:line="440" w:lineRule="exact"/>
              <w:ind w:left="63" w:right="63"/>
              <w:rPr>
                <w:rFonts w:ascii="Times New Roman" w:hAnsi="Times New Roman"/>
                <w:color w:val="auto"/>
                <w:szCs w:val="21"/>
                <w:highlight w:val="none"/>
              </w:rPr>
            </w:pPr>
          </w:p>
        </w:tc>
        <w:tc>
          <w:tcPr>
            <w:tcW w:w="4678" w:type="dxa"/>
            <w:noWrap w:val="0"/>
            <w:vAlign w:val="top"/>
          </w:tcPr>
          <w:p w14:paraId="55FDB166">
            <w:pPr>
              <w:keepNext/>
              <w:spacing w:line="440" w:lineRule="exact"/>
              <w:ind w:left="63" w:right="63"/>
              <w:rPr>
                <w:rFonts w:ascii="Times New Roman" w:hAnsi="Times New Roman"/>
                <w:color w:val="auto"/>
                <w:szCs w:val="21"/>
                <w:highlight w:val="none"/>
              </w:rPr>
            </w:pPr>
          </w:p>
        </w:tc>
        <w:tc>
          <w:tcPr>
            <w:tcW w:w="1276" w:type="dxa"/>
            <w:noWrap w:val="0"/>
            <w:vAlign w:val="top"/>
          </w:tcPr>
          <w:p w14:paraId="2E5C643A">
            <w:pPr>
              <w:keepNext/>
              <w:spacing w:line="440" w:lineRule="exact"/>
              <w:ind w:left="63" w:right="63"/>
              <w:rPr>
                <w:rFonts w:ascii="Times New Roman" w:hAnsi="Times New Roman"/>
                <w:color w:val="auto"/>
                <w:szCs w:val="21"/>
                <w:highlight w:val="none"/>
              </w:rPr>
            </w:pPr>
          </w:p>
        </w:tc>
      </w:tr>
      <w:tr w14:paraId="3BE2A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03FC530">
            <w:pPr>
              <w:keepNext/>
              <w:spacing w:line="440" w:lineRule="exact"/>
              <w:ind w:left="63" w:right="63"/>
              <w:rPr>
                <w:rFonts w:ascii="Times New Roman" w:hAnsi="Times New Roman"/>
                <w:color w:val="auto"/>
                <w:szCs w:val="21"/>
                <w:highlight w:val="none"/>
              </w:rPr>
            </w:pPr>
          </w:p>
        </w:tc>
        <w:tc>
          <w:tcPr>
            <w:tcW w:w="1984" w:type="dxa"/>
            <w:noWrap w:val="0"/>
            <w:vAlign w:val="top"/>
          </w:tcPr>
          <w:p w14:paraId="34032B3D">
            <w:pPr>
              <w:keepNext/>
              <w:spacing w:line="440" w:lineRule="exact"/>
              <w:ind w:left="63" w:right="63"/>
              <w:rPr>
                <w:rFonts w:ascii="Times New Roman" w:hAnsi="Times New Roman"/>
                <w:color w:val="auto"/>
                <w:szCs w:val="21"/>
                <w:highlight w:val="none"/>
              </w:rPr>
            </w:pPr>
          </w:p>
        </w:tc>
        <w:tc>
          <w:tcPr>
            <w:tcW w:w="4678" w:type="dxa"/>
            <w:noWrap w:val="0"/>
            <w:vAlign w:val="top"/>
          </w:tcPr>
          <w:p w14:paraId="3BE251DB">
            <w:pPr>
              <w:keepNext/>
              <w:spacing w:line="440" w:lineRule="exact"/>
              <w:ind w:left="63" w:right="63"/>
              <w:rPr>
                <w:rFonts w:ascii="Times New Roman" w:hAnsi="Times New Roman"/>
                <w:color w:val="auto"/>
                <w:szCs w:val="21"/>
                <w:highlight w:val="none"/>
              </w:rPr>
            </w:pPr>
          </w:p>
        </w:tc>
        <w:tc>
          <w:tcPr>
            <w:tcW w:w="1276" w:type="dxa"/>
            <w:noWrap w:val="0"/>
            <w:vAlign w:val="top"/>
          </w:tcPr>
          <w:p w14:paraId="16C04D2F">
            <w:pPr>
              <w:keepNext/>
              <w:spacing w:line="440" w:lineRule="exact"/>
              <w:ind w:left="63" w:right="63"/>
              <w:rPr>
                <w:rFonts w:ascii="Times New Roman" w:hAnsi="Times New Roman"/>
                <w:color w:val="auto"/>
                <w:szCs w:val="21"/>
                <w:highlight w:val="none"/>
              </w:rPr>
            </w:pPr>
          </w:p>
        </w:tc>
      </w:tr>
      <w:tr w14:paraId="659846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AF15B6">
            <w:pPr>
              <w:keepNext/>
              <w:spacing w:line="440" w:lineRule="exact"/>
              <w:ind w:left="63" w:right="63"/>
              <w:rPr>
                <w:rFonts w:ascii="Times New Roman" w:hAnsi="Times New Roman"/>
                <w:color w:val="auto"/>
                <w:szCs w:val="21"/>
                <w:highlight w:val="none"/>
              </w:rPr>
            </w:pPr>
          </w:p>
        </w:tc>
        <w:tc>
          <w:tcPr>
            <w:tcW w:w="1984" w:type="dxa"/>
            <w:noWrap w:val="0"/>
            <w:vAlign w:val="top"/>
          </w:tcPr>
          <w:p w14:paraId="4442D1A9">
            <w:pPr>
              <w:keepNext/>
              <w:spacing w:line="440" w:lineRule="exact"/>
              <w:ind w:left="63" w:right="63"/>
              <w:rPr>
                <w:rFonts w:ascii="Times New Roman" w:hAnsi="Times New Roman"/>
                <w:color w:val="auto"/>
                <w:szCs w:val="21"/>
                <w:highlight w:val="none"/>
              </w:rPr>
            </w:pPr>
          </w:p>
        </w:tc>
        <w:tc>
          <w:tcPr>
            <w:tcW w:w="4678" w:type="dxa"/>
            <w:noWrap w:val="0"/>
            <w:vAlign w:val="top"/>
          </w:tcPr>
          <w:p w14:paraId="733A24FB">
            <w:pPr>
              <w:keepNext/>
              <w:spacing w:line="440" w:lineRule="exact"/>
              <w:ind w:left="63" w:right="63"/>
              <w:rPr>
                <w:rFonts w:ascii="Times New Roman" w:hAnsi="Times New Roman"/>
                <w:color w:val="auto"/>
                <w:szCs w:val="21"/>
                <w:highlight w:val="none"/>
              </w:rPr>
            </w:pPr>
          </w:p>
        </w:tc>
        <w:tc>
          <w:tcPr>
            <w:tcW w:w="1276" w:type="dxa"/>
            <w:noWrap w:val="0"/>
            <w:vAlign w:val="top"/>
          </w:tcPr>
          <w:p w14:paraId="5F3C639F">
            <w:pPr>
              <w:keepNext/>
              <w:spacing w:line="440" w:lineRule="exact"/>
              <w:ind w:left="63" w:right="63"/>
              <w:rPr>
                <w:rFonts w:ascii="Times New Roman" w:hAnsi="Times New Roman"/>
                <w:color w:val="auto"/>
                <w:szCs w:val="21"/>
                <w:highlight w:val="none"/>
              </w:rPr>
            </w:pPr>
          </w:p>
        </w:tc>
      </w:tr>
      <w:tr w14:paraId="156BA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F29D728">
            <w:pPr>
              <w:keepNext/>
              <w:spacing w:line="440" w:lineRule="exact"/>
              <w:ind w:left="63" w:right="63"/>
              <w:rPr>
                <w:rFonts w:ascii="Times New Roman" w:hAnsi="Times New Roman"/>
                <w:color w:val="auto"/>
                <w:szCs w:val="21"/>
                <w:highlight w:val="none"/>
              </w:rPr>
            </w:pPr>
          </w:p>
        </w:tc>
        <w:tc>
          <w:tcPr>
            <w:tcW w:w="1984" w:type="dxa"/>
            <w:noWrap w:val="0"/>
            <w:vAlign w:val="top"/>
          </w:tcPr>
          <w:p w14:paraId="5061C6CF">
            <w:pPr>
              <w:keepNext/>
              <w:spacing w:line="440" w:lineRule="exact"/>
              <w:ind w:left="63" w:right="63"/>
              <w:rPr>
                <w:rFonts w:ascii="Times New Roman" w:hAnsi="Times New Roman"/>
                <w:color w:val="auto"/>
                <w:szCs w:val="21"/>
                <w:highlight w:val="none"/>
              </w:rPr>
            </w:pPr>
          </w:p>
        </w:tc>
        <w:tc>
          <w:tcPr>
            <w:tcW w:w="4678" w:type="dxa"/>
            <w:noWrap w:val="0"/>
            <w:vAlign w:val="top"/>
          </w:tcPr>
          <w:p w14:paraId="42C4C189">
            <w:pPr>
              <w:keepNext/>
              <w:spacing w:line="440" w:lineRule="exact"/>
              <w:ind w:left="63" w:right="63"/>
              <w:rPr>
                <w:rFonts w:ascii="Times New Roman" w:hAnsi="Times New Roman"/>
                <w:color w:val="auto"/>
                <w:szCs w:val="21"/>
                <w:highlight w:val="none"/>
              </w:rPr>
            </w:pPr>
          </w:p>
        </w:tc>
        <w:tc>
          <w:tcPr>
            <w:tcW w:w="1276" w:type="dxa"/>
            <w:noWrap w:val="0"/>
            <w:vAlign w:val="top"/>
          </w:tcPr>
          <w:p w14:paraId="240C6F32">
            <w:pPr>
              <w:keepNext/>
              <w:spacing w:line="440" w:lineRule="exact"/>
              <w:ind w:left="63" w:right="63"/>
              <w:rPr>
                <w:rFonts w:ascii="Times New Roman" w:hAnsi="Times New Roman"/>
                <w:color w:val="auto"/>
                <w:szCs w:val="21"/>
                <w:highlight w:val="none"/>
              </w:rPr>
            </w:pPr>
          </w:p>
        </w:tc>
      </w:tr>
      <w:tr w14:paraId="743BDB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0F57FD3">
            <w:pPr>
              <w:keepNext/>
              <w:spacing w:line="440" w:lineRule="exact"/>
              <w:ind w:left="63" w:right="63"/>
              <w:rPr>
                <w:rFonts w:ascii="Times New Roman" w:hAnsi="Times New Roman"/>
                <w:color w:val="auto"/>
                <w:szCs w:val="21"/>
                <w:highlight w:val="none"/>
              </w:rPr>
            </w:pPr>
          </w:p>
        </w:tc>
        <w:tc>
          <w:tcPr>
            <w:tcW w:w="1984" w:type="dxa"/>
            <w:noWrap w:val="0"/>
            <w:vAlign w:val="top"/>
          </w:tcPr>
          <w:p w14:paraId="1F92345C">
            <w:pPr>
              <w:keepNext/>
              <w:spacing w:line="440" w:lineRule="exact"/>
              <w:ind w:left="63" w:right="63"/>
              <w:rPr>
                <w:rFonts w:ascii="Times New Roman" w:hAnsi="Times New Roman"/>
                <w:color w:val="auto"/>
                <w:szCs w:val="21"/>
                <w:highlight w:val="none"/>
              </w:rPr>
            </w:pPr>
          </w:p>
        </w:tc>
        <w:tc>
          <w:tcPr>
            <w:tcW w:w="4678" w:type="dxa"/>
            <w:noWrap w:val="0"/>
            <w:vAlign w:val="top"/>
          </w:tcPr>
          <w:p w14:paraId="35F7A121">
            <w:pPr>
              <w:keepNext/>
              <w:spacing w:line="440" w:lineRule="exact"/>
              <w:ind w:left="63" w:right="63"/>
              <w:rPr>
                <w:rFonts w:ascii="Times New Roman" w:hAnsi="Times New Roman"/>
                <w:color w:val="auto"/>
                <w:szCs w:val="21"/>
                <w:highlight w:val="none"/>
              </w:rPr>
            </w:pPr>
          </w:p>
        </w:tc>
        <w:tc>
          <w:tcPr>
            <w:tcW w:w="1276" w:type="dxa"/>
            <w:noWrap w:val="0"/>
            <w:vAlign w:val="top"/>
          </w:tcPr>
          <w:p w14:paraId="546E3C0A">
            <w:pPr>
              <w:keepNext/>
              <w:spacing w:line="440" w:lineRule="exact"/>
              <w:ind w:left="63" w:right="63"/>
              <w:rPr>
                <w:rFonts w:ascii="Times New Roman" w:hAnsi="Times New Roman"/>
                <w:color w:val="auto"/>
                <w:szCs w:val="21"/>
                <w:highlight w:val="none"/>
              </w:rPr>
            </w:pPr>
          </w:p>
        </w:tc>
      </w:tr>
      <w:tr w14:paraId="438D3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0C84D54">
            <w:pPr>
              <w:keepNext/>
              <w:spacing w:line="440" w:lineRule="exact"/>
              <w:ind w:left="63" w:right="63"/>
              <w:rPr>
                <w:rFonts w:ascii="Times New Roman" w:hAnsi="Times New Roman"/>
                <w:color w:val="auto"/>
                <w:szCs w:val="21"/>
                <w:highlight w:val="none"/>
              </w:rPr>
            </w:pPr>
          </w:p>
        </w:tc>
        <w:tc>
          <w:tcPr>
            <w:tcW w:w="1984" w:type="dxa"/>
            <w:noWrap w:val="0"/>
            <w:vAlign w:val="top"/>
          </w:tcPr>
          <w:p w14:paraId="1E675995">
            <w:pPr>
              <w:keepNext/>
              <w:spacing w:line="440" w:lineRule="exact"/>
              <w:ind w:left="63" w:right="63"/>
              <w:rPr>
                <w:rFonts w:ascii="Times New Roman" w:hAnsi="Times New Roman"/>
                <w:color w:val="auto"/>
                <w:szCs w:val="21"/>
                <w:highlight w:val="none"/>
              </w:rPr>
            </w:pPr>
          </w:p>
        </w:tc>
        <w:tc>
          <w:tcPr>
            <w:tcW w:w="4678" w:type="dxa"/>
            <w:noWrap w:val="0"/>
            <w:vAlign w:val="top"/>
          </w:tcPr>
          <w:p w14:paraId="03DDA627">
            <w:pPr>
              <w:keepNext/>
              <w:spacing w:line="440" w:lineRule="exact"/>
              <w:ind w:left="63" w:right="63"/>
              <w:rPr>
                <w:rFonts w:ascii="Times New Roman" w:hAnsi="Times New Roman"/>
                <w:color w:val="auto"/>
                <w:szCs w:val="21"/>
                <w:highlight w:val="none"/>
              </w:rPr>
            </w:pPr>
          </w:p>
        </w:tc>
        <w:tc>
          <w:tcPr>
            <w:tcW w:w="1276" w:type="dxa"/>
            <w:noWrap w:val="0"/>
            <w:vAlign w:val="top"/>
          </w:tcPr>
          <w:p w14:paraId="2B682DCC">
            <w:pPr>
              <w:keepNext/>
              <w:spacing w:line="440" w:lineRule="exact"/>
              <w:ind w:left="63" w:right="63"/>
              <w:rPr>
                <w:rFonts w:ascii="Times New Roman" w:hAnsi="Times New Roman"/>
                <w:color w:val="auto"/>
                <w:szCs w:val="21"/>
                <w:highlight w:val="none"/>
              </w:rPr>
            </w:pPr>
          </w:p>
        </w:tc>
      </w:tr>
      <w:tr w14:paraId="2E777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1215733">
            <w:pPr>
              <w:keepNext/>
              <w:spacing w:line="440" w:lineRule="exact"/>
              <w:ind w:left="63" w:right="63"/>
              <w:rPr>
                <w:rFonts w:ascii="Times New Roman" w:hAnsi="Times New Roman"/>
                <w:color w:val="auto"/>
                <w:szCs w:val="21"/>
                <w:highlight w:val="none"/>
              </w:rPr>
            </w:pPr>
          </w:p>
        </w:tc>
        <w:tc>
          <w:tcPr>
            <w:tcW w:w="1984" w:type="dxa"/>
            <w:noWrap w:val="0"/>
            <w:vAlign w:val="top"/>
          </w:tcPr>
          <w:p w14:paraId="0F7270AB">
            <w:pPr>
              <w:keepNext/>
              <w:spacing w:line="440" w:lineRule="exact"/>
              <w:ind w:left="63" w:right="63"/>
              <w:rPr>
                <w:rFonts w:ascii="Times New Roman" w:hAnsi="Times New Roman"/>
                <w:color w:val="auto"/>
                <w:szCs w:val="21"/>
                <w:highlight w:val="none"/>
              </w:rPr>
            </w:pPr>
          </w:p>
        </w:tc>
        <w:tc>
          <w:tcPr>
            <w:tcW w:w="4678" w:type="dxa"/>
            <w:noWrap w:val="0"/>
            <w:vAlign w:val="top"/>
          </w:tcPr>
          <w:p w14:paraId="2DF1704A">
            <w:pPr>
              <w:keepNext/>
              <w:spacing w:line="440" w:lineRule="exact"/>
              <w:ind w:left="63" w:right="63"/>
              <w:rPr>
                <w:rFonts w:ascii="Times New Roman" w:hAnsi="Times New Roman"/>
                <w:color w:val="auto"/>
                <w:szCs w:val="21"/>
                <w:highlight w:val="none"/>
              </w:rPr>
            </w:pPr>
          </w:p>
        </w:tc>
        <w:tc>
          <w:tcPr>
            <w:tcW w:w="1276" w:type="dxa"/>
            <w:noWrap w:val="0"/>
            <w:vAlign w:val="top"/>
          </w:tcPr>
          <w:p w14:paraId="32BBBFFA">
            <w:pPr>
              <w:keepNext/>
              <w:spacing w:line="440" w:lineRule="exact"/>
              <w:ind w:left="63" w:right="63"/>
              <w:rPr>
                <w:rFonts w:ascii="Times New Roman" w:hAnsi="Times New Roman"/>
                <w:color w:val="auto"/>
                <w:szCs w:val="21"/>
                <w:highlight w:val="none"/>
              </w:rPr>
            </w:pPr>
          </w:p>
        </w:tc>
      </w:tr>
      <w:tr w14:paraId="1D3116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3584ECB">
            <w:pPr>
              <w:keepNext/>
              <w:spacing w:line="440" w:lineRule="exact"/>
              <w:ind w:left="63" w:right="63"/>
              <w:rPr>
                <w:rFonts w:ascii="Times New Roman" w:hAnsi="Times New Roman"/>
                <w:color w:val="auto"/>
                <w:szCs w:val="21"/>
                <w:highlight w:val="none"/>
              </w:rPr>
            </w:pPr>
          </w:p>
        </w:tc>
        <w:tc>
          <w:tcPr>
            <w:tcW w:w="1984" w:type="dxa"/>
            <w:noWrap w:val="0"/>
            <w:vAlign w:val="top"/>
          </w:tcPr>
          <w:p w14:paraId="062A7691">
            <w:pPr>
              <w:keepNext/>
              <w:spacing w:line="440" w:lineRule="exact"/>
              <w:ind w:left="63" w:right="63"/>
              <w:rPr>
                <w:rFonts w:ascii="Times New Roman" w:hAnsi="Times New Roman"/>
                <w:color w:val="auto"/>
                <w:szCs w:val="21"/>
                <w:highlight w:val="none"/>
              </w:rPr>
            </w:pPr>
          </w:p>
        </w:tc>
        <w:tc>
          <w:tcPr>
            <w:tcW w:w="4678" w:type="dxa"/>
            <w:noWrap w:val="0"/>
            <w:vAlign w:val="top"/>
          </w:tcPr>
          <w:p w14:paraId="7E4C30C7">
            <w:pPr>
              <w:keepNext/>
              <w:spacing w:line="440" w:lineRule="exact"/>
              <w:ind w:left="63" w:right="63"/>
              <w:rPr>
                <w:rFonts w:ascii="Times New Roman" w:hAnsi="Times New Roman"/>
                <w:color w:val="auto"/>
                <w:szCs w:val="21"/>
                <w:highlight w:val="none"/>
              </w:rPr>
            </w:pPr>
          </w:p>
        </w:tc>
        <w:tc>
          <w:tcPr>
            <w:tcW w:w="1276" w:type="dxa"/>
            <w:noWrap w:val="0"/>
            <w:vAlign w:val="top"/>
          </w:tcPr>
          <w:p w14:paraId="57EB267B">
            <w:pPr>
              <w:keepNext/>
              <w:spacing w:line="440" w:lineRule="exact"/>
              <w:ind w:left="63" w:right="63"/>
              <w:rPr>
                <w:rFonts w:ascii="Times New Roman" w:hAnsi="Times New Roman"/>
                <w:color w:val="auto"/>
                <w:szCs w:val="21"/>
                <w:highlight w:val="none"/>
              </w:rPr>
            </w:pPr>
          </w:p>
        </w:tc>
      </w:tr>
      <w:tr w14:paraId="28AC81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57FDAE9">
            <w:pPr>
              <w:keepNext/>
              <w:spacing w:line="440" w:lineRule="exact"/>
              <w:ind w:left="63" w:right="63"/>
              <w:rPr>
                <w:rFonts w:ascii="Times New Roman" w:hAnsi="Times New Roman"/>
                <w:color w:val="auto"/>
                <w:szCs w:val="21"/>
                <w:highlight w:val="none"/>
              </w:rPr>
            </w:pPr>
          </w:p>
        </w:tc>
        <w:tc>
          <w:tcPr>
            <w:tcW w:w="1984" w:type="dxa"/>
            <w:noWrap w:val="0"/>
            <w:vAlign w:val="top"/>
          </w:tcPr>
          <w:p w14:paraId="3501CC68">
            <w:pPr>
              <w:keepNext/>
              <w:spacing w:line="440" w:lineRule="exact"/>
              <w:ind w:left="63" w:right="63"/>
              <w:rPr>
                <w:rFonts w:ascii="Times New Roman" w:hAnsi="Times New Roman"/>
                <w:color w:val="auto"/>
                <w:szCs w:val="21"/>
                <w:highlight w:val="none"/>
              </w:rPr>
            </w:pPr>
          </w:p>
        </w:tc>
        <w:tc>
          <w:tcPr>
            <w:tcW w:w="4678" w:type="dxa"/>
            <w:noWrap w:val="0"/>
            <w:vAlign w:val="top"/>
          </w:tcPr>
          <w:p w14:paraId="42FC88A4">
            <w:pPr>
              <w:keepNext/>
              <w:spacing w:line="440" w:lineRule="exact"/>
              <w:ind w:left="63" w:right="63"/>
              <w:rPr>
                <w:rFonts w:ascii="Times New Roman" w:hAnsi="Times New Roman"/>
                <w:color w:val="auto"/>
                <w:szCs w:val="21"/>
                <w:highlight w:val="none"/>
              </w:rPr>
            </w:pPr>
          </w:p>
        </w:tc>
        <w:tc>
          <w:tcPr>
            <w:tcW w:w="1276" w:type="dxa"/>
            <w:noWrap w:val="0"/>
            <w:vAlign w:val="top"/>
          </w:tcPr>
          <w:p w14:paraId="729667EB">
            <w:pPr>
              <w:keepNext/>
              <w:spacing w:line="440" w:lineRule="exact"/>
              <w:ind w:left="63" w:right="63"/>
              <w:rPr>
                <w:rFonts w:ascii="Times New Roman" w:hAnsi="Times New Roman"/>
                <w:color w:val="auto"/>
                <w:szCs w:val="21"/>
                <w:highlight w:val="none"/>
              </w:rPr>
            </w:pPr>
          </w:p>
        </w:tc>
      </w:tr>
      <w:tr w14:paraId="2265B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798363">
            <w:pPr>
              <w:keepNext/>
              <w:spacing w:line="440" w:lineRule="exact"/>
              <w:ind w:left="63" w:right="63"/>
              <w:rPr>
                <w:rFonts w:ascii="Times New Roman" w:hAnsi="Times New Roman"/>
                <w:color w:val="auto"/>
                <w:szCs w:val="21"/>
                <w:highlight w:val="none"/>
              </w:rPr>
            </w:pPr>
          </w:p>
        </w:tc>
        <w:tc>
          <w:tcPr>
            <w:tcW w:w="1984" w:type="dxa"/>
            <w:noWrap w:val="0"/>
            <w:vAlign w:val="top"/>
          </w:tcPr>
          <w:p w14:paraId="663E9767">
            <w:pPr>
              <w:keepNext/>
              <w:spacing w:line="440" w:lineRule="exact"/>
              <w:ind w:left="63" w:right="63"/>
              <w:rPr>
                <w:rFonts w:ascii="Times New Roman" w:hAnsi="Times New Roman"/>
                <w:color w:val="auto"/>
                <w:szCs w:val="21"/>
                <w:highlight w:val="none"/>
              </w:rPr>
            </w:pPr>
          </w:p>
        </w:tc>
        <w:tc>
          <w:tcPr>
            <w:tcW w:w="4678" w:type="dxa"/>
            <w:noWrap w:val="0"/>
            <w:vAlign w:val="top"/>
          </w:tcPr>
          <w:p w14:paraId="7713C472">
            <w:pPr>
              <w:keepNext/>
              <w:spacing w:line="440" w:lineRule="exact"/>
              <w:ind w:left="63" w:right="63"/>
              <w:rPr>
                <w:rFonts w:ascii="Times New Roman" w:hAnsi="Times New Roman"/>
                <w:color w:val="auto"/>
                <w:szCs w:val="21"/>
                <w:highlight w:val="none"/>
              </w:rPr>
            </w:pPr>
          </w:p>
        </w:tc>
        <w:tc>
          <w:tcPr>
            <w:tcW w:w="1276" w:type="dxa"/>
            <w:noWrap w:val="0"/>
            <w:vAlign w:val="top"/>
          </w:tcPr>
          <w:p w14:paraId="35345293">
            <w:pPr>
              <w:keepNext/>
              <w:spacing w:line="440" w:lineRule="exact"/>
              <w:ind w:left="63" w:right="63"/>
              <w:rPr>
                <w:rFonts w:ascii="Times New Roman" w:hAnsi="Times New Roman"/>
                <w:color w:val="auto"/>
                <w:szCs w:val="21"/>
                <w:highlight w:val="none"/>
              </w:rPr>
            </w:pPr>
          </w:p>
        </w:tc>
      </w:tr>
      <w:tr w14:paraId="5F5E8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FEF7CFD">
            <w:pPr>
              <w:keepNext/>
              <w:spacing w:line="440" w:lineRule="exact"/>
              <w:ind w:left="63" w:right="63"/>
              <w:rPr>
                <w:rFonts w:ascii="Times New Roman" w:hAnsi="Times New Roman"/>
                <w:color w:val="auto"/>
                <w:szCs w:val="21"/>
                <w:highlight w:val="none"/>
              </w:rPr>
            </w:pPr>
          </w:p>
        </w:tc>
        <w:tc>
          <w:tcPr>
            <w:tcW w:w="1984" w:type="dxa"/>
            <w:noWrap w:val="0"/>
            <w:vAlign w:val="top"/>
          </w:tcPr>
          <w:p w14:paraId="4E24DF99">
            <w:pPr>
              <w:keepNext/>
              <w:spacing w:line="440" w:lineRule="exact"/>
              <w:ind w:left="63" w:right="63"/>
              <w:rPr>
                <w:rFonts w:ascii="Times New Roman" w:hAnsi="Times New Roman"/>
                <w:color w:val="auto"/>
                <w:szCs w:val="21"/>
                <w:highlight w:val="none"/>
              </w:rPr>
            </w:pPr>
          </w:p>
        </w:tc>
        <w:tc>
          <w:tcPr>
            <w:tcW w:w="4678" w:type="dxa"/>
            <w:noWrap w:val="0"/>
            <w:vAlign w:val="top"/>
          </w:tcPr>
          <w:p w14:paraId="064292F5">
            <w:pPr>
              <w:keepNext/>
              <w:spacing w:line="440" w:lineRule="exact"/>
              <w:ind w:left="63" w:right="63"/>
              <w:rPr>
                <w:rFonts w:ascii="Times New Roman" w:hAnsi="Times New Roman"/>
                <w:color w:val="auto"/>
                <w:szCs w:val="21"/>
                <w:highlight w:val="none"/>
              </w:rPr>
            </w:pPr>
          </w:p>
        </w:tc>
        <w:tc>
          <w:tcPr>
            <w:tcW w:w="1276" w:type="dxa"/>
            <w:noWrap w:val="0"/>
            <w:vAlign w:val="top"/>
          </w:tcPr>
          <w:p w14:paraId="6EC00949">
            <w:pPr>
              <w:keepNext/>
              <w:spacing w:line="440" w:lineRule="exact"/>
              <w:ind w:left="63" w:right="63"/>
              <w:rPr>
                <w:rFonts w:ascii="Times New Roman" w:hAnsi="Times New Roman"/>
                <w:color w:val="auto"/>
                <w:szCs w:val="21"/>
                <w:highlight w:val="none"/>
              </w:rPr>
            </w:pPr>
          </w:p>
        </w:tc>
      </w:tr>
      <w:tr w14:paraId="129EE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611BE044">
            <w:pPr>
              <w:keepNext/>
              <w:spacing w:line="440" w:lineRule="exact"/>
              <w:ind w:left="63" w:right="63"/>
              <w:rPr>
                <w:rFonts w:ascii="Times New Roman" w:hAnsi="Times New Roman"/>
                <w:color w:val="auto"/>
                <w:szCs w:val="21"/>
                <w:highlight w:val="none"/>
              </w:rPr>
            </w:pPr>
            <w:r>
              <w:rPr>
                <w:rFonts w:ascii="Times New Roman" w:hAnsi="Times New Roman" w:eastAsia="仿宋_GB2312"/>
                <w:color w:val="auto"/>
                <w:sz w:val="28"/>
                <w:szCs w:val="30"/>
                <w:highlight w:val="none"/>
              </w:rPr>
              <w:t>小计：</w:t>
            </w:r>
          </w:p>
        </w:tc>
      </w:tr>
    </w:tbl>
    <w:p w14:paraId="2F40463D">
      <w:pPr>
        <w:rPr>
          <w:rFonts w:ascii="Times New Roman" w:hAnsi="Times New Roman"/>
          <w:color w:val="auto"/>
          <w:szCs w:val="24"/>
          <w:highlight w:val="none"/>
        </w:rPr>
      </w:pPr>
    </w:p>
    <w:p w14:paraId="50DADFCF">
      <w:pPr>
        <w:spacing w:line="320" w:lineRule="exact"/>
        <w:ind w:left="735" w:hanging="735" w:hangingChars="350"/>
        <w:rPr>
          <w:rFonts w:ascii="Times New Roman" w:hAnsi="Times New Roman"/>
          <w:color w:val="auto"/>
          <w:szCs w:val="24"/>
          <w:highlight w:val="none"/>
        </w:rPr>
      </w:pPr>
    </w:p>
    <w:p w14:paraId="46C144D1">
      <w:pPr>
        <w:rPr>
          <w:rFonts w:hint="eastAsia"/>
          <w:color w:val="auto"/>
          <w:sz w:val="20"/>
          <w:highlight w:val="none"/>
        </w:rPr>
      </w:pPr>
      <w:r>
        <w:rPr>
          <w:rFonts w:hint="eastAsia"/>
          <w:color w:val="auto"/>
          <w:sz w:val="20"/>
          <w:highlight w:val="none"/>
        </w:rPr>
        <w:t xml:space="preserve"> </w:t>
      </w:r>
      <w:bookmarkEnd w:id="813"/>
    </w:p>
    <w:p w14:paraId="1B3522D9">
      <w:pPr>
        <w:keepNext/>
        <w:keepLines/>
        <w:pageBreakBefore/>
        <w:spacing w:line="420" w:lineRule="exact"/>
        <w:jc w:val="center"/>
        <w:outlineLvl w:val="0"/>
        <w:rPr>
          <w:rFonts w:hint="eastAsia" w:ascii="黑体" w:hAnsi="宋体" w:eastAsia="黑体"/>
          <w:color w:val="auto"/>
          <w:sz w:val="32"/>
          <w:szCs w:val="32"/>
          <w:highlight w:val="none"/>
        </w:rPr>
      </w:pPr>
      <w:bookmarkStart w:id="2286" w:name="_Toc521075233"/>
      <w:bookmarkStart w:id="2287" w:name="_Toc17367"/>
      <w:bookmarkStart w:id="2288" w:name="_Toc521075658"/>
      <w:r>
        <w:rPr>
          <w:rFonts w:hint="eastAsia" w:ascii="黑体" w:hAnsi="宋体" w:eastAsia="黑体"/>
          <w:color w:val="auto"/>
          <w:sz w:val="32"/>
          <w:szCs w:val="32"/>
          <w:highlight w:val="none"/>
        </w:rPr>
        <w:t>第五章  工程量清单</w:t>
      </w:r>
      <w:bookmarkEnd w:id="2286"/>
      <w:bookmarkEnd w:id="2287"/>
      <w:bookmarkEnd w:id="2288"/>
    </w:p>
    <w:p w14:paraId="7699D297">
      <w:pPr>
        <w:spacing w:after="360" w:afterLines="150" w:line="380" w:lineRule="exact"/>
        <w:ind w:firstLine="560" w:firstLineChars="200"/>
        <w:jc w:val="center"/>
        <w:rPr>
          <w:rFonts w:ascii="黑体" w:hAnsi="宋体" w:eastAsia="黑体"/>
          <w:color w:val="auto"/>
          <w:sz w:val="28"/>
          <w:szCs w:val="28"/>
          <w:highlight w:val="none"/>
        </w:rPr>
      </w:pPr>
      <w:r>
        <w:rPr>
          <w:rFonts w:hint="eastAsia" w:ascii="黑体" w:hAnsi="宋体" w:eastAsia="黑体"/>
          <w:color w:val="auto"/>
          <w:sz w:val="28"/>
          <w:szCs w:val="28"/>
          <w:highlight w:val="none"/>
        </w:rPr>
        <w:t>第五章  工程量清单</w:t>
      </w:r>
    </w:p>
    <w:p w14:paraId="04CA10E8">
      <w:pPr>
        <w:pStyle w:val="31"/>
        <w:rPr>
          <w:rFonts w:hint="eastAsia"/>
          <w:color w:val="auto"/>
          <w:sz w:val="24"/>
          <w:szCs w:val="24"/>
          <w:highlight w:val="none"/>
        </w:rPr>
      </w:pPr>
      <w:bookmarkStart w:id="2289" w:name="_Toc18559"/>
      <w:bookmarkStart w:id="2290" w:name="_Toc521075234"/>
      <w:bookmarkStart w:id="2291" w:name="_Toc521075659"/>
      <w:r>
        <w:rPr>
          <w:color w:val="auto"/>
          <w:sz w:val="24"/>
          <w:szCs w:val="24"/>
          <w:highlight w:val="none"/>
        </w:rPr>
        <w:t>1</w:t>
      </w:r>
      <w:r>
        <w:rPr>
          <w:rFonts w:hint="eastAsia"/>
          <w:color w:val="auto"/>
          <w:sz w:val="24"/>
          <w:szCs w:val="24"/>
          <w:highlight w:val="none"/>
        </w:rPr>
        <w:t>、招标工程量清单说明</w:t>
      </w:r>
      <w:bookmarkEnd w:id="2289"/>
      <w:bookmarkEnd w:id="2290"/>
      <w:bookmarkEnd w:id="2291"/>
    </w:p>
    <w:p w14:paraId="5E9AA103">
      <w:pPr>
        <w:spacing w:line="430" w:lineRule="exact"/>
        <w:ind w:left="769" w:hanging="768" w:hangingChars="366"/>
        <w:rPr>
          <w:rFonts w:ascii="宋体" w:hAnsi="宋体"/>
          <w:color w:val="auto"/>
          <w:szCs w:val="21"/>
          <w:highlight w:val="none"/>
        </w:rPr>
      </w:pPr>
      <w:r>
        <w:rPr>
          <w:rFonts w:hint="eastAsia" w:ascii="黑体" w:hAnsi="宋体" w:eastAsia="黑体"/>
          <w:color w:val="auto"/>
          <w:szCs w:val="21"/>
          <w:highlight w:val="none"/>
        </w:rPr>
        <w:t xml:space="preserve">1.1   </w:t>
      </w:r>
      <w:r>
        <w:rPr>
          <w:rFonts w:hint="eastAsia" w:ascii="宋体" w:hAnsi="宋体"/>
          <w:color w:val="auto"/>
          <w:szCs w:val="21"/>
          <w:highlight w:val="none"/>
        </w:rPr>
        <w:t xml:space="preserve"> 本招标工程量清单是依据中华人民共和国国家标准《建设工程工程量清单计价规范》（GB50500-2013）和配套的工程量计算规范（GB50854-2013 ～GB50862-2013）(以下简称“计价规范”、“计量规范”或“计价计量规范”)、鄂建文[2013]39号《关于执行&lt;房屋建筑与装饰工程工程量计算规范&gt;（GB50584-2013）等9项工程量计算规范有关问题的通知》、鄂建办[2018]27号《关于发布&lt;湖北省房屋建筑与装饰工程消耗量定额及全费用基价表&gt;等8项定额的通知》、鄂建办〔2019〕93号《关于调整湖北省建设工程计价依据的通知》以及招标文件中包括的图纸等编制。计量采用中华人民共和国法定的基本计量单位。</w:t>
      </w:r>
    </w:p>
    <w:p w14:paraId="1DC41931">
      <w:pPr>
        <w:spacing w:line="430" w:lineRule="exact"/>
        <w:ind w:left="756" w:hanging="756" w:hangingChars="360"/>
        <w:rPr>
          <w:rFonts w:hint="eastAsia" w:ascii="宋体" w:hAnsi="宋体"/>
          <w:color w:val="auto"/>
          <w:szCs w:val="21"/>
          <w:highlight w:val="none"/>
        </w:rPr>
      </w:pPr>
      <w:r>
        <w:rPr>
          <w:rFonts w:hint="eastAsia" w:ascii="黑体" w:hAnsi="宋体" w:eastAsia="黑体"/>
          <w:color w:val="auto"/>
          <w:szCs w:val="21"/>
          <w:highlight w:val="none"/>
        </w:rPr>
        <w:t xml:space="preserve">1.2    </w:t>
      </w:r>
      <w:r>
        <w:rPr>
          <w:rFonts w:hint="eastAsia" w:ascii="宋体" w:hAnsi="宋体"/>
          <w:color w:val="auto"/>
          <w:szCs w:val="21"/>
          <w:highlight w:val="none"/>
        </w:rPr>
        <w:t>本招标工程量清单应与招标文件中的投标人须知、通用合同条款、专用合同条款、技术标准和要求及图纸等章节内容一起阅读和理解。</w:t>
      </w:r>
    </w:p>
    <w:p w14:paraId="6762F856">
      <w:pPr>
        <w:spacing w:line="430" w:lineRule="exact"/>
        <w:ind w:left="783" w:hanging="783" w:hangingChars="373"/>
        <w:rPr>
          <w:rFonts w:hint="eastAsia" w:ascii="宋体" w:hAnsi="宋体"/>
          <w:color w:val="auto"/>
          <w:szCs w:val="21"/>
          <w:highlight w:val="none"/>
        </w:rPr>
      </w:pPr>
      <w:r>
        <w:rPr>
          <w:color w:val="auto"/>
          <w:highlight w:val="none"/>
        </w:rPr>
        <w:t>1</w:t>
      </w:r>
      <w:r>
        <w:rPr>
          <w:rFonts w:hint="eastAsia" w:ascii="黑体" w:hAnsi="宋体" w:eastAsia="黑体"/>
          <w:color w:val="auto"/>
          <w:szCs w:val="21"/>
          <w:highlight w:val="none"/>
        </w:rPr>
        <w:t>.3</w:t>
      </w:r>
      <w:r>
        <w:rPr>
          <w:color w:val="auto"/>
          <w:highlight w:val="none"/>
        </w:rPr>
        <w:t xml:space="preserve">   </w:t>
      </w:r>
      <w:r>
        <w:rPr>
          <w:rFonts w:hint="eastAsia" w:ascii="宋体" w:hAnsi="宋体"/>
          <w:color w:val="auto"/>
          <w:szCs w:val="21"/>
          <w:highlight w:val="none"/>
        </w:rPr>
        <w:t xml:space="preserve"> 本招标工程量清单作为招标文件的组成部分，其准确性和完整性应由招标人负责。</w:t>
      </w:r>
    </w:p>
    <w:p w14:paraId="51CCF744">
      <w:pPr>
        <w:spacing w:line="430" w:lineRule="exact"/>
        <w:ind w:left="716" w:hanging="716" w:hangingChars="341"/>
        <w:rPr>
          <w:rFonts w:hint="eastAsia" w:ascii="宋体" w:hAnsi="宋体"/>
          <w:color w:val="auto"/>
          <w:szCs w:val="21"/>
          <w:highlight w:val="none"/>
        </w:rPr>
      </w:pPr>
      <w:r>
        <w:rPr>
          <w:rFonts w:hint="eastAsia" w:ascii="黑体" w:hAnsi="宋体" w:eastAsia="黑体"/>
          <w:color w:val="auto"/>
          <w:szCs w:val="21"/>
          <w:highlight w:val="none"/>
        </w:rPr>
        <w:t>1.4</w:t>
      </w:r>
      <w:r>
        <w:rPr>
          <w:color w:val="auto"/>
          <w:highlight w:val="none"/>
        </w:rPr>
        <w:t xml:space="preserve"> </w:t>
      </w:r>
      <w:r>
        <w:rPr>
          <w:rFonts w:hint="eastAsia" w:ascii="黑体" w:hAnsi="宋体" w:eastAsia="黑体"/>
          <w:color w:val="auto"/>
          <w:szCs w:val="21"/>
          <w:highlight w:val="none"/>
        </w:rPr>
        <w:t xml:space="preserve"> </w:t>
      </w:r>
      <w:r>
        <w:rPr>
          <w:rFonts w:hint="eastAsia" w:ascii="宋体" w:hAnsi="宋体"/>
          <w:color w:val="auto"/>
          <w:szCs w:val="21"/>
          <w:highlight w:val="none"/>
        </w:rPr>
        <w:t xml:space="preserve">  分部分项工程和单价措施项目清单必须载明项目编码、项目名称、项目特征、计量单位和工程量。</w:t>
      </w:r>
    </w:p>
    <w:p w14:paraId="258D916C">
      <w:pPr>
        <w:spacing w:line="430" w:lineRule="exact"/>
        <w:ind w:left="783" w:hanging="783" w:hangingChars="373"/>
        <w:rPr>
          <w:rFonts w:hint="eastAsia" w:ascii="宋体" w:hAnsi="宋体"/>
          <w:color w:val="auto"/>
          <w:szCs w:val="21"/>
          <w:highlight w:val="none"/>
        </w:rPr>
      </w:pPr>
      <w:r>
        <w:rPr>
          <w:rFonts w:hint="eastAsia" w:ascii="宋体" w:hAnsi="宋体"/>
          <w:color w:val="auto"/>
          <w:szCs w:val="21"/>
          <w:highlight w:val="none"/>
        </w:rPr>
        <w:t>1</w:t>
      </w:r>
      <w:r>
        <w:rPr>
          <w:rFonts w:hint="eastAsia" w:ascii="黑体" w:hAnsi="宋体" w:eastAsia="黑体"/>
          <w:color w:val="auto"/>
          <w:szCs w:val="21"/>
          <w:highlight w:val="none"/>
        </w:rPr>
        <w:t>.5</w:t>
      </w:r>
      <w:r>
        <w:rPr>
          <w:color w:val="auto"/>
          <w:highlight w:val="none"/>
        </w:rPr>
        <w:t xml:space="preserve"> </w:t>
      </w:r>
      <w:r>
        <w:rPr>
          <w:rFonts w:hint="eastAsia" w:ascii="宋体" w:hAnsi="宋体"/>
          <w:color w:val="auto"/>
          <w:szCs w:val="21"/>
          <w:highlight w:val="none"/>
        </w:rPr>
        <w:t xml:space="preserve">   分部分项工程和单价措施项目清单必须根据相关工程现行国家计量规范规定的项目编码、项目名称、项目特征、计量单位和工程量计算规则进行编制。</w:t>
      </w:r>
    </w:p>
    <w:p w14:paraId="21392611">
      <w:pPr>
        <w:spacing w:line="430" w:lineRule="exact"/>
        <w:ind w:left="783" w:hanging="783" w:hangingChars="373"/>
        <w:rPr>
          <w:rFonts w:hint="eastAsia" w:ascii="宋体" w:hAnsi="宋体"/>
          <w:color w:val="auto"/>
          <w:szCs w:val="21"/>
          <w:highlight w:val="none"/>
        </w:rPr>
      </w:pPr>
      <w:r>
        <w:rPr>
          <w:rFonts w:hint="eastAsia" w:ascii="宋体" w:hAnsi="宋体"/>
          <w:color w:val="auto"/>
          <w:szCs w:val="21"/>
          <w:highlight w:val="none"/>
        </w:rPr>
        <w:t>1</w:t>
      </w:r>
      <w:r>
        <w:rPr>
          <w:rFonts w:hint="eastAsia" w:ascii="黑体" w:hAnsi="宋体" w:eastAsia="黑体"/>
          <w:color w:val="auto"/>
          <w:szCs w:val="21"/>
          <w:highlight w:val="none"/>
        </w:rPr>
        <w:t>.6</w:t>
      </w:r>
      <w:r>
        <w:rPr>
          <w:rFonts w:hint="eastAsia" w:ascii="宋体" w:hAnsi="宋体"/>
          <w:color w:val="auto"/>
          <w:szCs w:val="21"/>
          <w:highlight w:val="none"/>
        </w:rPr>
        <w:t xml:space="preserve">    总价措施项目清单必须根据相关工程现行国家计量规范的规定编制。</w:t>
      </w:r>
    </w:p>
    <w:p w14:paraId="22D65A6B">
      <w:pPr>
        <w:spacing w:line="430" w:lineRule="exact"/>
        <w:ind w:left="783" w:hanging="783" w:hangingChars="373"/>
        <w:rPr>
          <w:rFonts w:hint="eastAsia" w:ascii="宋体" w:hAnsi="宋体"/>
          <w:color w:val="auto"/>
          <w:szCs w:val="21"/>
          <w:highlight w:val="none"/>
        </w:rPr>
      </w:pPr>
      <w:r>
        <w:rPr>
          <w:rFonts w:hint="eastAsia" w:ascii="黑体" w:hAnsi="宋体" w:eastAsia="黑体"/>
          <w:color w:val="auto"/>
          <w:szCs w:val="21"/>
          <w:highlight w:val="none"/>
        </w:rPr>
        <w:t xml:space="preserve">1.7    </w:t>
      </w:r>
      <w:r>
        <w:rPr>
          <w:rFonts w:hint="eastAsia" w:ascii="宋体" w:hAnsi="宋体"/>
          <w:color w:val="auto"/>
          <w:szCs w:val="21"/>
          <w:highlight w:val="none"/>
        </w:rPr>
        <w:t>其他项目、规费和税金项目清单应按照现行国家计价规范的规定编制。</w:t>
      </w:r>
    </w:p>
    <w:p w14:paraId="24D3A352">
      <w:pPr>
        <w:spacing w:line="430" w:lineRule="exact"/>
        <w:ind w:left="735" w:hanging="735" w:hangingChars="350"/>
        <w:rPr>
          <w:rFonts w:hint="eastAsia" w:ascii="宋体" w:hAnsi="宋体"/>
          <w:color w:val="auto"/>
          <w:szCs w:val="21"/>
          <w:highlight w:val="none"/>
        </w:rPr>
      </w:pPr>
      <w:r>
        <w:rPr>
          <w:rFonts w:hint="eastAsia" w:ascii="黑体" w:hAnsi="宋体" w:eastAsia="黑体"/>
          <w:color w:val="auto"/>
          <w:szCs w:val="21"/>
          <w:highlight w:val="none"/>
        </w:rPr>
        <w:t xml:space="preserve">1.8    </w:t>
      </w:r>
      <w:r>
        <w:rPr>
          <w:rFonts w:hint="eastAsia" w:ascii="宋体" w:hAnsi="宋体"/>
          <w:color w:val="auto"/>
          <w:szCs w:val="21"/>
          <w:highlight w:val="none"/>
        </w:rPr>
        <w:t>编制招标工程量清单出现相关工程现行国家计量规范附录中未包括的项目，编制人应做补充。</w:t>
      </w:r>
    </w:p>
    <w:p w14:paraId="7A6B643E">
      <w:pPr>
        <w:spacing w:line="430" w:lineRule="exact"/>
        <w:ind w:left="741" w:hanging="741" w:hangingChars="353"/>
        <w:rPr>
          <w:rFonts w:hint="eastAsia" w:ascii="宋体" w:hAnsi="宋体"/>
          <w:color w:val="auto"/>
          <w:szCs w:val="21"/>
          <w:highlight w:val="none"/>
        </w:rPr>
      </w:pPr>
      <w:r>
        <w:rPr>
          <w:rFonts w:hint="eastAsia" w:ascii="宋体" w:hAnsi="宋体"/>
          <w:color w:val="auto"/>
          <w:szCs w:val="21"/>
          <w:highlight w:val="none"/>
        </w:rPr>
        <w:t xml:space="preserve">       补充项目的编码规则按相关工程现行国家计量规范的规定编制，同一招标工程的项目不得重码。</w:t>
      </w:r>
    </w:p>
    <w:p w14:paraId="7DA6B390">
      <w:pPr>
        <w:spacing w:line="430" w:lineRule="exact"/>
        <w:ind w:left="783" w:hanging="783" w:hangingChars="373"/>
        <w:rPr>
          <w:rFonts w:hint="eastAsia" w:ascii="宋体" w:hAnsi="宋体"/>
          <w:color w:val="auto"/>
          <w:szCs w:val="21"/>
          <w:highlight w:val="none"/>
        </w:rPr>
      </w:pPr>
      <w:r>
        <w:rPr>
          <w:rFonts w:hint="eastAsia" w:ascii="宋体" w:hAnsi="宋体"/>
          <w:color w:val="auto"/>
          <w:szCs w:val="21"/>
          <w:highlight w:val="none"/>
        </w:rPr>
        <w:t xml:space="preserve">       补充的工程量清单需附有补充项目的名称、项目特征、计量单位、工程量计算规则、工作内容。不能计量的措施项目，需附有补充项目的名称、工作内容及包含范围。</w:t>
      </w:r>
    </w:p>
    <w:p w14:paraId="135F7F41">
      <w:pPr>
        <w:spacing w:line="430" w:lineRule="exact"/>
        <w:ind w:left="741" w:hanging="741" w:hangingChars="353"/>
        <w:rPr>
          <w:rFonts w:hint="eastAsia" w:ascii="宋体" w:hAnsi="宋体"/>
          <w:color w:val="auto"/>
          <w:szCs w:val="21"/>
          <w:highlight w:val="none"/>
        </w:rPr>
      </w:pPr>
      <w:r>
        <w:rPr>
          <w:rFonts w:hint="eastAsia" w:ascii="黑体" w:hAnsi="宋体" w:eastAsia="黑体"/>
          <w:color w:val="auto"/>
          <w:szCs w:val="21"/>
          <w:highlight w:val="none"/>
        </w:rPr>
        <w:t xml:space="preserve">1.9    </w:t>
      </w:r>
      <w:r>
        <w:rPr>
          <w:rFonts w:hint="eastAsia" w:ascii="宋体" w:hAnsi="宋体"/>
          <w:color w:val="auto"/>
          <w:szCs w:val="21"/>
          <w:highlight w:val="none"/>
        </w:rPr>
        <w:t>本招标工程量清单仅是投标报价的共同基础，采用工程量清单方式招标形成的无论是单价合同还是总价合同，其工程量必须以承包人完成合同工程应予计量的</w:t>
      </w:r>
      <w:r>
        <w:rPr>
          <w:rFonts w:hint="eastAsia" w:ascii="宋体" w:hAnsi="宋体" w:cs="宋体"/>
          <w:color w:val="auto"/>
          <w:szCs w:val="21"/>
          <w:highlight w:val="none"/>
        </w:rPr>
        <w:t>工程量确定。</w:t>
      </w:r>
      <w:r>
        <w:rPr>
          <w:rFonts w:hint="eastAsia" w:ascii="宋体" w:hAnsi="宋体"/>
          <w:color w:val="auto"/>
          <w:szCs w:val="21"/>
          <w:highlight w:val="none"/>
        </w:rPr>
        <w:t>合同价格的确定以及价款支付应遵循合同条款(包括通用合同条款和专用合同条款)、技术标准和要求以及本章的有关约定。</w:t>
      </w:r>
    </w:p>
    <w:p w14:paraId="34637DE4">
      <w:pPr>
        <w:spacing w:line="430" w:lineRule="exact"/>
        <w:ind w:left="783" w:hanging="783" w:hangingChars="373"/>
        <w:rPr>
          <w:rFonts w:hint="eastAsia" w:ascii="宋体" w:hAnsi="宋体"/>
          <w:color w:val="auto"/>
          <w:szCs w:val="21"/>
          <w:highlight w:val="none"/>
        </w:rPr>
      </w:pPr>
      <w:r>
        <w:rPr>
          <w:rFonts w:hint="eastAsia" w:ascii="黑体" w:hAnsi="宋体" w:eastAsia="黑体"/>
          <w:color w:val="auto"/>
          <w:szCs w:val="21"/>
          <w:highlight w:val="none"/>
        </w:rPr>
        <w:t>1.10</w:t>
      </w:r>
      <w:r>
        <w:rPr>
          <w:rFonts w:hint="eastAsia" w:ascii="宋体" w:hAnsi="宋体"/>
          <w:color w:val="auto"/>
          <w:szCs w:val="21"/>
          <w:highlight w:val="none"/>
        </w:rPr>
        <w:t xml:space="preserve">   除招标文件另有约定外，本条第1.1款中约定的计量和计价规则适用于本招标工程发承包及实施阶段的计价活动包括：招标工程量清单、招标控制价、投标报价的编制，工程合同价款的约定，竣工结算的办理以及施工过程中的工程量计量、合同价款支付、施工索赔与现场签证、合同价款调整和合同价款争议的解决等活动。</w:t>
      </w:r>
    </w:p>
    <w:p w14:paraId="0F481E80">
      <w:pPr>
        <w:spacing w:line="430" w:lineRule="exact"/>
        <w:ind w:left="769" w:hanging="768" w:hangingChars="366"/>
        <w:rPr>
          <w:rFonts w:hint="eastAsia" w:ascii="宋体" w:hAnsi="宋体"/>
          <w:color w:val="auto"/>
          <w:szCs w:val="21"/>
          <w:highlight w:val="none"/>
        </w:rPr>
      </w:pPr>
      <w:r>
        <w:rPr>
          <w:rFonts w:hint="eastAsia" w:ascii="黑体" w:hAnsi="宋体" w:eastAsia="黑体"/>
          <w:color w:val="auto"/>
          <w:szCs w:val="21"/>
          <w:highlight w:val="none"/>
        </w:rPr>
        <w:t>1.11</w:t>
      </w:r>
      <w:r>
        <w:rPr>
          <w:rFonts w:hint="eastAsia" w:ascii="宋体" w:hAnsi="宋体"/>
          <w:color w:val="auto"/>
          <w:szCs w:val="21"/>
          <w:highlight w:val="none"/>
        </w:rPr>
        <w:t xml:space="preserve">   本条与下述第2条和第3条的说明内容是构成合同文件的已标价工程量清单的组成部分。</w:t>
      </w:r>
    </w:p>
    <w:p w14:paraId="64D94C13">
      <w:pPr>
        <w:pStyle w:val="31"/>
        <w:rPr>
          <w:rFonts w:hint="eastAsia"/>
          <w:color w:val="auto"/>
          <w:sz w:val="24"/>
          <w:szCs w:val="24"/>
          <w:highlight w:val="none"/>
        </w:rPr>
      </w:pPr>
      <w:bookmarkStart w:id="2292" w:name="_Toc521075660"/>
      <w:bookmarkStart w:id="2293" w:name="_Toc11763"/>
      <w:bookmarkStart w:id="2294" w:name="_Toc521075235"/>
      <w:r>
        <w:rPr>
          <w:color w:val="auto"/>
          <w:sz w:val="24"/>
          <w:szCs w:val="24"/>
          <w:highlight w:val="none"/>
        </w:rPr>
        <w:t>2</w:t>
      </w:r>
      <w:r>
        <w:rPr>
          <w:rFonts w:hint="eastAsia"/>
          <w:color w:val="auto"/>
          <w:sz w:val="24"/>
          <w:szCs w:val="24"/>
          <w:highlight w:val="none"/>
        </w:rPr>
        <w:t>、投标报价说明</w:t>
      </w:r>
      <w:bookmarkEnd w:id="2292"/>
      <w:bookmarkEnd w:id="2293"/>
      <w:bookmarkEnd w:id="2294"/>
    </w:p>
    <w:p w14:paraId="70E3618B">
      <w:pPr>
        <w:spacing w:line="430" w:lineRule="exact"/>
        <w:rPr>
          <w:rFonts w:ascii="宋体" w:hAnsi="宋体"/>
          <w:color w:val="auto"/>
          <w:szCs w:val="21"/>
          <w:highlight w:val="none"/>
        </w:rPr>
      </w:pPr>
      <w:r>
        <w:rPr>
          <w:rFonts w:hint="eastAsia" w:ascii="黑体" w:hAnsi="宋体" w:eastAsia="黑体"/>
          <w:color w:val="auto"/>
          <w:szCs w:val="21"/>
          <w:highlight w:val="none"/>
        </w:rPr>
        <w:t>2.1</w:t>
      </w:r>
      <w:r>
        <w:rPr>
          <w:rFonts w:hint="eastAsia" w:ascii="宋体" w:hAnsi="宋体"/>
          <w:color w:val="auto"/>
          <w:szCs w:val="21"/>
          <w:highlight w:val="none"/>
        </w:rPr>
        <w:t xml:space="preserve">    投标报价应根据招标文件中的有关计价要求，并按照下列依据自主报价。</w:t>
      </w:r>
    </w:p>
    <w:p w14:paraId="7A732B30">
      <w:pPr>
        <w:spacing w:line="430" w:lineRule="exact"/>
        <w:ind w:left="1252" w:leftChars="346" w:hanging="525" w:hangingChars="250"/>
        <w:rPr>
          <w:rFonts w:hint="eastAsia" w:ascii="黑体" w:hAnsi="宋体" w:eastAsia="黑体"/>
          <w:color w:val="auto"/>
          <w:szCs w:val="21"/>
          <w:highlight w:val="none"/>
        </w:rPr>
      </w:pPr>
      <w:r>
        <w:rPr>
          <w:rFonts w:hint="eastAsia" w:ascii="黑体" w:hAnsi="宋体" w:eastAsia="黑体"/>
          <w:color w:val="auto"/>
          <w:szCs w:val="21"/>
          <w:highlight w:val="none"/>
        </w:rPr>
        <w:t xml:space="preserve">(1) </w:t>
      </w:r>
      <w:r>
        <w:rPr>
          <w:rFonts w:hint="eastAsia" w:ascii="宋体" w:hAnsi="宋体"/>
          <w:color w:val="auto"/>
          <w:szCs w:val="21"/>
          <w:highlight w:val="none"/>
        </w:rPr>
        <w:t>《建设工程工程量清单计价规范》（GB50500-2013）；</w:t>
      </w:r>
    </w:p>
    <w:p w14:paraId="42E3496B">
      <w:pPr>
        <w:spacing w:line="430" w:lineRule="exact"/>
        <w:ind w:firstLine="726" w:firstLineChars="346"/>
        <w:rPr>
          <w:rFonts w:hint="eastAsia" w:ascii="宋体" w:hAnsi="宋体"/>
          <w:color w:val="auto"/>
          <w:szCs w:val="21"/>
          <w:highlight w:val="none"/>
        </w:rPr>
      </w:pPr>
      <w:r>
        <w:rPr>
          <w:rFonts w:hint="eastAsia" w:ascii="黑体" w:hAnsi="宋体" w:eastAsia="黑体"/>
          <w:color w:val="auto"/>
          <w:szCs w:val="21"/>
          <w:highlight w:val="none"/>
        </w:rPr>
        <w:t>(2)</w:t>
      </w:r>
      <w:r>
        <w:rPr>
          <w:rFonts w:hint="eastAsia" w:ascii="宋体" w:hAnsi="宋体"/>
          <w:color w:val="auto"/>
          <w:szCs w:val="21"/>
          <w:highlight w:val="none"/>
        </w:rPr>
        <w:t xml:space="preserve">  国家或省级、行业建设主管部门颁发的计价办法；</w:t>
      </w:r>
    </w:p>
    <w:p w14:paraId="77088ACE">
      <w:pPr>
        <w:spacing w:line="430" w:lineRule="exact"/>
        <w:ind w:firstLine="726" w:firstLineChars="346"/>
        <w:rPr>
          <w:rFonts w:hint="eastAsia" w:ascii="宋体" w:hAnsi="宋体"/>
          <w:color w:val="auto"/>
          <w:szCs w:val="21"/>
          <w:highlight w:val="none"/>
        </w:rPr>
      </w:pPr>
      <w:r>
        <w:rPr>
          <w:rFonts w:hint="eastAsia" w:ascii="黑体" w:hAnsi="宋体" w:eastAsia="黑体"/>
          <w:color w:val="auto"/>
          <w:szCs w:val="21"/>
          <w:highlight w:val="none"/>
        </w:rPr>
        <w:t>(3)</w:t>
      </w:r>
      <w:r>
        <w:rPr>
          <w:rFonts w:hint="eastAsia" w:ascii="宋体" w:hAnsi="宋体"/>
          <w:color w:val="auto"/>
          <w:szCs w:val="21"/>
          <w:highlight w:val="none"/>
        </w:rPr>
        <w:t xml:space="preserve">  企业定额，国家或省级、行业建设主管部门颁发的计价定额和计价办法；</w:t>
      </w:r>
    </w:p>
    <w:p w14:paraId="781AFAD5">
      <w:pPr>
        <w:spacing w:line="430" w:lineRule="exact"/>
        <w:ind w:firstLine="726" w:firstLineChars="346"/>
        <w:rPr>
          <w:rFonts w:hint="eastAsia" w:ascii="宋体" w:hAnsi="宋体"/>
          <w:color w:val="auto"/>
          <w:szCs w:val="21"/>
          <w:highlight w:val="none"/>
        </w:rPr>
      </w:pPr>
      <w:r>
        <w:rPr>
          <w:rFonts w:hint="eastAsia" w:ascii="黑体" w:hAnsi="宋体" w:eastAsia="黑体"/>
          <w:color w:val="auto"/>
          <w:szCs w:val="21"/>
          <w:highlight w:val="none"/>
        </w:rPr>
        <w:t>(4)</w:t>
      </w:r>
      <w:r>
        <w:rPr>
          <w:rFonts w:hint="eastAsia" w:ascii="宋体" w:hAnsi="宋体"/>
          <w:color w:val="auto"/>
          <w:szCs w:val="21"/>
          <w:highlight w:val="none"/>
        </w:rPr>
        <w:t xml:space="preserve">  招标文件(包括招标工程量清单)及其澄清、修改文件；</w:t>
      </w:r>
    </w:p>
    <w:p w14:paraId="38154D2A">
      <w:pPr>
        <w:spacing w:line="430" w:lineRule="exact"/>
        <w:ind w:firstLine="726" w:firstLineChars="346"/>
        <w:rPr>
          <w:rFonts w:hint="eastAsia" w:ascii="宋体" w:hAnsi="宋体"/>
          <w:color w:val="auto"/>
          <w:szCs w:val="21"/>
          <w:highlight w:val="none"/>
        </w:rPr>
      </w:pPr>
      <w:r>
        <w:rPr>
          <w:rFonts w:hint="eastAsia" w:ascii="黑体" w:hAnsi="宋体" w:eastAsia="黑体"/>
          <w:color w:val="auto"/>
          <w:szCs w:val="21"/>
          <w:highlight w:val="none"/>
        </w:rPr>
        <w:t>(5)</w:t>
      </w:r>
      <w:r>
        <w:rPr>
          <w:rFonts w:hint="eastAsia" w:ascii="宋体" w:hAnsi="宋体"/>
          <w:color w:val="auto"/>
          <w:szCs w:val="21"/>
          <w:highlight w:val="none"/>
        </w:rPr>
        <w:t xml:space="preserve">  建设工程设计文件及相关资料；</w:t>
      </w:r>
    </w:p>
    <w:p w14:paraId="1B5FA5A7">
      <w:pPr>
        <w:spacing w:line="430" w:lineRule="exact"/>
        <w:ind w:firstLine="726" w:firstLineChars="346"/>
        <w:rPr>
          <w:rFonts w:hint="eastAsia" w:ascii="宋体" w:hAnsi="宋体"/>
          <w:color w:val="auto"/>
          <w:szCs w:val="21"/>
          <w:highlight w:val="none"/>
        </w:rPr>
      </w:pPr>
      <w:r>
        <w:rPr>
          <w:rFonts w:hint="eastAsia" w:ascii="黑体" w:hAnsi="宋体" w:eastAsia="黑体"/>
          <w:color w:val="auto"/>
          <w:szCs w:val="21"/>
          <w:highlight w:val="none"/>
        </w:rPr>
        <w:t>(6)</w:t>
      </w:r>
      <w:r>
        <w:rPr>
          <w:rFonts w:hint="eastAsia" w:ascii="宋体" w:hAnsi="宋体"/>
          <w:color w:val="auto"/>
          <w:szCs w:val="21"/>
          <w:highlight w:val="none"/>
        </w:rPr>
        <w:t xml:space="preserve">  施工现场情况、工程特点及投标时拟定的施工组织设计或施工方案；</w:t>
      </w:r>
    </w:p>
    <w:p w14:paraId="30462F34">
      <w:pPr>
        <w:spacing w:line="420" w:lineRule="exact"/>
        <w:ind w:firstLine="726" w:firstLineChars="346"/>
        <w:rPr>
          <w:rFonts w:hint="eastAsia" w:ascii="Times New Roman" w:hAnsi="Times New Roman"/>
          <w:color w:val="auto"/>
          <w:szCs w:val="24"/>
          <w:highlight w:val="none"/>
        </w:rPr>
      </w:pPr>
      <w:r>
        <w:rPr>
          <w:rFonts w:hint="eastAsia" w:ascii="黑体" w:eastAsia="黑体"/>
          <w:color w:val="auto"/>
          <w:highlight w:val="none"/>
        </w:rPr>
        <w:t>(7)</w:t>
      </w:r>
      <w:r>
        <w:rPr>
          <w:color w:val="auto"/>
          <w:highlight w:val="none"/>
        </w:rPr>
        <w:t xml:space="preserve">  </w:t>
      </w:r>
      <w:r>
        <w:rPr>
          <w:rFonts w:hint="eastAsia"/>
          <w:color w:val="auto"/>
          <w:highlight w:val="none"/>
        </w:rPr>
        <w:t>与建设项目相关的标准、规范等技术资料；</w:t>
      </w:r>
    </w:p>
    <w:p w14:paraId="4CDFE1F6">
      <w:pPr>
        <w:spacing w:line="420" w:lineRule="exact"/>
        <w:ind w:firstLine="726" w:firstLineChars="346"/>
        <w:rPr>
          <w:color w:val="auto"/>
          <w:highlight w:val="none"/>
        </w:rPr>
      </w:pPr>
      <w:r>
        <w:rPr>
          <w:rFonts w:hint="eastAsia" w:ascii="黑体" w:eastAsia="黑体"/>
          <w:color w:val="auto"/>
          <w:highlight w:val="none"/>
        </w:rPr>
        <w:t>(8)</w:t>
      </w:r>
      <w:r>
        <w:rPr>
          <w:color w:val="auto"/>
          <w:highlight w:val="none"/>
        </w:rPr>
        <w:t xml:space="preserve">  </w:t>
      </w:r>
      <w:r>
        <w:rPr>
          <w:rFonts w:hint="eastAsia"/>
          <w:color w:val="auto"/>
          <w:highlight w:val="none"/>
        </w:rPr>
        <w:t>市场价格信息或工程造价管理机构发布的工程造价信息；</w:t>
      </w:r>
    </w:p>
    <w:p w14:paraId="43EA7F0A">
      <w:pPr>
        <w:spacing w:line="420" w:lineRule="exact"/>
        <w:ind w:firstLine="726" w:firstLineChars="346"/>
        <w:rPr>
          <w:color w:val="auto"/>
          <w:highlight w:val="none"/>
        </w:rPr>
      </w:pPr>
      <w:r>
        <w:rPr>
          <w:rFonts w:hint="eastAsia" w:ascii="黑体" w:eastAsia="黑体"/>
          <w:color w:val="auto"/>
          <w:highlight w:val="none"/>
        </w:rPr>
        <w:t xml:space="preserve">(9)  </w:t>
      </w:r>
      <w:r>
        <w:rPr>
          <w:rFonts w:hint="eastAsia"/>
          <w:color w:val="auto"/>
          <w:highlight w:val="none"/>
        </w:rPr>
        <w:t>其他的相关资料。</w:t>
      </w:r>
    </w:p>
    <w:p w14:paraId="59868848">
      <w:pPr>
        <w:spacing w:line="420" w:lineRule="exact"/>
        <w:ind w:left="735" w:hanging="735" w:hangingChars="350"/>
        <w:rPr>
          <w:color w:val="auto"/>
          <w:highlight w:val="none"/>
          <w:bdr w:val="single" w:color="auto" w:sz="4" w:space="0"/>
        </w:rPr>
      </w:pPr>
      <w:r>
        <w:rPr>
          <w:rFonts w:hint="eastAsia" w:ascii="黑体" w:eastAsia="黑体"/>
          <w:color w:val="auto"/>
          <w:highlight w:val="none"/>
        </w:rPr>
        <w:t>2.2</w:t>
      </w:r>
      <w:r>
        <w:rPr>
          <w:color w:val="auto"/>
          <w:highlight w:val="none"/>
        </w:rPr>
        <w:t xml:space="preserve">    </w:t>
      </w:r>
      <w:r>
        <w:rPr>
          <w:rFonts w:hint="eastAsia"/>
          <w:color w:val="auto"/>
          <w:highlight w:val="none"/>
        </w:rPr>
        <w:t>投标人必须按招标工程量清单填报价格。项目编码、项目名称、项目特征、计量单位必须与招标工程量清单一致。</w:t>
      </w:r>
    </w:p>
    <w:p w14:paraId="0A6106DE">
      <w:pPr>
        <w:spacing w:line="420" w:lineRule="exact"/>
        <w:ind w:left="769" w:hanging="768" w:hangingChars="366"/>
        <w:rPr>
          <w:color w:val="auto"/>
          <w:highlight w:val="none"/>
        </w:rPr>
      </w:pPr>
      <w:r>
        <w:rPr>
          <w:rFonts w:hint="eastAsia" w:ascii="黑体" w:hAnsi="宋体" w:eastAsia="黑体"/>
          <w:color w:val="auto"/>
          <w:szCs w:val="21"/>
          <w:highlight w:val="none"/>
        </w:rPr>
        <w:t>2.3</w:t>
      </w:r>
      <w:r>
        <w:rPr>
          <w:color w:val="auto"/>
          <w:highlight w:val="none"/>
        </w:rPr>
        <w:t xml:space="preserve">    </w:t>
      </w:r>
      <w:r>
        <w:rPr>
          <w:rFonts w:hint="eastAsia"/>
          <w:color w:val="auto"/>
          <w:highlight w:val="none"/>
        </w:rPr>
        <w:t>工程量清单应采用综合单价计价。综合单价中应包括招标文件中划分的应由投标人承担的风险范围及其费用，招标文件中没有明确的，应提请招标人明确。即工程量清单中标价的单价或金额，应包括所需人工费、材料费、施工机械使用费和企业管理费及利润，以及一定范围内的风险费用。所谓“一定范围内的风险”是指合同约定的风险。</w:t>
      </w:r>
    </w:p>
    <w:p w14:paraId="1CA0695D">
      <w:pPr>
        <w:spacing w:line="420" w:lineRule="exact"/>
        <w:ind w:left="756" w:leftChars="7" w:hanging="741" w:hangingChars="353"/>
        <w:rPr>
          <w:color w:val="auto"/>
          <w:highlight w:val="none"/>
        </w:rPr>
      </w:pPr>
      <w:r>
        <w:rPr>
          <w:rFonts w:hint="eastAsia" w:ascii="黑体" w:hAnsi="宋体" w:eastAsia="黑体"/>
          <w:color w:val="auto"/>
          <w:szCs w:val="21"/>
          <w:highlight w:val="none"/>
        </w:rPr>
        <w:t>2.4</w:t>
      </w:r>
      <w:r>
        <w:rPr>
          <w:color w:val="auto"/>
          <w:highlight w:val="none"/>
        </w:rPr>
        <w:t xml:space="preserve">    </w:t>
      </w:r>
      <w:r>
        <w:rPr>
          <w:rFonts w:hint="eastAsia"/>
          <w:color w:val="auto"/>
          <w:highlight w:val="none"/>
        </w:rPr>
        <w:t>招标工程量清单与计价表中列明的所有需要填写单价和合价的项目，投标人均应填写且只允许有一个报价。未填写单价和合价的项目，可视为此项费用已经包含在已标价工程量清单中其他项目的单价或合价之中。当竣工结算时，此项目不得重新组价予以调整。</w:t>
      </w:r>
    </w:p>
    <w:p w14:paraId="7C0D9EE7">
      <w:pPr>
        <w:spacing w:line="420" w:lineRule="exact"/>
        <w:ind w:left="769" w:hanging="768" w:hangingChars="366"/>
        <w:rPr>
          <w:color w:val="auto"/>
          <w:highlight w:val="none"/>
          <w:bdr w:val="single" w:color="auto" w:sz="4" w:space="0"/>
        </w:rPr>
      </w:pPr>
      <w:r>
        <w:rPr>
          <w:rFonts w:hint="eastAsia" w:ascii="黑体" w:hAnsi="宋体" w:eastAsia="黑体"/>
          <w:color w:val="auto"/>
          <w:szCs w:val="21"/>
          <w:highlight w:val="none"/>
        </w:rPr>
        <w:t>2.5</w:t>
      </w:r>
      <w:r>
        <w:rPr>
          <w:color w:val="auto"/>
          <w:highlight w:val="none"/>
        </w:rPr>
        <w:t xml:space="preserve">    </w:t>
      </w:r>
      <w:r>
        <w:rPr>
          <w:rFonts w:hint="eastAsia"/>
          <w:color w:val="auto"/>
          <w:highlight w:val="none"/>
        </w:rPr>
        <w:t>“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5AA06261">
      <w:pPr>
        <w:spacing w:line="420" w:lineRule="exact"/>
        <w:rPr>
          <w:color w:val="auto"/>
          <w:highlight w:val="none"/>
        </w:rPr>
      </w:pPr>
      <w:r>
        <w:rPr>
          <w:rFonts w:hint="eastAsia" w:ascii="黑体" w:hAnsi="宋体" w:eastAsia="黑体"/>
          <w:color w:val="auto"/>
          <w:szCs w:val="21"/>
          <w:highlight w:val="none"/>
        </w:rPr>
        <w:t>2.6</w:t>
      </w:r>
      <w:r>
        <w:rPr>
          <w:color w:val="auto"/>
          <w:highlight w:val="none"/>
        </w:rPr>
        <w:t xml:space="preserve">    </w:t>
      </w:r>
      <w:r>
        <w:rPr>
          <w:rFonts w:hint="eastAsia"/>
          <w:color w:val="auto"/>
          <w:highlight w:val="none"/>
        </w:rPr>
        <w:t>分部分项工程和单价措施项目按下列要求报价：</w:t>
      </w:r>
    </w:p>
    <w:p w14:paraId="0F99E09D">
      <w:pPr>
        <w:spacing w:line="420" w:lineRule="exact"/>
        <w:ind w:left="735" w:hanging="735" w:hangingChars="350"/>
        <w:rPr>
          <w:color w:val="auto"/>
          <w:highlight w:val="none"/>
        </w:rPr>
      </w:pPr>
      <w:r>
        <w:rPr>
          <w:rFonts w:hint="eastAsia" w:ascii="黑体" w:hAnsi="宋体" w:eastAsia="黑体"/>
          <w:color w:val="auto"/>
          <w:szCs w:val="21"/>
          <w:highlight w:val="none"/>
        </w:rPr>
        <w:t>2.6.1</w:t>
      </w:r>
      <w:r>
        <w:rPr>
          <w:color w:val="auto"/>
          <w:highlight w:val="none"/>
        </w:rPr>
        <w:t xml:space="preserve">  </w:t>
      </w:r>
      <w:r>
        <w:rPr>
          <w:rFonts w:hint="eastAsia"/>
          <w:color w:val="auto"/>
          <w:highlight w:val="none"/>
        </w:rPr>
        <w:t>分部分项工程和单价措施项目，应根据招标文件和招标工程量清单中的项目特征描述确定综合单价。</w:t>
      </w:r>
    </w:p>
    <w:p w14:paraId="1298EA56">
      <w:pPr>
        <w:spacing w:line="420" w:lineRule="exact"/>
        <w:ind w:left="769" w:hanging="768" w:hangingChars="366"/>
        <w:rPr>
          <w:color w:val="auto"/>
          <w:highlight w:val="none"/>
        </w:rPr>
      </w:pPr>
      <w:r>
        <w:rPr>
          <w:rFonts w:hint="eastAsia" w:ascii="黑体" w:hAnsi="宋体" w:eastAsia="黑体"/>
          <w:color w:val="auto"/>
          <w:szCs w:val="21"/>
          <w:highlight w:val="none"/>
        </w:rPr>
        <w:t>2.6.2</w:t>
      </w:r>
      <w:r>
        <w:rPr>
          <w:color w:val="auto"/>
          <w:highlight w:val="none"/>
        </w:rPr>
        <w:t xml:space="preserve">  </w:t>
      </w:r>
      <w:r>
        <w:rPr>
          <w:rFonts w:hint="eastAsia"/>
          <w:color w:val="auto"/>
          <w:highlight w:val="none"/>
        </w:rPr>
        <w:t>如果分部分项工程和单价措施项目清单中涉及“材料（工程设备）暂估单价表”中列出的材料和工程设备，则按照本节第</w:t>
      </w:r>
      <w:r>
        <w:rPr>
          <w:color w:val="auto"/>
          <w:highlight w:val="none"/>
        </w:rPr>
        <w:t>3.3.2</w:t>
      </w:r>
      <w:r>
        <w:rPr>
          <w:rFonts w:hint="eastAsia"/>
          <w:color w:val="auto"/>
          <w:highlight w:val="none"/>
        </w:rPr>
        <w:t>项的报价原则计价。</w:t>
      </w:r>
    </w:p>
    <w:p w14:paraId="5E2484C4">
      <w:pPr>
        <w:spacing w:line="420" w:lineRule="exact"/>
        <w:ind w:left="769" w:hanging="768" w:hangingChars="366"/>
        <w:rPr>
          <w:color w:val="auto"/>
          <w:highlight w:val="none"/>
        </w:rPr>
      </w:pPr>
      <w:r>
        <w:rPr>
          <w:rFonts w:hint="eastAsia" w:ascii="黑体" w:hAnsi="宋体" w:eastAsia="黑体"/>
          <w:color w:val="auto"/>
          <w:szCs w:val="21"/>
          <w:highlight w:val="none"/>
        </w:rPr>
        <w:t>2.6.3</w:t>
      </w:r>
      <w:r>
        <w:rPr>
          <w:rFonts w:hint="eastAsia" w:ascii="宋体" w:hAnsi="宋体"/>
          <w:color w:val="auto"/>
          <w:szCs w:val="21"/>
          <w:highlight w:val="none"/>
        </w:rPr>
        <w:t xml:space="preserve">  如果分部分项工程</w:t>
      </w:r>
      <w:r>
        <w:rPr>
          <w:rFonts w:hint="eastAsia"/>
          <w:color w:val="auto"/>
          <w:highlight w:val="none"/>
        </w:rPr>
        <w:t>和单价措施项目清单</w:t>
      </w:r>
      <w:r>
        <w:rPr>
          <w:rFonts w:hint="eastAsia" w:ascii="宋体" w:hAnsi="宋体"/>
          <w:color w:val="auto"/>
          <w:szCs w:val="21"/>
          <w:highlight w:val="none"/>
        </w:rPr>
        <w:t>中涉及“发包人提供的材料和工程设备一览表”</w:t>
      </w:r>
      <w:r>
        <w:rPr>
          <w:rFonts w:hint="eastAsia" w:ascii="黑体" w:hAnsi="宋体" w:eastAsia="黑体"/>
          <w:color w:val="auto"/>
          <w:sz w:val="24"/>
          <w:highlight w:val="none"/>
        </w:rPr>
        <w:t xml:space="preserve"> </w:t>
      </w:r>
      <w:r>
        <w:rPr>
          <w:rFonts w:hint="eastAsia"/>
          <w:color w:val="auto"/>
          <w:highlight w:val="none"/>
        </w:rPr>
        <w:t>列出的材料和工程设备。</w:t>
      </w:r>
    </w:p>
    <w:p w14:paraId="726C591F">
      <w:pPr>
        <w:spacing w:line="420" w:lineRule="exact"/>
        <w:ind w:left="769" w:leftChars="366"/>
        <w:rPr>
          <w:color w:val="auto"/>
          <w:highlight w:val="none"/>
        </w:rPr>
      </w:pPr>
      <w:r>
        <w:rPr>
          <w:rFonts w:hint="eastAsia" w:ascii="宋体" w:hAnsi="宋体"/>
          <w:color w:val="auto"/>
          <w:szCs w:val="21"/>
          <w:highlight w:val="none"/>
        </w:rPr>
        <w:t>采用一般计税方法的，甲供材不计入除税工程造价。</w:t>
      </w:r>
    </w:p>
    <w:p w14:paraId="13CF3C35">
      <w:pPr>
        <w:spacing w:line="420" w:lineRule="exact"/>
        <w:ind w:left="768" w:leftChars="350" w:hanging="33" w:hangingChars="16"/>
        <w:rPr>
          <w:color w:val="auto"/>
          <w:highlight w:val="none"/>
        </w:rPr>
      </w:pPr>
      <w:r>
        <w:rPr>
          <w:rFonts w:hint="eastAsia" w:ascii="宋体" w:hAnsi="宋体"/>
          <w:color w:val="auto"/>
          <w:szCs w:val="21"/>
          <w:highlight w:val="none"/>
        </w:rPr>
        <w:t>采用简易计税方法的，甲供材计入除税工程造价。</w:t>
      </w:r>
    </w:p>
    <w:p w14:paraId="13A54A68">
      <w:pPr>
        <w:spacing w:line="420" w:lineRule="exact"/>
        <w:ind w:left="769" w:hanging="768" w:hangingChars="366"/>
        <w:rPr>
          <w:color w:val="auto"/>
          <w:highlight w:val="none"/>
        </w:rPr>
      </w:pPr>
      <w:r>
        <w:rPr>
          <w:rFonts w:hint="eastAsia" w:ascii="黑体" w:hAnsi="宋体" w:eastAsia="黑体"/>
          <w:color w:val="auto"/>
          <w:szCs w:val="21"/>
          <w:highlight w:val="none"/>
        </w:rPr>
        <w:t>2.6.4</w:t>
      </w:r>
      <w:r>
        <w:rPr>
          <w:color w:val="auto"/>
          <w:highlight w:val="none"/>
        </w:rPr>
        <w:t xml:space="preserve">  </w:t>
      </w:r>
      <w:r>
        <w:rPr>
          <w:rFonts w:hint="eastAsia"/>
          <w:color w:val="auto"/>
          <w:highlight w:val="none"/>
        </w:rPr>
        <w:t>“分部分项工程和单价措施项目清单与计价表”所列各项目的综合单价组成中，各项目的人工、材料和机械台班消耗量由投标人按照其自身情况做充分的竞争性考虑。材料消耗量包括损耗量。</w:t>
      </w:r>
    </w:p>
    <w:p w14:paraId="5AFBD45C">
      <w:pPr>
        <w:spacing w:line="420" w:lineRule="exact"/>
        <w:ind w:left="769" w:hanging="768" w:hangingChars="366"/>
        <w:rPr>
          <w:color w:val="auto"/>
          <w:highlight w:val="none"/>
        </w:rPr>
      </w:pPr>
      <w:r>
        <w:rPr>
          <w:rFonts w:hint="eastAsia" w:ascii="黑体" w:hAnsi="宋体" w:eastAsia="黑体"/>
          <w:color w:val="auto"/>
          <w:szCs w:val="21"/>
          <w:highlight w:val="none"/>
        </w:rPr>
        <w:t>2.6.5</w:t>
      </w:r>
      <w:r>
        <w:rPr>
          <w:color w:val="auto"/>
          <w:highlight w:val="none"/>
        </w:rPr>
        <w:t xml:space="preserve">  </w:t>
      </w:r>
      <w:r>
        <w:rPr>
          <w:rFonts w:hint="eastAsia"/>
          <w:color w:val="auto"/>
          <w:highlight w:val="none"/>
        </w:rPr>
        <w:t>投标人在投标文件中提交并构成合同文件的“</w:t>
      </w:r>
      <w:r>
        <w:rPr>
          <w:rFonts w:hint="eastAsia" w:ascii="宋体" w:hAnsi="宋体"/>
          <w:color w:val="auto"/>
          <w:szCs w:val="21"/>
          <w:highlight w:val="none"/>
        </w:rPr>
        <w:t>承包人提供主要材料和工程设备一览表</w:t>
      </w:r>
      <w:r>
        <w:rPr>
          <w:rFonts w:hint="eastAsia"/>
          <w:color w:val="auto"/>
          <w:highlight w:val="none"/>
        </w:rPr>
        <w:t>”应符合下列要求。</w:t>
      </w:r>
    </w:p>
    <w:p w14:paraId="47F6669B">
      <w:pPr>
        <w:spacing w:line="420" w:lineRule="exact"/>
        <w:ind w:left="768" w:leftChars="350" w:hanging="33" w:hangingChars="16"/>
        <w:rPr>
          <w:color w:val="auto"/>
          <w:highlight w:val="none"/>
        </w:rPr>
      </w:pPr>
      <w:r>
        <w:rPr>
          <w:rFonts w:hint="eastAsia" w:ascii="宋体" w:hAnsi="宋体"/>
          <w:color w:val="auto"/>
          <w:szCs w:val="21"/>
          <w:highlight w:val="none"/>
        </w:rPr>
        <w:t>采用</w:t>
      </w:r>
      <w:r>
        <w:rPr>
          <w:rFonts w:hint="eastAsia"/>
          <w:color w:val="auto"/>
          <w:highlight w:val="none"/>
        </w:rPr>
        <w:t>一般计税</w:t>
      </w:r>
      <w:r>
        <w:rPr>
          <w:rFonts w:hint="eastAsia" w:ascii="宋体" w:hAnsi="宋体"/>
          <w:color w:val="auto"/>
          <w:szCs w:val="21"/>
          <w:highlight w:val="none"/>
        </w:rPr>
        <w:t>方</w:t>
      </w:r>
      <w:r>
        <w:rPr>
          <w:rFonts w:hint="eastAsia"/>
          <w:color w:val="auto"/>
          <w:highlight w:val="none"/>
        </w:rPr>
        <w:t>法的，进入综合单价的材料和工程设备的价格为除税价格。</w:t>
      </w:r>
    </w:p>
    <w:p w14:paraId="2B626EFA">
      <w:pPr>
        <w:spacing w:line="420" w:lineRule="exact"/>
        <w:ind w:left="768" w:leftChars="350" w:hanging="33" w:hangingChars="16"/>
        <w:rPr>
          <w:color w:val="auto"/>
          <w:highlight w:val="none"/>
          <w:bdr w:val="single" w:color="auto" w:sz="4" w:space="0"/>
        </w:rPr>
      </w:pPr>
      <w:r>
        <w:rPr>
          <w:rFonts w:hint="eastAsia" w:ascii="宋体" w:hAnsi="宋体"/>
          <w:color w:val="auto"/>
          <w:szCs w:val="21"/>
          <w:highlight w:val="none"/>
        </w:rPr>
        <w:t>采用</w:t>
      </w:r>
      <w:r>
        <w:rPr>
          <w:rFonts w:hint="eastAsia"/>
          <w:color w:val="auto"/>
          <w:highlight w:val="none"/>
        </w:rPr>
        <w:t>简易计税</w:t>
      </w:r>
      <w:r>
        <w:rPr>
          <w:rFonts w:hint="eastAsia" w:ascii="宋体" w:hAnsi="宋体"/>
          <w:color w:val="auto"/>
          <w:szCs w:val="21"/>
          <w:highlight w:val="none"/>
        </w:rPr>
        <w:t>方</w:t>
      </w:r>
      <w:r>
        <w:rPr>
          <w:rFonts w:hint="eastAsia"/>
          <w:color w:val="auto"/>
          <w:highlight w:val="none"/>
        </w:rPr>
        <w:t>法的，进入综合单价的材料和工程设备的价格为含税价格。</w:t>
      </w:r>
    </w:p>
    <w:p w14:paraId="08EF78B6">
      <w:pPr>
        <w:spacing w:line="420" w:lineRule="exact"/>
        <w:ind w:left="769" w:hanging="768" w:hangingChars="366"/>
        <w:rPr>
          <w:color w:val="auto"/>
          <w:highlight w:val="none"/>
        </w:rPr>
      </w:pPr>
      <w:r>
        <w:rPr>
          <w:rFonts w:hint="eastAsia" w:ascii="黑体" w:hAnsi="宋体" w:eastAsia="黑体"/>
          <w:color w:val="auto"/>
          <w:szCs w:val="21"/>
          <w:highlight w:val="none"/>
        </w:rPr>
        <w:t xml:space="preserve">2.6.6  </w:t>
      </w:r>
      <w:r>
        <w:rPr>
          <w:rFonts w:hint="eastAsia"/>
          <w:color w:val="auto"/>
          <w:highlight w:val="none"/>
        </w:rPr>
        <w:t>投标人应对每一个分部分项工程和单价措施项目编制“综合单价分析表”，并按分部分项工程和单价措施项目的顺序附在“分部分项工程和单价措施项目清单与计价表”之后，“综合单价分析表”中的综合单价应与“分部分项工程和单价措施项目清单与计价表”中相应的综合单价一致。</w:t>
      </w:r>
    </w:p>
    <w:p w14:paraId="0BDBF946">
      <w:pPr>
        <w:spacing w:line="380" w:lineRule="exact"/>
        <w:rPr>
          <w:color w:val="auto"/>
          <w:highlight w:val="none"/>
        </w:rPr>
      </w:pPr>
      <w:r>
        <w:rPr>
          <w:rFonts w:hint="eastAsia" w:ascii="黑体" w:hAnsi="宋体" w:eastAsia="黑体"/>
          <w:color w:val="auto"/>
          <w:szCs w:val="21"/>
          <w:highlight w:val="none"/>
        </w:rPr>
        <w:t>2.7</w:t>
      </w:r>
      <w:r>
        <w:rPr>
          <w:color w:val="auto"/>
          <w:highlight w:val="none"/>
        </w:rPr>
        <w:t xml:space="preserve">    </w:t>
      </w:r>
      <w:r>
        <w:rPr>
          <w:rFonts w:hint="eastAsia"/>
          <w:color w:val="auto"/>
          <w:highlight w:val="none"/>
        </w:rPr>
        <w:t>总价措施项目按下列要求报价：</w:t>
      </w:r>
    </w:p>
    <w:p w14:paraId="6AAABF38">
      <w:pPr>
        <w:spacing w:line="420" w:lineRule="exact"/>
        <w:ind w:left="769" w:hanging="768" w:hangingChars="366"/>
        <w:rPr>
          <w:color w:val="auto"/>
          <w:highlight w:val="none"/>
        </w:rPr>
      </w:pPr>
      <w:r>
        <w:rPr>
          <w:rFonts w:hint="eastAsia" w:ascii="黑体" w:hAnsi="宋体" w:eastAsia="黑体"/>
          <w:color w:val="auto"/>
          <w:szCs w:val="21"/>
          <w:highlight w:val="none"/>
        </w:rPr>
        <w:t>2.7.1</w:t>
      </w:r>
      <w:r>
        <w:rPr>
          <w:color w:val="auto"/>
          <w:highlight w:val="none"/>
        </w:rPr>
        <w:t xml:space="preserve">  </w:t>
      </w:r>
      <w:r>
        <w:rPr>
          <w:rFonts w:hint="eastAsia"/>
          <w:color w:val="auto"/>
          <w:highlight w:val="none"/>
        </w:rPr>
        <w:t>总价措施项目应根据招标文件及投标时拟定的施工组织设计或施工方案，以</w:t>
      </w:r>
      <w:r>
        <w:rPr>
          <w:color w:val="auto"/>
          <w:highlight w:val="none"/>
        </w:rPr>
        <w:t>“</w:t>
      </w:r>
      <w:r>
        <w:rPr>
          <w:rFonts w:hint="eastAsia"/>
          <w:color w:val="auto"/>
          <w:highlight w:val="none"/>
        </w:rPr>
        <w:t>项</w:t>
      </w:r>
      <w:r>
        <w:rPr>
          <w:color w:val="auto"/>
          <w:highlight w:val="none"/>
        </w:rPr>
        <w:t>”</w:t>
      </w:r>
      <w:r>
        <w:rPr>
          <w:rFonts w:hint="eastAsia"/>
          <w:color w:val="auto"/>
          <w:highlight w:val="none"/>
        </w:rPr>
        <w:t>为单位自主确定价格</w:t>
      </w:r>
      <w:r>
        <w:rPr>
          <w:rFonts w:hint="eastAsia" w:ascii="宋体" w:hAnsi="宋体" w:cs="宋体"/>
          <w:color w:val="auto"/>
          <w:kern w:val="0"/>
          <w:sz w:val="19"/>
          <w:szCs w:val="19"/>
          <w:highlight w:val="none"/>
        </w:rPr>
        <w:t>。</w:t>
      </w:r>
      <w:r>
        <w:rPr>
          <w:rFonts w:hint="eastAsia"/>
          <w:color w:val="auto"/>
          <w:highlight w:val="none"/>
        </w:rPr>
        <w:t>投标人所填报价格应包括除规费、税金外的全部费用。</w:t>
      </w:r>
    </w:p>
    <w:p w14:paraId="7260FFED">
      <w:pPr>
        <w:spacing w:line="420" w:lineRule="exact"/>
        <w:ind w:left="769" w:hanging="768" w:hangingChars="366"/>
        <w:rPr>
          <w:color w:val="auto"/>
          <w:highlight w:val="none"/>
        </w:rPr>
      </w:pPr>
      <w:r>
        <w:rPr>
          <w:rFonts w:hint="eastAsia" w:ascii="黑体" w:hAnsi="宋体" w:eastAsia="黑体"/>
          <w:color w:val="auto"/>
          <w:szCs w:val="21"/>
          <w:highlight w:val="none"/>
        </w:rPr>
        <w:t>2.7.2</w:t>
      </w:r>
      <w:r>
        <w:rPr>
          <w:color w:val="auto"/>
          <w:highlight w:val="none"/>
        </w:rPr>
        <w:t xml:space="preserve">  </w:t>
      </w:r>
      <w:r>
        <w:rPr>
          <w:rFonts w:hint="eastAsia"/>
          <w:color w:val="auto"/>
          <w:highlight w:val="none"/>
        </w:rPr>
        <w:t>总价措施项目清单中的安全文明施工费必须按国家或省级、行业建设主管部门的规定计算，不得作为竞争性费用。</w:t>
      </w:r>
    </w:p>
    <w:p w14:paraId="7D5B2D06">
      <w:pPr>
        <w:spacing w:line="420" w:lineRule="exact"/>
        <w:ind w:left="769" w:hanging="768" w:hangingChars="366"/>
        <w:rPr>
          <w:color w:val="auto"/>
          <w:highlight w:val="none"/>
        </w:rPr>
      </w:pPr>
      <w:r>
        <w:rPr>
          <w:rFonts w:hint="eastAsia" w:ascii="黑体" w:hAnsi="宋体" w:eastAsia="黑体"/>
          <w:color w:val="auto"/>
          <w:szCs w:val="21"/>
          <w:highlight w:val="none"/>
        </w:rPr>
        <w:t>2.7.3</w:t>
      </w:r>
      <w:r>
        <w:rPr>
          <w:color w:val="auto"/>
          <w:highlight w:val="none"/>
        </w:rPr>
        <w:t xml:space="preserve">  </w:t>
      </w:r>
      <w:r>
        <w:rPr>
          <w:rFonts w:hint="eastAsia"/>
          <w:color w:val="auto"/>
          <w:highlight w:val="none"/>
        </w:rPr>
        <w:t>“总价措施项目清单与计价表”中所填写的报价金额，应全面涵盖招标文件约定的投标人中标后施工、竣工、交付本工程并维修其任何缺陷所需要履行的责任和义务的全部费用。</w:t>
      </w:r>
    </w:p>
    <w:p w14:paraId="606E6A48">
      <w:pPr>
        <w:spacing w:line="380" w:lineRule="exact"/>
        <w:rPr>
          <w:color w:val="auto"/>
          <w:highlight w:val="none"/>
        </w:rPr>
      </w:pPr>
      <w:r>
        <w:rPr>
          <w:rFonts w:hint="eastAsia" w:ascii="黑体" w:hAnsi="宋体" w:eastAsia="黑体"/>
          <w:color w:val="auto"/>
          <w:szCs w:val="21"/>
          <w:highlight w:val="none"/>
        </w:rPr>
        <w:t>2.8</w:t>
      </w:r>
      <w:r>
        <w:rPr>
          <w:color w:val="auto"/>
          <w:highlight w:val="none"/>
        </w:rPr>
        <w:t xml:space="preserve">    </w:t>
      </w:r>
      <w:r>
        <w:rPr>
          <w:rFonts w:hint="eastAsia"/>
          <w:color w:val="auto"/>
          <w:highlight w:val="none"/>
        </w:rPr>
        <w:t>其他项目应按下列规定报价：</w:t>
      </w:r>
    </w:p>
    <w:p w14:paraId="31B1592C">
      <w:pPr>
        <w:spacing w:line="420" w:lineRule="exact"/>
        <w:ind w:left="718" w:leftChars="2" w:hanging="714" w:hangingChars="340"/>
        <w:rPr>
          <w:color w:val="auto"/>
          <w:highlight w:val="none"/>
        </w:rPr>
      </w:pPr>
      <w:r>
        <w:rPr>
          <w:rFonts w:hint="eastAsia" w:ascii="黑体" w:hAnsi="宋体" w:eastAsia="黑体"/>
          <w:color w:val="auto"/>
          <w:szCs w:val="21"/>
          <w:highlight w:val="none"/>
        </w:rPr>
        <w:t>2.8.1</w:t>
      </w:r>
      <w:r>
        <w:rPr>
          <w:color w:val="auto"/>
          <w:highlight w:val="none"/>
        </w:rPr>
        <w:t xml:space="preserve">  </w:t>
      </w:r>
      <w:r>
        <w:rPr>
          <w:rFonts w:hint="eastAsia"/>
          <w:color w:val="auto"/>
          <w:highlight w:val="none"/>
        </w:rPr>
        <w:t>暂列金额应按招标工程量清单“暂列金额明细表”中列出的金额填写，不得变动。</w:t>
      </w:r>
    </w:p>
    <w:p w14:paraId="5E7F51DE">
      <w:pPr>
        <w:spacing w:line="420" w:lineRule="exact"/>
        <w:ind w:left="718" w:leftChars="2" w:hanging="714" w:hangingChars="340"/>
        <w:rPr>
          <w:color w:val="auto"/>
          <w:highlight w:val="none"/>
        </w:rPr>
      </w:pPr>
      <w:r>
        <w:rPr>
          <w:rFonts w:hint="eastAsia" w:ascii="黑体" w:hAnsi="宋体" w:eastAsia="黑体"/>
          <w:color w:val="auto"/>
          <w:szCs w:val="21"/>
          <w:highlight w:val="none"/>
        </w:rPr>
        <w:t>2.8.2</w:t>
      </w:r>
      <w:r>
        <w:rPr>
          <w:color w:val="auto"/>
          <w:highlight w:val="none"/>
        </w:rPr>
        <w:t xml:space="preserve">  </w:t>
      </w:r>
      <w:r>
        <w:rPr>
          <w:rFonts w:hint="eastAsia"/>
          <w:color w:val="auto"/>
          <w:highlight w:val="none"/>
        </w:rPr>
        <w:t>暂估价分为材料（工程设备）暂估单价和专业工程暂估价两类。其中材料、工程设备暂估单价应按招标工程量清单“材料（工程设备）暂估单价表”中列出的单价和本节第</w:t>
      </w:r>
      <w:r>
        <w:rPr>
          <w:color w:val="auto"/>
          <w:highlight w:val="none"/>
        </w:rPr>
        <w:t>3.3.2</w:t>
      </w:r>
      <w:r>
        <w:rPr>
          <w:rFonts w:hint="eastAsia"/>
          <w:color w:val="auto"/>
          <w:highlight w:val="none"/>
        </w:rPr>
        <w:t>项的报价原则进入分部分项工程和单价措施项目清单之综合单价，不得变动，不在“其他项目清单与计价汇总表”中汇总</w:t>
      </w:r>
      <w:r>
        <w:rPr>
          <w:rFonts w:hint="eastAsia" w:ascii="宋体" w:hAnsi="宋体"/>
          <w:color w:val="auto"/>
          <w:szCs w:val="21"/>
          <w:highlight w:val="none"/>
        </w:rPr>
        <w:t>；</w:t>
      </w:r>
      <w:r>
        <w:rPr>
          <w:rFonts w:hint="eastAsia"/>
          <w:color w:val="auto"/>
          <w:highlight w:val="none"/>
        </w:rPr>
        <w:t>专业工程暂估价应按招标工程量清单</w:t>
      </w:r>
      <w:r>
        <w:rPr>
          <w:color w:val="auto"/>
          <w:highlight w:val="none"/>
        </w:rPr>
        <w:t xml:space="preserve"> </w:t>
      </w:r>
      <w:r>
        <w:rPr>
          <w:rFonts w:hint="eastAsia"/>
          <w:color w:val="auto"/>
          <w:highlight w:val="none"/>
        </w:rPr>
        <w:t>“专业工程暂估价表”中列出的金额和本节第</w:t>
      </w:r>
      <w:r>
        <w:rPr>
          <w:color w:val="auto"/>
          <w:highlight w:val="none"/>
        </w:rPr>
        <w:t>3.3.3</w:t>
      </w:r>
      <w:r>
        <w:rPr>
          <w:rFonts w:hint="eastAsia"/>
          <w:color w:val="auto"/>
          <w:highlight w:val="none"/>
        </w:rPr>
        <w:t>项的报价原则计入其他项目清单报价，不得变动。</w:t>
      </w:r>
    </w:p>
    <w:p w14:paraId="727B8757">
      <w:pPr>
        <w:spacing w:line="420" w:lineRule="exact"/>
        <w:ind w:left="741" w:leftChars="2" w:hanging="737" w:hangingChars="351"/>
        <w:rPr>
          <w:color w:val="auto"/>
          <w:highlight w:val="none"/>
        </w:rPr>
      </w:pPr>
      <w:r>
        <w:rPr>
          <w:rFonts w:hint="eastAsia" w:ascii="黑体" w:hAnsi="宋体" w:eastAsia="黑体"/>
          <w:color w:val="auto"/>
          <w:szCs w:val="21"/>
          <w:highlight w:val="none"/>
        </w:rPr>
        <w:t>2.8.3</w:t>
      </w:r>
      <w:r>
        <w:rPr>
          <w:color w:val="auto"/>
          <w:highlight w:val="none"/>
        </w:rPr>
        <w:t xml:space="preserve">  </w:t>
      </w:r>
      <w:r>
        <w:rPr>
          <w:rFonts w:hint="eastAsia"/>
          <w:color w:val="auto"/>
          <w:highlight w:val="none"/>
        </w:rPr>
        <w:t>计日工应按招标工程量清单“计日工表”中列出的项目和数量，自主确定单价并计取企业管理费与利润。计日工单价不包括规费和税金。</w:t>
      </w:r>
    </w:p>
    <w:p w14:paraId="22D752D8">
      <w:pPr>
        <w:spacing w:line="420" w:lineRule="exact"/>
        <w:ind w:left="634" w:leftChars="302" w:firstLine="105" w:firstLineChars="50"/>
        <w:rPr>
          <w:color w:val="auto"/>
          <w:highlight w:val="none"/>
        </w:rPr>
      </w:pPr>
      <w:r>
        <w:rPr>
          <w:rFonts w:hint="eastAsia" w:ascii="宋体" w:hAnsi="宋体"/>
          <w:color w:val="auto"/>
          <w:szCs w:val="21"/>
          <w:highlight w:val="none"/>
        </w:rPr>
        <w:t>采用</w:t>
      </w:r>
      <w:r>
        <w:rPr>
          <w:rFonts w:hint="eastAsia"/>
          <w:color w:val="auto"/>
          <w:highlight w:val="none"/>
        </w:rPr>
        <w:t>一般计税方法的</w:t>
      </w:r>
      <w:r>
        <w:rPr>
          <w:rFonts w:hint="eastAsia" w:ascii="宋体" w:hAnsi="宋体"/>
          <w:color w:val="auto"/>
          <w:szCs w:val="21"/>
          <w:highlight w:val="none"/>
        </w:rPr>
        <w:t>，</w:t>
      </w:r>
      <w:r>
        <w:rPr>
          <w:rFonts w:hint="eastAsia"/>
          <w:color w:val="auto"/>
          <w:highlight w:val="none"/>
        </w:rPr>
        <w:t>计日工费用组成中的材料和机械的单价为除税价格。</w:t>
      </w:r>
    </w:p>
    <w:p w14:paraId="24A9E3BB">
      <w:pPr>
        <w:spacing w:line="420" w:lineRule="exact"/>
        <w:ind w:left="634" w:leftChars="302" w:firstLine="105" w:firstLineChars="50"/>
        <w:rPr>
          <w:color w:val="auto"/>
          <w:highlight w:val="none"/>
        </w:rPr>
      </w:pPr>
      <w:r>
        <w:rPr>
          <w:rFonts w:hint="eastAsia" w:ascii="宋体" w:hAnsi="宋体"/>
          <w:color w:val="auto"/>
          <w:szCs w:val="21"/>
          <w:highlight w:val="none"/>
        </w:rPr>
        <w:t>采用</w:t>
      </w:r>
      <w:r>
        <w:rPr>
          <w:rFonts w:hint="eastAsia"/>
          <w:color w:val="auto"/>
          <w:highlight w:val="none"/>
        </w:rPr>
        <w:t>简易计税</w:t>
      </w:r>
      <w:r>
        <w:rPr>
          <w:rFonts w:hint="eastAsia" w:ascii="宋体" w:hAnsi="宋体"/>
          <w:color w:val="auto"/>
          <w:szCs w:val="21"/>
          <w:highlight w:val="none"/>
        </w:rPr>
        <w:t>方</w:t>
      </w:r>
      <w:r>
        <w:rPr>
          <w:rFonts w:hint="eastAsia"/>
          <w:color w:val="auto"/>
          <w:highlight w:val="none"/>
        </w:rPr>
        <w:t>法的，计日工费用组成中的材料和机械的单价为含税价格。</w:t>
      </w:r>
    </w:p>
    <w:p w14:paraId="73AF8B26">
      <w:pPr>
        <w:numPr>
          <w:ilvl w:val="2"/>
          <w:numId w:val="4"/>
        </w:numPr>
        <w:spacing w:line="420" w:lineRule="exact"/>
        <w:rPr>
          <w:color w:val="auto"/>
          <w:highlight w:val="none"/>
        </w:rPr>
      </w:pPr>
      <w:r>
        <w:rPr>
          <w:rFonts w:hint="eastAsia"/>
          <w:color w:val="auto"/>
          <w:highlight w:val="none"/>
        </w:rPr>
        <w:t>总承包服务费应按招标工程量清单“总承包服务费计价表”中列出的内容和提出的要求自主报价。</w:t>
      </w:r>
    </w:p>
    <w:p w14:paraId="1A3F8FA5">
      <w:pPr>
        <w:spacing w:line="420" w:lineRule="exact"/>
        <w:ind w:left="724"/>
        <w:rPr>
          <w:rFonts w:ascii="宋体" w:hAnsi="宋体"/>
          <w:color w:val="auto"/>
          <w:highlight w:val="none"/>
        </w:rPr>
      </w:pPr>
      <w:r>
        <w:rPr>
          <w:rFonts w:hint="eastAsia" w:ascii="宋体" w:hAnsi="宋体"/>
          <w:color w:val="auto"/>
          <w:highlight w:val="none"/>
        </w:rPr>
        <w:t>采用一般计税方法的，总承包服务费的项目价值为除税价格。项目费率在原费率的基础上可作适度上浮。</w:t>
      </w:r>
    </w:p>
    <w:p w14:paraId="3BD0BE8E">
      <w:pPr>
        <w:spacing w:line="420" w:lineRule="exact"/>
        <w:ind w:left="724"/>
        <w:rPr>
          <w:rFonts w:hint="eastAsia" w:ascii="Times New Roman" w:hAnsi="Times New Roman"/>
          <w:color w:val="auto"/>
          <w:highlight w:val="none"/>
        </w:rPr>
      </w:pPr>
      <w:r>
        <w:rPr>
          <w:rFonts w:hint="eastAsia" w:ascii="宋体" w:hAnsi="宋体"/>
          <w:color w:val="auto"/>
          <w:szCs w:val="21"/>
          <w:highlight w:val="none"/>
        </w:rPr>
        <w:t>采用</w:t>
      </w:r>
      <w:r>
        <w:rPr>
          <w:rFonts w:hint="eastAsia"/>
          <w:color w:val="auto"/>
          <w:highlight w:val="none"/>
        </w:rPr>
        <w:t>简易计税</w:t>
      </w:r>
      <w:r>
        <w:rPr>
          <w:rFonts w:hint="eastAsia" w:ascii="宋体" w:hAnsi="宋体"/>
          <w:color w:val="auto"/>
          <w:szCs w:val="21"/>
          <w:highlight w:val="none"/>
        </w:rPr>
        <w:t>方</w:t>
      </w:r>
      <w:r>
        <w:rPr>
          <w:rFonts w:hint="eastAsia"/>
          <w:color w:val="auto"/>
          <w:highlight w:val="none"/>
        </w:rPr>
        <w:t>法的，</w:t>
      </w:r>
      <w:r>
        <w:rPr>
          <w:rFonts w:hint="eastAsia" w:ascii="宋体" w:hAnsi="宋体"/>
          <w:color w:val="auto"/>
          <w:highlight w:val="none"/>
        </w:rPr>
        <w:t>总承包服务费的项目价值为含税价格。</w:t>
      </w:r>
    </w:p>
    <w:p w14:paraId="35B3F925">
      <w:pPr>
        <w:spacing w:line="420" w:lineRule="exact"/>
        <w:ind w:left="642" w:leftChars="2" w:hanging="638" w:hangingChars="304"/>
        <w:rPr>
          <w:color w:val="auto"/>
          <w:highlight w:val="none"/>
        </w:rPr>
      </w:pPr>
      <w:r>
        <w:rPr>
          <w:rFonts w:hint="eastAsia" w:ascii="黑体" w:hAnsi="宋体" w:eastAsia="黑体"/>
          <w:color w:val="auto"/>
          <w:szCs w:val="21"/>
          <w:highlight w:val="none"/>
        </w:rPr>
        <w:t>2.9</w:t>
      </w:r>
      <w:r>
        <w:rPr>
          <w:color w:val="auto"/>
          <w:highlight w:val="none"/>
        </w:rPr>
        <w:t xml:space="preserve">   </w:t>
      </w:r>
      <w:r>
        <w:rPr>
          <w:rFonts w:hint="eastAsia"/>
          <w:color w:val="auto"/>
          <w:highlight w:val="none"/>
        </w:rPr>
        <w:t>规费和税金项目按下列要求报价：</w:t>
      </w:r>
    </w:p>
    <w:p w14:paraId="566C6626">
      <w:pPr>
        <w:spacing w:line="420" w:lineRule="exact"/>
        <w:ind w:left="634" w:leftChars="302"/>
        <w:rPr>
          <w:color w:val="auto"/>
          <w:highlight w:val="none"/>
        </w:rPr>
      </w:pPr>
      <w:r>
        <w:rPr>
          <w:rFonts w:hint="eastAsia"/>
          <w:color w:val="auto"/>
          <w:highlight w:val="none"/>
        </w:rPr>
        <w:t>规费和税金必须按国家或省级、行业建设主管部门的规定计算，不得作为竞争性费用。</w:t>
      </w:r>
    </w:p>
    <w:p w14:paraId="5A57C12C">
      <w:pPr>
        <w:spacing w:line="420" w:lineRule="exact"/>
        <w:ind w:left="642" w:leftChars="2" w:hanging="638" w:hangingChars="304"/>
        <w:rPr>
          <w:color w:val="auto"/>
          <w:highlight w:val="none"/>
        </w:rPr>
      </w:pPr>
      <w:r>
        <w:rPr>
          <w:rFonts w:hint="eastAsia" w:ascii="黑体" w:hAnsi="宋体" w:eastAsia="黑体"/>
          <w:color w:val="auto"/>
          <w:szCs w:val="21"/>
          <w:highlight w:val="none"/>
        </w:rPr>
        <w:t>2.10</w:t>
      </w:r>
      <w:r>
        <w:rPr>
          <w:rFonts w:hint="eastAsia" w:ascii="宋体" w:hAnsi="宋体"/>
          <w:color w:val="auto"/>
          <w:szCs w:val="21"/>
          <w:highlight w:val="none"/>
        </w:rPr>
        <w:t xml:space="preserve">  除招标文件有强制性规定以及不可竞争部分以外，投标报价由投标人自主确定，但不</w:t>
      </w:r>
      <w:r>
        <w:rPr>
          <w:rFonts w:hint="eastAsia"/>
          <w:color w:val="auto"/>
          <w:highlight w:val="none"/>
        </w:rPr>
        <w:t>得低于其工程成本。</w:t>
      </w:r>
    </w:p>
    <w:p w14:paraId="4DB3EF56">
      <w:pPr>
        <w:spacing w:line="420" w:lineRule="exact"/>
        <w:ind w:left="627" w:leftChars="1" w:hanging="625" w:hangingChars="298"/>
        <w:rPr>
          <w:color w:val="auto"/>
          <w:highlight w:val="none"/>
        </w:rPr>
      </w:pPr>
      <w:r>
        <w:rPr>
          <w:rFonts w:hint="eastAsia" w:ascii="黑体" w:hAnsi="宋体" w:eastAsia="黑体"/>
          <w:color w:val="auto"/>
          <w:highlight w:val="none"/>
        </w:rPr>
        <w:t>2.11</w:t>
      </w:r>
      <w:r>
        <w:rPr>
          <w:color w:val="auto"/>
          <w:highlight w:val="none"/>
        </w:rPr>
        <w:t xml:space="preserve">  </w:t>
      </w:r>
      <w:r>
        <w:rPr>
          <w:rFonts w:hint="eastAsia"/>
          <w:color w:val="auto"/>
          <w:highlight w:val="none"/>
        </w:rPr>
        <w:t>工程量清单计价所涉及的生产资源</w:t>
      </w:r>
      <w:r>
        <w:rPr>
          <w:color w:val="auto"/>
          <w:highlight w:val="none"/>
        </w:rPr>
        <w:t>(</w:t>
      </w:r>
      <w:r>
        <w:rPr>
          <w:rFonts w:hint="eastAsia"/>
          <w:color w:val="auto"/>
          <w:highlight w:val="none"/>
        </w:rPr>
        <w:t>包括各类人工、材料、工程设备、施工设备、临时设施、临时用水、临时用电等</w:t>
      </w:r>
      <w:r>
        <w:rPr>
          <w:color w:val="auto"/>
          <w:highlight w:val="none"/>
        </w:rPr>
        <w:t>)</w:t>
      </w:r>
      <w:r>
        <w:rPr>
          <w:rFonts w:hint="eastAsia"/>
          <w:color w:val="auto"/>
          <w:highlight w:val="none"/>
        </w:rPr>
        <w:t>的投标价格，应根据自身的信息渠道和采购渠道，分析其市场价格水平并判断其整个施工周期内的变化趋势，体现投标人自身的管理水平、技术水平和综合实力。</w:t>
      </w:r>
    </w:p>
    <w:p w14:paraId="55D41EA6">
      <w:pPr>
        <w:spacing w:line="420" w:lineRule="exact"/>
        <w:ind w:left="657" w:leftChars="2" w:hanging="653" w:hangingChars="311"/>
        <w:rPr>
          <w:color w:val="auto"/>
          <w:highlight w:val="none"/>
        </w:rPr>
      </w:pPr>
      <w:r>
        <w:rPr>
          <w:rFonts w:hint="eastAsia" w:ascii="黑体" w:hAnsi="宋体" w:eastAsia="黑体"/>
          <w:color w:val="auto"/>
          <w:highlight w:val="none"/>
        </w:rPr>
        <w:t>2.12</w:t>
      </w:r>
      <w:r>
        <w:rPr>
          <w:color w:val="auto"/>
          <w:highlight w:val="none"/>
        </w:rPr>
        <w:t xml:space="preserve">  </w:t>
      </w:r>
      <w:r>
        <w:rPr>
          <w:rFonts w:hint="eastAsia"/>
          <w:color w:val="auto"/>
          <w:highlight w:val="none"/>
        </w:rPr>
        <w:t>企业管理费应由投标人在保证不低于其成本的基础上合理报价；利润由投标人根据自身情况和综合实力合理报价。</w:t>
      </w:r>
    </w:p>
    <w:p w14:paraId="19DD5C06">
      <w:pPr>
        <w:spacing w:line="380" w:lineRule="exact"/>
        <w:rPr>
          <w:color w:val="auto"/>
          <w:highlight w:val="none"/>
        </w:rPr>
      </w:pPr>
      <w:r>
        <w:rPr>
          <w:rFonts w:hint="eastAsia" w:ascii="黑体" w:eastAsia="黑体"/>
          <w:color w:val="auto"/>
          <w:highlight w:val="none"/>
        </w:rPr>
        <w:t>2.13</w:t>
      </w:r>
      <w:r>
        <w:rPr>
          <w:color w:val="auto"/>
          <w:highlight w:val="none"/>
        </w:rPr>
        <w:t xml:space="preserve">  </w:t>
      </w:r>
      <w:r>
        <w:rPr>
          <w:rFonts w:hint="eastAsia"/>
          <w:color w:val="auto"/>
          <w:highlight w:val="none"/>
        </w:rPr>
        <w:t>投标报价中应考虑招标文件中要求投标人承担的风险范围以及相关的费用。</w:t>
      </w:r>
    </w:p>
    <w:p w14:paraId="693A0907">
      <w:pPr>
        <w:spacing w:line="420" w:lineRule="exact"/>
        <w:ind w:left="684" w:leftChars="2" w:hanging="680" w:hangingChars="324"/>
        <w:rPr>
          <w:color w:val="auto"/>
          <w:highlight w:val="none"/>
        </w:rPr>
      </w:pPr>
      <w:r>
        <w:rPr>
          <w:rFonts w:hint="eastAsia" w:ascii="黑体" w:eastAsia="黑体"/>
          <w:color w:val="auto"/>
          <w:highlight w:val="none"/>
        </w:rPr>
        <w:t>2.14</w:t>
      </w:r>
      <w:r>
        <w:rPr>
          <w:color w:val="auto"/>
          <w:highlight w:val="none"/>
        </w:rPr>
        <w:t xml:space="preserve">  </w:t>
      </w:r>
      <w:r>
        <w:rPr>
          <w:rFonts w:hint="eastAsia"/>
          <w:color w:val="auto"/>
          <w:highlight w:val="none"/>
        </w:rPr>
        <w:t>投标总价为投标人在投标文件中提出的各项支付金额的总和，为实施、完成招标工程并修补缺陷以及履行招标文件中约定的风险范围内的所有责任和义务所发生的全部费用。</w:t>
      </w:r>
    </w:p>
    <w:p w14:paraId="6BA34BA5">
      <w:pPr>
        <w:spacing w:line="380" w:lineRule="exact"/>
        <w:rPr>
          <w:color w:val="auto"/>
          <w:highlight w:val="none"/>
        </w:rPr>
      </w:pPr>
      <w:r>
        <w:rPr>
          <w:rFonts w:hint="eastAsia" w:ascii="黑体" w:eastAsia="黑体"/>
          <w:color w:val="auto"/>
          <w:highlight w:val="none"/>
        </w:rPr>
        <w:t>2.15</w:t>
      </w:r>
      <w:r>
        <w:rPr>
          <w:color w:val="auto"/>
          <w:highlight w:val="none"/>
        </w:rPr>
        <w:t xml:space="preserve">  </w:t>
      </w:r>
      <w:r>
        <w:rPr>
          <w:rFonts w:hint="eastAsia"/>
          <w:color w:val="auto"/>
          <w:highlight w:val="none"/>
        </w:rPr>
        <w:t>有关投标报价的其他说明：</w:t>
      </w:r>
    </w:p>
    <w:p w14:paraId="117150F5">
      <w:pPr>
        <w:adjustRightInd w:val="0"/>
        <w:spacing w:line="380" w:lineRule="exact"/>
        <w:ind w:firstLine="420" w:firstLineChars="200"/>
        <w:rPr>
          <w:color w:val="auto"/>
          <w:highlight w:val="none"/>
          <w:u w:val="single"/>
        </w:rPr>
      </w:pPr>
      <w:r>
        <w:rPr>
          <w:color w:val="auto"/>
          <w:highlight w:val="none"/>
          <w:u w:val="single"/>
        </w:rPr>
        <w:t xml:space="preserve">                                                                           </w:t>
      </w:r>
    </w:p>
    <w:p w14:paraId="179A272D">
      <w:pPr>
        <w:pStyle w:val="31"/>
        <w:rPr>
          <w:color w:val="auto"/>
          <w:sz w:val="24"/>
          <w:szCs w:val="24"/>
          <w:highlight w:val="none"/>
        </w:rPr>
      </w:pPr>
      <w:bookmarkStart w:id="2295" w:name="_Toc15301"/>
      <w:bookmarkStart w:id="2296" w:name="_Toc521075236"/>
      <w:bookmarkStart w:id="2297" w:name="_Toc521075661"/>
      <w:r>
        <w:rPr>
          <w:color w:val="auto"/>
          <w:sz w:val="24"/>
          <w:szCs w:val="24"/>
          <w:highlight w:val="none"/>
        </w:rPr>
        <w:t>3</w:t>
      </w:r>
      <w:r>
        <w:rPr>
          <w:rFonts w:hint="eastAsia"/>
          <w:color w:val="auto"/>
          <w:sz w:val="24"/>
          <w:szCs w:val="24"/>
          <w:highlight w:val="none"/>
        </w:rPr>
        <w:t>、其他说明</w:t>
      </w:r>
      <w:bookmarkEnd w:id="2295"/>
      <w:bookmarkEnd w:id="2296"/>
      <w:bookmarkEnd w:id="2297"/>
    </w:p>
    <w:p w14:paraId="57B6F3DA">
      <w:pPr>
        <w:spacing w:after="120" w:afterLines="50" w:line="380" w:lineRule="exact"/>
        <w:rPr>
          <w:rFonts w:ascii="黑体" w:eastAsia="黑体"/>
          <w:color w:val="auto"/>
          <w:szCs w:val="24"/>
          <w:highlight w:val="none"/>
        </w:rPr>
      </w:pPr>
      <w:r>
        <w:rPr>
          <w:rFonts w:hint="eastAsia" w:ascii="黑体" w:eastAsia="黑体"/>
          <w:color w:val="auto"/>
          <w:highlight w:val="none"/>
        </w:rPr>
        <w:t>3.1词语和定义</w:t>
      </w:r>
    </w:p>
    <w:p w14:paraId="466D29FD">
      <w:pPr>
        <w:spacing w:before="24" w:beforeLines="10" w:after="48" w:afterLines="20" w:line="380" w:lineRule="exact"/>
        <w:rPr>
          <w:rFonts w:hint="eastAsia" w:ascii="Times New Roman"/>
          <w:b/>
          <w:color w:val="auto"/>
          <w:highlight w:val="none"/>
        </w:rPr>
      </w:pPr>
      <w:r>
        <w:rPr>
          <w:rFonts w:hint="eastAsia" w:ascii="黑体" w:eastAsia="黑体"/>
          <w:color w:val="auto"/>
          <w:highlight w:val="none"/>
        </w:rPr>
        <w:t>3.1.1</w:t>
      </w:r>
      <w:r>
        <w:rPr>
          <w:color w:val="auto"/>
          <w:highlight w:val="none"/>
        </w:rPr>
        <w:t xml:space="preserve">  </w:t>
      </w:r>
      <w:r>
        <w:rPr>
          <w:rFonts w:hint="eastAsia"/>
          <w:b/>
          <w:color w:val="auto"/>
          <w:highlight w:val="none"/>
        </w:rPr>
        <w:t>工程量清单</w:t>
      </w:r>
    </w:p>
    <w:p w14:paraId="470C92F6">
      <w:pPr>
        <w:spacing w:line="380" w:lineRule="exact"/>
        <w:ind w:left="735" w:leftChars="350"/>
        <w:rPr>
          <w:color w:val="auto"/>
          <w:highlight w:val="none"/>
        </w:rPr>
      </w:pPr>
      <w:r>
        <w:rPr>
          <w:rFonts w:hint="eastAsia"/>
          <w:color w:val="auto"/>
          <w:highlight w:val="none"/>
        </w:rPr>
        <w:t>是表现建设工程分部分项工程项目、措施项目、其他项目的名称和相应数量以及规费和税金项目等内容的明细清单。</w:t>
      </w:r>
    </w:p>
    <w:p w14:paraId="6589F3D7">
      <w:pPr>
        <w:spacing w:line="420" w:lineRule="exact"/>
        <w:ind w:left="735" w:hanging="735" w:hangingChars="350"/>
        <w:rPr>
          <w:color w:val="auto"/>
          <w:highlight w:val="none"/>
        </w:rPr>
      </w:pPr>
      <w:r>
        <w:rPr>
          <w:rFonts w:hint="eastAsia" w:ascii="黑体" w:eastAsia="黑体"/>
          <w:color w:val="auto"/>
          <w:highlight w:val="none"/>
        </w:rPr>
        <w:t xml:space="preserve">3.1.2 </w:t>
      </w:r>
      <w:r>
        <w:rPr>
          <w:rFonts w:hint="eastAsia" w:ascii="黑体" w:eastAsia="黑体"/>
          <w:b/>
          <w:color w:val="auto"/>
          <w:highlight w:val="none"/>
        </w:rPr>
        <w:t xml:space="preserve"> </w:t>
      </w:r>
      <w:r>
        <w:rPr>
          <w:rFonts w:hint="eastAsia"/>
          <w:b/>
          <w:color w:val="auto"/>
          <w:highlight w:val="none"/>
        </w:rPr>
        <w:t>招标工程量清单</w:t>
      </w:r>
    </w:p>
    <w:p w14:paraId="68AB41B1">
      <w:pPr>
        <w:spacing w:line="420" w:lineRule="exact"/>
        <w:ind w:left="735" w:leftChars="350"/>
        <w:rPr>
          <w:color w:val="auto"/>
          <w:highlight w:val="none"/>
        </w:rPr>
      </w:pPr>
      <w:r>
        <w:rPr>
          <w:rFonts w:hint="eastAsia"/>
          <w:color w:val="auto"/>
          <w:highlight w:val="none"/>
        </w:rPr>
        <w:t>是招标人依据国家标准、招标文件、设计文件以及施工现场实际情况编制的，随招标文件发布供投标报价的工程量清单，包括其说明和表格，同时也是编制招标控制价的依据之一。</w:t>
      </w:r>
    </w:p>
    <w:p w14:paraId="40CBB80D">
      <w:pPr>
        <w:spacing w:before="24" w:beforeLines="10" w:after="48" w:afterLines="20" w:line="380" w:lineRule="exact"/>
        <w:rPr>
          <w:b/>
          <w:color w:val="auto"/>
          <w:highlight w:val="none"/>
        </w:rPr>
      </w:pPr>
      <w:r>
        <w:rPr>
          <w:rFonts w:hint="eastAsia" w:ascii="黑体" w:eastAsia="黑体"/>
          <w:color w:val="auto"/>
          <w:highlight w:val="none"/>
        </w:rPr>
        <w:t xml:space="preserve">3.1.3 </w:t>
      </w:r>
      <w:r>
        <w:rPr>
          <w:color w:val="auto"/>
          <w:highlight w:val="none"/>
        </w:rPr>
        <w:t xml:space="preserve"> </w:t>
      </w:r>
      <w:r>
        <w:rPr>
          <w:rFonts w:hint="eastAsia"/>
          <w:b/>
          <w:color w:val="auto"/>
          <w:highlight w:val="none"/>
        </w:rPr>
        <w:t>总价项目</w:t>
      </w:r>
    </w:p>
    <w:p w14:paraId="3F9C88FF">
      <w:pPr>
        <w:spacing w:line="380" w:lineRule="exact"/>
        <w:ind w:left="735" w:leftChars="350"/>
        <w:rPr>
          <w:b/>
          <w:color w:val="auto"/>
          <w:highlight w:val="none"/>
          <w:bdr w:val="single" w:color="auto" w:sz="4" w:space="0"/>
        </w:rPr>
      </w:pPr>
      <w:r>
        <w:rPr>
          <w:rFonts w:hint="eastAsia"/>
          <w:color w:val="auto"/>
          <w:highlight w:val="none"/>
        </w:rPr>
        <w:t>工程量清单中以总价计价的项目，即此类项目在相关工程国家计量规范中无工程量计算规则以总价（或计算基础乘费率）计算的项目，通常以“项”为计量单位，除专用合同条款另有约定外，总价固定包干。</w:t>
      </w:r>
    </w:p>
    <w:p w14:paraId="32824DB1">
      <w:pPr>
        <w:spacing w:before="24" w:beforeLines="10" w:after="48" w:afterLines="20" w:line="380" w:lineRule="exact"/>
        <w:rPr>
          <w:b/>
          <w:color w:val="auto"/>
          <w:highlight w:val="none"/>
        </w:rPr>
      </w:pPr>
      <w:r>
        <w:rPr>
          <w:rFonts w:hint="eastAsia" w:ascii="黑体" w:eastAsia="黑体"/>
          <w:color w:val="auto"/>
          <w:highlight w:val="none"/>
        </w:rPr>
        <w:t>3.1.4</w:t>
      </w:r>
      <w:r>
        <w:rPr>
          <w:color w:val="auto"/>
          <w:highlight w:val="none"/>
        </w:rPr>
        <w:t xml:space="preserve">  </w:t>
      </w:r>
      <w:r>
        <w:rPr>
          <w:rFonts w:hint="eastAsia"/>
          <w:b/>
          <w:color w:val="auto"/>
          <w:highlight w:val="none"/>
        </w:rPr>
        <w:t>单价项目</w:t>
      </w:r>
    </w:p>
    <w:p w14:paraId="41DE5111">
      <w:pPr>
        <w:spacing w:line="380" w:lineRule="exact"/>
        <w:ind w:left="735" w:leftChars="350"/>
        <w:rPr>
          <w:color w:val="auto"/>
          <w:highlight w:val="none"/>
        </w:rPr>
      </w:pPr>
      <w:r>
        <w:rPr>
          <w:rFonts w:hint="eastAsia"/>
          <w:color w:val="auto"/>
          <w:highlight w:val="none"/>
        </w:rPr>
        <w:t>工程量清单中以单价计价的项目，即根据合同工程图纸（含设计变更）和相关工程国家计量规范规定的工程量计算规则进行计量，与已标价工程量清单相应综合单价进行价款计算的项目。</w:t>
      </w:r>
    </w:p>
    <w:p w14:paraId="06ABFFCD">
      <w:pPr>
        <w:spacing w:before="24" w:beforeLines="10" w:after="48" w:afterLines="20" w:line="380" w:lineRule="exact"/>
        <w:rPr>
          <w:b/>
          <w:color w:val="auto"/>
          <w:highlight w:val="none"/>
        </w:rPr>
      </w:pPr>
      <w:r>
        <w:rPr>
          <w:rFonts w:hint="eastAsia" w:ascii="黑体" w:eastAsia="黑体"/>
          <w:color w:val="auto"/>
          <w:highlight w:val="none"/>
        </w:rPr>
        <w:t>3.1.5</w:t>
      </w:r>
      <w:r>
        <w:rPr>
          <w:color w:val="auto"/>
          <w:highlight w:val="none"/>
        </w:rPr>
        <w:t xml:space="preserve">  </w:t>
      </w:r>
      <w:r>
        <w:rPr>
          <w:rFonts w:hint="eastAsia"/>
          <w:b/>
          <w:color w:val="auto"/>
          <w:highlight w:val="none"/>
        </w:rPr>
        <w:t>项目编码</w:t>
      </w:r>
    </w:p>
    <w:p w14:paraId="16A3B3E2">
      <w:pPr>
        <w:spacing w:line="380" w:lineRule="exact"/>
        <w:ind w:left="724" w:leftChars="345"/>
        <w:rPr>
          <w:color w:val="auto"/>
          <w:highlight w:val="none"/>
        </w:rPr>
      </w:pPr>
      <w:r>
        <w:rPr>
          <w:rFonts w:hint="eastAsia"/>
          <w:color w:val="auto"/>
          <w:highlight w:val="none"/>
        </w:rPr>
        <w:t>分部分项工程和措施项目清单名称的阿拉伯数字标识。项目编码与子目编码同义。</w:t>
      </w:r>
    </w:p>
    <w:p w14:paraId="297CFE75">
      <w:pPr>
        <w:spacing w:before="48" w:beforeLines="20" w:after="48" w:afterLines="20" w:line="380" w:lineRule="exact"/>
        <w:rPr>
          <w:b/>
          <w:color w:val="auto"/>
          <w:highlight w:val="none"/>
        </w:rPr>
      </w:pPr>
      <w:r>
        <w:rPr>
          <w:rFonts w:hint="eastAsia" w:ascii="黑体" w:eastAsia="黑体"/>
          <w:color w:val="auto"/>
          <w:highlight w:val="none"/>
        </w:rPr>
        <w:t>3.1.6</w:t>
      </w:r>
      <w:r>
        <w:rPr>
          <w:color w:val="auto"/>
          <w:highlight w:val="none"/>
        </w:rPr>
        <w:t xml:space="preserve">  </w:t>
      </w:r>
      <w:r>
        <w:rPr>
          <w:rFonts w:hint="eastAsia"/>
          <w:b/>
          <w:color w:val="auto"/>
          <w:highlight w:val="none"/>
        </w:rPr>
        <w:t>项目特征</w:t>
      </w:r>
    </w:p>
    <w:p w14:paraId="7EB31AE9">
      <w:pPr>
        <w:spacing w:line="380" w:lineRule="exact"/>
        <w:ind w:left="718" w:leftChars="342" w:firstLine="35" w:firstLineChars="17"/>
        <w:rPr>
          <w:color w:val="auto"/>
          <w:highlight w:val="none"/>
        </w:rPr>
      </w:pPr>
      <w:r>
        <w:rPr>
          <w:rFonts w:hint="eastAsia"/>
          <w:color w:val="auto"/>
          <w:highlight w:val="none"/>
        </w:rPr>
        <w:t>构成分部分项工程项目、措施项目自身价值的本质特征，项目特征与子目特征同义。</w:t>
      </w:r>
    </w:p>
    <w:p w14:paraId="6DDEE3F0">
      <w:pPr>
        <w:spacing w:before="48" w:beforeLines="20" w:after="48" w:afterLines="20" w:line="380" w:lineRule="exact"/>
        <w:rPr>
          <w:rFonts w:ascii="宋体" w:hAnsi="宋体"/>
          <w:b/>
          <w:color w:val="auto"/>
          <w:highlight w:val="none"/>
        </w:rPr>
      </w:pPr>
      <w:r>
        <w:rPr>
          <w:rFonts w:hint="eastAsia" w:ascii="黑体" w:eastAsia="黑体"/>
          <w:color w:val="auto"/>
          <w:highlight w:val="none"/>
        </w:rPr>
        <w:t xml:space="preserve">3.1.7 </w:t>
      </w:r>
      <w:r>
        <w:rPr>
          <w:rFonts w:hint="eastAsia" w:ascii="宋体" w:hAnsi="宋体"/>
          <w:color w:val="auto"/>
          <w:highlight w:val="none"/>
        </w:rPr>
        <w:t xml:space="preserve"> </w:t>
      </w:r>
      <w:r>
        <w:rPr>
          <w:rFonts w:hint="eastAsia" w:ascii="宋体" w:hAnsi="宋体"/>
          <w:b/>
          <w:color w:val="auto"/>
          <w:highlight w:val="none"/>
        </w:rPr>
        <w:t>规费</w:t>
      </w:r>
    </w:p>
    <w:p w14:paraId="075F7047">
      <w:pPr>
        <w:spacing w:line="380" w:lineRule="exact"/>
        <w:ind w:left="735" w:leftChars="350"/>
        <w:rPr>
          <w:rFonts w:hint="eastAsia" w:ascii="Times New Roman" w:hAnsi="Times New Roman"/>
          <w:color w:val="auto"/>
          <w:highlight w:val="none"/>
        </w:rPr>
      </w:pPr>
      <w:r>
        <w:rPr>
          <w:rFonts w:hint="eastAsia"/>
          <w:color w:val="auto"/>
          <w:highlight w:val="none"/>
        </w:rPr>
        <w:t>根据国家法律、法规规定，由省级政府或省级有关权力部门规定承包人必须缴纳的，应计入建筑安装工程造价的费用。</w:t>
      </w:r>
    </w:p>
    <w:p w14:paraId="0534B8C8">
      <w:pPr>
        <w:spacing w:before="48" w:beforeLines="20" w:after="48" w:afterLines="20" w:line="380" w:lineRule="exact"/>
        <w:rPr>
          <w:color w:val="auto"/>
          <w:highlight w:val="none"/>
        </w:rPr>
      </w:pPr>
      <w:r>
        <w:rPr>
          <w:rFonts w:hint="eastAsia" w:ascii="黑体" w:eastAsia="黑体"/>
          <w:color w:val="auto"/>
          <w:highlight w:val="none"/>
        </w:rPr>
        <w:t>3.1.8</w:t>
      </w:r>
      <w:r>
        <w:rPr>
          <w:color w:val="auto"/>
          <w:highlight w:val="none"/>
        </w:rPr>
        <w:t xml:space="preserve">  </w:t>
      </w:r>
      <w:r>
        <w:rPr>
          <w:rFonts w:hint="eastAsia"/>
          <w:b/>
          <w:color w:val="auto"/>
          <w:highlight w:val="none"/>
        </w:rPr>
        <w:t>税金</w:t>
      </w:r>
    </w:p>
    <w:p w14:paraId="182A0EC1">
      <w:pPr>
        <w:spacing w:line="380" w:lineRule="exact"/>
        <w:ind w:left="735" w:leftChars="350"/>
        <w:rPr>
          <w:color w:val="auto"/>
          <w:highlight w:val="none"/>
        </w:rPr>
      </w:pPr>
      <w:r>
        <w:rPr>
          <w:rFonts w:hint="eastAsia"/>
          <w:color w:val="auto"/>
          <w:highlight w:val="none"/>
        </w:rPr>
        <w:t>国家税法规定的应计入建筑安装工程造价内的增值税。</w:t>
      </w:r>
    </w:p>
    <w:p w14:paraId="0705B72A">
      <w:pPr>
        <w:spacing w:line="380" w:lineRule="exact"/>
        <w:ind w:left="735" w:leftChars="350"/>
        <w:rPr>
          <w:color w:val="auto"/>
          <w:highlight w:val="none"/>
        </w:rPr>
      </w:pPr>
      <w:r>
        <w:rPr>
          <w:rFonts w:hint="eastAsia"/>
          <w:color w:val="auto"/>
          <w:highlight w:val="none"/>
        </w:rPr>
        <w:t>采用一般计税方法的，税金指增值税的销项税额，附加税列入企业管理费。</w:t>
      </w:r>
    </w:p>
    <w:p w14:paraId="786D3665">
      <w:pPr>
        <w:spacing w:line="380" w:lineRule="exact"/>
        <w:ind w:left="735" w:leftChars="350"/>
        <w:rPr>
          <w:color w:val="auto"/>
          <w:highlight w:val="none"/>
        </w:rPr>
      </w:pPr>
      <w:r>
        <w:rPr>
          <w:rFonts w:hint="eastAsia"/>
          <w:color w:val="auto"/>
          <w:highlight w:val="none"/>
        </w:rPr>
        <w:t>采用简易计税方法的，税金指增值税的征收率，附加税列入企业管理费。</w:t>
      </w:r>
    </w:p>
    <w:p w14:paraId="25A7B0BA">
      <w:pPr>
        <w:spacing w:before="48" w:beforeLines="20" w:after="48" w:afterLines="20" w:line="380" w:lineRule="exact"/>
        <w:rPr>
          <w:b/>
          <w:color w:val="auto"/>
          <w:highlight w:val="none"/>
        </w:rPr>
      </w:pPr>
      <w:r>
        <w:rPr>
          <w:rFonts w:hint="eastAsia" w:ascii="黑体" w:eastAsia="黑体"/>
          <w:color w:val="auto"/>
          <w:highlight w:val="none"/>
        </w:rPr>
        <w:t>3.1.9</w:t>
      </w:r>
      <w:r>
        <w:rPr>
          <w:color w:val="auto"/>
          <w:highlight w:val="none"/>
        </w:rPr>
        <w:t xml:space="preserve">  </w:t>
      </w:r>
      <w:r>
        <w:rPr>
          <w:rFonts w:hint="eastAsia"/>
          <w:b/>
          <w:color w:val="auto"/>
          <w:highlight w:val="none"/>
        </w:rPr>
        <w:t>总承包服务费</w:t>
      </w:r>
    </w:p>
    <w:p w14:paraId="57DE43F7">
      <w:pPr>
        <w:spacing w:line="390" w:lineRule="exact"/>
        <w:ind w:left="781" w:leftChars="366" w:hanging="12" w:hangingChars="6"/>
        <w:rPr>
          <w:color w:val="auto"/>
          <w:highlight w:val="none"/>
        </w:rPr>
      </w:pPr>
      <w:r>
        <w:rPr>
          <w:rFonts w:hint="eastAsia"/>
          <w:color w:val="auto"/>
          <w:highlight w:val="none"/>
        </w:rPr>
        <w:t>总承包人为配合协调发包人进行的专业工程发包，对发包人自行采购的材料、工程设备等进行保管以及施工现场管理、竣工资料汇总整理等服务所需的费用。</w:t>
      </w:r>
    </w:p>
    <w:p w14:paraId="44A40C81">
      <w:pPr>
        <w:spacing w:before="48" w:beforeLines="20" w:after="48" w:afterLines="20" w:line="380" w:lineRule="exact"/>
        <w:rPr>
          <w:b/>
          <w:color w:val="auto"/>
          <w:highlight w:val="none"/>
        </w:rPr>
      </w:pPr>
      <w:r>
        <w:rPr>
          <w:rFonts w:hint="eastAsia" w:ascii="黑体" w:eastAsia="黑体"/>
          <w:color w:val="auto"/>
          <w:highlight w:val="none"/>
        </w:rPr>
        <w:t>3.1.10</w:t>
      </w:r>
      <w:r>
        <w:rPr>
          <w:color w:val="auto"/>
          <w:highlight w:val="none"/>
        </w:rPr>
        <w:t xml:space="preserve"> </w:t>
      </w:r>
      <w:r>
        <w:rPr>
          <w:rFonts w:hint="eastAsia"/>
          <w:b/>
          <w:color w:val="auto"/>
          <w:highlight w:val="none"/>
        </w:rPr>
        <w:t>同义词语</w:t>
      </w:r>
    </w:p>
    <w:p w14:paraId="36ADF240">
      <w:pPr>
        <w:spacing w:line="390" w:lineRule="exact"/>
        <w:ind w:left="735" w:leftChars="350" w:firstLine="105" w:firstLineChars="50"/>
        <w:rPr>
          <w:color w:val="auto"/>
          <w:highlight w:val="none"/>
        </w:rPr>
      </w:pPr>
      <w:r>
        <w:rPr>
          <w:rFonts w:hint="eastAsia"/>
          <w:color w:val="auto"/>
          <w:highlight w:val="none"/>
        </w:rPr>
        <w:t>本章中使用的词语“招标人”和“投标人”分别与合同条款中定义的“发包人”和“承包人”同义</w:t>
      </w:r>
      <w:r>
        <w:rPr>
          <w:rFonts w:hint="eastAsia" w:ascii="宋体" w:hAnsi="宋体"/>
          <w:color w:val="auto"/>
          <w:szCs w:val="21"/>
          <w:highlight w:val="none"/>
        </w:rPr>
        <w:t>；</w:t>
      </w:r>
      <w:r>
        <w:rPr>
          <w:rFonts w:hint="eastAsia"/>
          <w:color w:val="auto"/>
          <w:highlight w:val="none"/>
        </w:rPr>
        <w:t>就工程量清单而言，“项目”与“子目”同义。</w:t>
      </w:r>
    </w:p>
    <w:p w14:paraId="77CA0689">
      <w:pPr>
        <w:spacing w:before="48" w:beforeLines="20" w:after="48" w:afterLines="20" w:line="380" w:lineRule="exact"/>
        <w:rPr>
          <w:color w:val="auto"/>
          <w:highlight w:val="none"/>
        </w:rPr>
      </w:pPr>
      <w:r>
        <w:rPr>
          <w:rFonts w:hint="eastAsia" w:ascii="黑体" w:eastAsia="黑体"/>
          <w:color w:val="auto"/>
          <w:highlight w:val="none"/>
        </w:rPr>
        <w:t>3.2工程量差异调整</w:t>
      </w:r>
    </w:p>
    <w:p w14:paraId="1D123D31">
      <w:pPr>
        <w:spacing w:line="380" w:lineRule="exact"/>
        <w:ind w:left="720" w:leftChars="-7" w:hanging="735" w:hangingChars="350"/>
        <w:rPr>
          <w:color w:val="auto"/>
          <w:highlight w:val="none"/>
        </w:rPr>
      </w:pPr>
      <w:r>
        <w:rPr>
          <w:rFonts w:hint="eastAsia" w:ascii="黑体" w:eastAsia="黑体"/>
          <w:color w:val="auto"/>
          <w:highlight w:val="none"/>
        </w:rPr>
        <w:t>3.2.1</w:t>
      </w:r>
      <w:r>
        <w:rPr>
          <w:color w:val="auto"/>
          <w:highlight w:val="none"/>
        </w:rPr>
        <w:t xml:space="preserve">  </w:t>
      </w:r>
      <w:r>
        <w:rPr>
          <w:rFonts w:hint="eastAsia"/>
          <w:color w:val="auto"/>
          <w:highlight w:val="none"/>
        </w:rPr>
        <w:t>招标工程量清单中的工作内容分类、项目列项、特征描述以及“分部分项工程和单价措施项目清单与计价表”中附带的工程量都不应理解为是对承包</w:t>
      </w:r>
      <w:r>
        <w:rPr>
          <w:color w:val="auto"/>
          <w:highlight w:val="none"/>
        </w:rPr>
        <w:t>(</w:t>
      </w:r>
      <w:r>
        <w:rPr>
          <w:rFonts w:hint="eastAsia"/>
          <w:color w:val="auto"/>
          <w:highlight w:val="none"/>
        </w:rPr>
        <w:t>招标</w:t>
      </w:r>
      <w:r>
        <w:rPr>
          <w:color w:val="auto"/>
          <w:highlight w:val="none"/>
        </w:rPr>
        <w:t>)</w:t>
      </w:r>
      <w:r>
        <w:rPr>
          <w:rFonts w:hint="eastAsia"/>
          <w:color w:val="auto"/>
          <w:highlight w:val="none"/>
        </w:rPr>
        <w:t>范围以及合同工作内容的唯一的、最终的或全部的定义。</w:t>
      </w:r>
    </w:p>
    <w:p w14:paraId="453B0B0A">
      <w:pPr>
        <w:spacing w:line="380" w:lineRule="exact"/>
        <w:ind w:left="718" w:hanging="718" w:hangingChars="342"/>
        <w:rPr>
          <w:color w:val="auto"/>
          <w:highlight w:val="none"/>
        </w:rPr>
      </w:pPr>
      <w:r>
        <w:rPr>
          <w:rFonts w:hint="eastAsia" w:ascii="黑体" w:eastAsia="黑体"/>
          <w:color w:val="auto"/>
          <w:highlight w:val="none"/>
        </w:rPr>
        <w:t>3.2.2</w:t>
      </w:r>
      <w:r>
        <w:rPr>
          <w:color w:val="auto"/>
          <w:highlight w:val="none"/>
        </w:rPr>
        <w:t xml:space="preserve">  </w:t>
      </w:r>
      <w:r>
        <w:rPr>
          <w:rFonts w:hint="eastAsia"/>
          <w:color w:val="auto"/>
          <w:highlight w:val="none"/>
        </w:rPr>
        <w:t>投标人可以对招标工程量清单进行复核。这种复核包括对招标工程量清单中的项目编码、项目名称、项目特征描述、计量单位、工程量的准确性以及可能存在的任何书写、打印错误进行检查和复核。如果投标人经过检查和复核以后认为招标工程量清单存在差异，这种差异的存在可能对造价产生重大影响的，则投标人应将此类差异的详细情况连同按投标人须知规定提交的要求招标人澄清的其他问题一起提交给招标人，招标人在核实差异后将根据实际情况决定是否颁发招标工程量清单的澄清和</w:t>
      </w:r>
      <w:r>
        <w:rPr>
          <w:color w:val="auto"/>
          <w:highlight w:val="none"/>
        </w:rPr>
        <w:t>(</w:t>
      </w:r>
      <w:r>
        <w:rPr>
          <w:rFonts w:hint="eastAsia"/>
          <w:color w:val="auto"/>
          <w:highlight w:val="none"/>
        </w:rPr>
        <w:t>或</w:t>
      </w:r>
      <w:r>
        <w:rPr>
          <w:color w:val="auto"/>
          <w:highlight w:val="none"/>
        </w:rPr>
        <w:t>)</w:t>
      </w:r>
      <w:r>
        <w:rPr>
          <w:rFonts w:hint="eastAsia"/>
          <w:color w:val="auto"/>
          <w:highlight w:val="none"/>
        </w:rPr>
        <w:t>修改文件。</w:t>
      </w:r>
    </w:p>
    <w:p w14:paraId="465F29C7">
      <w:pPr>
        <w:spacing w:line="380" w:lineRule="exact"/>
        <w:ind w:left="720" w:leftChars="-7" w:hanging="735" w:hangingChars="350"/>
        <w:rPr>
          <w:color w:val="auto"/>
          <w:highlight w:val="none"/>
        </w:rPr>
      </w:pPr>
      <w:r>
        <w:rPr>
          <w:rFonts w:hint="eastAsia" w:ascii="黑体" w:eastAsia="黑体"/>
          <w:color w:val="auto"/>
          <w:highlight w:val="none"/>
        </w:rPr>
        <w:t>3.2.3</w:t>
      </w:r>
      <w:r>
        <w:rPr>
          <w:color w:val="auto"/>
          <w:highlight w:val="none"/>
        </w:rPr>
        <w:t xml:space="preserve">  </w:t>
      </w:r>
      <w:r>
        <w:rPr>
          <w:rFonts w:hint="eastAsia"/>
          <w:color w:val="auto"/>
          <w:highlight w:val="none"/>
        </w:rPr>
        <w:t>如果招标人在检查投标人根据上文第</w:t>
      </w:r>
      <w:r>
        <w:rPr>
          <w:color w:val="auto"/>
          <w:highlight w:val="none"/>
        </w:rPr>
        <w:t>3.2.2</w:t>
      </w:r>
      <w:r>
        <w:rPr>
          <w:rFonts w:hint="eastAsia"/>
          <w:color w:val="auto"/>
          <w:highlight w:val="none"/>
        </w:rPr>
        <w:t>项提交的差异问题后认为没有必要对招标工程量清单进行澄清和</w:t>
      </w:r>
      <w:r>
        <w:rPr>
          <w:color w:val="auto"/>
          <w:highlight w:val="none"/>
        </w:rPr>
        <w:t>(</w:t>
      </w:r>
      <w:r>
        <w:rPr>
          <w:rFonts w:hint="eastAsia"/>
          <w:color w:val="auto"/>
          <w:highlight w:val="none"/>
        </w:rPr>
        <w:t>或</w:t>
      </w:r>
      <w:r>
        <w:rPr>
          <w:color w:val="auto"/>
          <w:highlight w:val="none"/>
        </w:rPr>
        <w:t>)</w:t>
      </w:r>
      <w:r>
        <w:rPr>
          <w:rFonts w:hint="eastAsia"/>
          <w:color w:val="auto"/>
          <w:highlight w:val="none"/>
        </w:rPr>
        <w:t>修改，或者招标人根据上文第</w:t>
      </w:r>
      <w:r>
        <w:rPr>
          <w:color w:val="auto"/>
          <w:highlight w:val="none"/>
        </w:rPr>
        <w:t>3.2.2</w:t>
      </w:r>
      <w:r>
        <w:rPr>
          <w:rFonts w:hint="eastAsia"/>
          <w:color w:val="auto"/>
          <w:highlight w:val="none"/>
        </w:rPr>
        <w:t>项对招标工程量清单进行了澄清和</w:t>
      </w:r>
      <w:r>
        <w:rPr>
          <w:color w:val="auto"/>
          <w:highlight w:val="none"/>
        </w:rPr>
        <w:t>(</w:t>
      </w:r>
      <w:r>
        <w:rPr>
          <w:rFonts w:hint="eastAsia"/>
          <w:color w:val="auto"/>
          <w:highlight w:val="none"/>
        </w:rPr>
        <w:t>或</w:t>
      </w:r>
      <w:r>
        <w:rPr>
          <w:color w:val="auto"/>
          <w:highlight w:val="none"/>
        </w:rPr>
        <w:t>)</w:t>
      </w:r>
      <w:r>
        <w:rPr>
          <w:rFonts w:hint="eastAsia"/>
          <w:color w:val="auto"/>
          <w:highlight w:val="none"/>
        </w:rPr>
        <w:t>修改，但投标人认为招标工程量清单依然存在差异，则此类差异不再提交招标人要求澄清和</w:t>
      </w:r>
      <w:r>
        <w:rPr>
          <w:color w:val="auto"/>
          <w:highlight w:val="none"/>
        </w:rPr>
        <w:t>(</w:t>
      </w:r>
      <w:r>
        <w:rPr>
          <w:rFonts w:hint="eastAsia"/>
          <w:color w:val="auto"/>
          <w:highlight w:val="none"/>
        </w:rPr>
        <w:t>或</w:t>
      </w:r>
      <w:r>
        <w:rPr>
          <w:color w:val="auto"/>
          <w:highlight w:val="none"/>
        </w:rPr>
        <w:t>)</w:t>
      </w:r>
      <w:r>
        <w:rPr>
          <w:rFonts w:hint="eastAsia"/>
          <w:color w:val="auto"/>
          <w:highlight w:val="none"/>
        </w:rPr>
        <w:t>修改，而是直接按招标工程量清单</w:t>
      </w:r>
      <w:r>
        <w:rPr>
          <w:color w:val="auto"/>
          <w:highlight w:val="none"/>
        </w:rPr>
        <w:t>(</w:t>
      </w:r>
      <w:r>
        <w:rPr>
          <w:rFonts w:hint="eastAsia"/>
          <w:color w:val="auto"/>
          <w:highlight w:val="none"/>
        </w:rPr>
        <w:t>包括招标人可能的澄清和</w:t>
      </w:r>
      <w:r>
        <w:rPr>
          <w:color w:val="auto"/>
          <w:highlight w:val="none"/>
        </w:rPr>
        <w:t>(</w:t>
      </w:r>
      <w:r>
        <w:rPr>
          <w:rFonts w:hint="eastAsia"/>
          <w:color w:val="auto"/>
          <w:highlight w:val="none"/>
        </w:rPr>
        <w:t>或</w:t>
      </w:r>
      <w:r>
        <w:rPr>
          <w:color w:val="auto"/>
          <w:highlight w:val="none"/>
        </w:rPr>
        <w:t>)</w:t>
      </w:r>
      <w:r>
        <w:rPr>
          <w:rFonts w:hint="eastAsia"/>
          <w:color w:val="auto"/>
          <w:highlight w:val="none"/>
        </w:rPr>
        <w:t>修改</w:t>
      </w:r>
      <w:r>
        <w:rPr>
          <w:color w:val="auto"/>
          <w:highlight w:val="none"/>
        </w:rPr>
        <w:t>)</w:t>
      </w:r>
      <w:r>
        <w:rPr>
          <w:rFonts w:hint="eastAsia"/>
          <w:color w:val="auto"/>
          <w:highlight w:val="none"/>
        </w:rPr>
        <w:t>进行报价。</w:t>
      </w:r>
    </w:p>
    <w:p w14:paraId="23204DA4">
      <w:pPr>
        <w:spacing w:line="380" w:lineRule="exact"/>
        <w:ind w:left="735" w:hanging="735" w:hangingChars="350"/>
        <w:rPr>
          <w:color w:val="auto"/>
          <w:highlight w:val="none"/>
        </w:rPr>
      </w:pPr>
      <w:r>
        <w:rPr>
          <w:rFonts w:hint="eastAsia" w:ascii="黑体" w:eastAsia="黑体"/>
          <w:color w:val="auto"/>
          <w:highlight w:val="none"/>
        </w:rPr>
        <w:t xml:space="preserve">3.2.4  </w:t>
      </w:r>
      <w:r>
        <w:rPr>
          <w:rFonts w:hint="eastAsia"/>
          <w:color w:val="auto"/>
          <w:highlight w:val="none"/>
        </w:rPr>
        <w:t>投标人在按照招标工程量清单进行报价时，不得改变招标工程量清单的项目编码、项目名称、项目特征描述、计量单位以及工程量，也不得改变其他项目清单及其载明的暂列金额和暂估价等内容。即使按照图纸和招标范围的约定并不存在的项目，只要在招标人提供的招标工程量清单中已经列明，投标人都需要对其报价，并纳入投标总价的计算。</w:t>
      </w:r>
    </w:p>
    <w:p w14:paraId="6C63C11F">
      <w:pPr>
        <w:spacing w:line="380" w:lineRule="exact"/>
        <w:rPr>
          <w:rFonts w:ascii="黑体" w:eastAsia="黑体"/>
          <w:color w:val="auto"/>
          <w:highlight w:val="none"/>
        </w:rPr>
      </w:pPr>
      <w:r>
        <w:rPr>
          <w:rFonts w:hint="eastAsia" w:ascii="黑体" w:eastAsia="黑体"/>
          <w:color w:val="auto"/>
          <w:highlight w:val="none"/>
        </w:rPr>
        <w:t>3.3暂列金额和暂估价</w:t>
      </w:r>
    </w:p>
    <w:p w14:paraId="17DC639F">
      <w:pPr>
        <w:spacing w:line="380" w:lineRule="exact"/>
        <w:ind w:left="735" w:hanging="735" w:hangingChars="350"/>
        <w:rPr>
          <w:rFonts w:hint="eastAsia" w:ascii="宋体" w:hAnsi="宋体"/>
          <w:color w:val="auto"/>
          <w:highlight w:val="none"/>
        </w:rPr>
      </w:pPr>
      <w:r>
        <w:rPr>
          <w:rFonts w:hint="eastAsia" w:ascii="黑体" w:eastAsia="黑体"/>
          <w:color w:val="auto"/>
          <w:highlight w:val="none"/>
        </w:rPr>
        <w:t xml:space="preserve">3.3.1  </w:t>
      </w:r>
      <w:r>
        <w:rPr>
          <w:rFonts w:hint="eastAsia" w:ascii="宋体" w:hAnsi="宋体"/>
          <w:color w:val="auto"/>
          <w:highlight w:val="none"/>
        </w:rPr>
        <w:t>采用一般计税方法的，“暂列金额明细表”中所列暂列金额为不含进项税额和销项税额的金额。投标人应按本招标文件规定将此类暂列金额直接纳入其他项目清单的投标价格，并计取相应的销项税额。</w:t>
      </w:r>
    </w:p>
    <w:p w14:paraId="54697E2B">
      <w:pPr>
        <w:spacing w:line="380" w:lineRule="exact"/>
        <w:ind w:left="735" w:leftChars="350"/>
        <w:rPr>
          <w:rFonts w:hint="eastAsia" w:ascii="黑体" w:hAnsi="Times New Roman" w:eastAsia="黑体"/>
          <w:color w:val="auto"/>
          <w:highlight w:val="none"/>
        </w:rPr>
      </w:pPr>
      <w:r>
        <w:rPr>
          <w:rFonts w:hint="eastAsia" w:ascii="宋体" w:hAnsi="宋体"/>
          <w:color w:val="auto"/>
          <w:highlight w:val="none"/>
        </w:rPr>
        <w:t>采用简易计税方法，“暂列金额明细表”中所列暂列金额为含进项税额但不含销项税额的金额。投标人应按本招标文件规定将此类暂列金额直接纳入其他项目清单的投标价格，并计取相应的增值税征收率。</w:t>
      </w:r>
    </w:p>
    <w:p w14:paraId="409E06D7">
      <w:pPr>
        <w:spacing w:line="380" w:lineRule="exact"/>
        <w:ind w:left="735" w:hanging="735" w:hangingChars="350"/>
        <w:rPr>
          <w:rFonts w:hint="eastAsia" w:ascii="黑体" w:eastAsia="黑体"/>
          <w:color w:val="auto"/>
          <w:highlight w:val="none"/>
        </w:rPr>
      </w:pPr>
      <w:r>
        <w:rPr>
          <w:rFonts w:hint="eastAsia" w:ascii="黑体" w:eastAsia="黑体"/>
          <w:color w:val="auto"/>
          <w:highlight w:val="none"/>
        </w:rPr>
        <w:t xml:space="preserve">3.3.2  </w:t>
      </w:r>
      <w:r>
        <w:rPr>
          <w:rFonts w:hint="eastAsia" w:ascii="宋体" w:hAnsi="宋体"/>
          <w:color w:val="auto"/>
          <w:highlight w:val="none"/>
        </w:rPr>
        <w:t>“材料（工程设备）暂估单价表”中所列的材料和工程设备暂估价是此类材料、工程设备本身运至施工现场内的工地地面价，除应按本招标文件规定将此类暂估价本身纳入分部分项工程和单价措施项目清单相应项目的综合单价以外，投标人还应将上述材料和工程设备的安装及辅助工作所发生的费用以及与此类费用有关的企业管理费和利润包含在分部分项工程和单价措施项目清单相应项目的综合单价中。</w:t>
      </w:r>
    </w:p>
    <w:p w14:paraId="58E506FA">
      <w:pPr>
        <w:spacing w:line="380" w:lineRule="exact"/>
        <w:ind w:left="735" w:hanging="735" w:hangingChars="350"/>
        <w:rPr>
          <w:rFonts w:hint="eastAsia" w:ascii="宋体" w:hAnsi="宋体"/>
          <w:color w:val="auto"/>
          <w:highlight w:val="none"/>
        </w:rPr>
      </w:pPr>
      <w:r>
        <w:rPr>
          <w:rFonts w:hint="eastAsia" w:ascii="黑体" w:eastAsia="黑体"/>
          <w:color w:val="auto"/>
          <w:highlight w:val="none"/>
        </w:rPr>
        <w:t xml:space="preserve">3.3.3  </w:t>
      </w:r>
      <w:r>
        <w:rPr>
          <w:rFonts w:hint="eastAsia" w:ascii="宋体" w:hAnsi="宋体"/>
          <w:color w:val="auto"/>
          <w:highlight w:val="none"/>
        </w:rPr>
        <w:t>采用一般计税</w:t>
      </w:r>
      <w:r>
        <w:rPr>
          <w:rFonts w:hint="eastAsia"/>
          <w:color w:val="auto"/>
          <w:highlight w:val="none"/>
        </w:rPr>
        <w:t>方</w:t>
      </w:r>
      <w:r>
        <w:rPr>
          <w:rFonts w:hint="eastAsia" w:ascii="宋体" w:hAnsi="宋体"/>
          <w:color w:val="auto"/>
          <w:highlight w:val="none"/>
        </w:rPr>
        <w:t>法的，“专业工程暂估价表”中所列专业工程暂估价为不含进项税额和销项税额的</w:t>
      </w:r>
      <w:r>
        <w:rPr>
          <w:rFonts w:hint="eastAsia"/>
          <w:color w:val="auto"/>
          <w:highlight w:val="none"/>
        </w:rPr>
        <w:t>金额</w:t>
      </w:r>
      <w:r>
        <w:rPr>
          <w:rFonts w:hint="eastAsia" w:ascii="宋体" w:hAnsi="宋体"/>
          <w:color w:val="auto"/>
          <w:highlight w:val="none"/>
        </w:rPr>
        <w:t>。投标人应按本招标文件规定将此类专业工程暂估金额直接纳入其他项目清单的投标价格，并计取相应的销项税额。</w:t>
      </w:r>
    </w:p>
    <w:p w14:paraId="69C779C2">
      <w:pPr>
        <w:spacing w:line="380" w:lineRule="exact"/>
        <w:ind w:left="735" w:leftChars="350"/>
        <w:rPr>
          <w:rFonts w:hint="eastAsia" w:ascii="黑体" w:hAnsi="Times New Roman" w:eastAsia="黑体"/>
          <w:color w:val="auto"/>
          <w:highlight w:val="none"/>
        </w:rPr>
      </w:pPr>
      <w:r>
        <w:rPr>
          <w:rFonts w:hint="eastAsia" w:ascii="宋体" w:hAnsi="宋体"/>
          <w:color w:val="auto"/>
          <w:highlight w:val="none"/>
        </w:rPr>
        <w:t>采用简易计税</w:t>
      </w:r>
      <w:r>
        <w:rPr>
          <w:rFonts w:hint="eastAsia"/>
          <w:color w:val="auto"/>
          <w:highlight w:val="none"/>
        </w:rPr>
        <w:t>方</w:t>
      </w:r>
      <w:r>
        <w:rPr>
          <w:rFonts w:hint="eastAsia" w:ascii="宋体" w:hAnsi="宋体"/>
          <w:color w:val="auto"/>
          <w:highlight w:val="none"/>
        </w:rPr>
        <w:t>法的，“专业工程暂估价表”中所列专业工程暂估价为含进项税额但不含销项税额的</w:t>
      </w:r>
      <w:r>
        <w:rPr>
          <w:rFonts w:hint="eastAsia"/>
          <w:color w:val="auto"/>
          <w:highlight w:val="none"/>
        </w:rPr>
        <w:t>金额</w:t>
      </w:r>
      <w:r>
        <w:rPr>
          <w:rFonts w:hint="eastAsia" w:ascii="宋体" w:hAnsi="宋体"/>
          <w:color w:val="auto"/>
          <w:highlight w:val="none"/>
        </w:rPr>
        <w:t>。投标人应按本招标文件规定将此类专业工程暂估金额直接纳入其他项目清单的投标价格，并计取相应的增值税征收率。</w:t>
      </w:r>
    </w:p>
    <w:p w14:paraId="639873EB">
      <w:pPr>
        <w:spacing w:line="380" w:lineRule="exact"/>
        <w:ind w:left="735" w:hanging="735" w:hangingChars="350"/>
        <w:rPr>
          <w:rFonts w:hint="eastAsia" w:ascii="黑体" w:eastAsia="黑体"/>
          <w:color w:val="auto"/>
          <w:highlight w:val="none"/>
        </w:rPr>
      </w:pPr>
      <w:r>
        <w:rPr>
          <w:rFonts w:hint="eastAsia" w:ascii="黑体" w:eastAsia="黑体"/>
          <w:color w:val="auto"/>
          <w:highlight w:val="none"/>
        </w:rPr>
        <w:t>3.4其他补充说明</w:t>
      </w:r>
    </w:p>
    <w:p w14:paraId="7086785E">
      <w:pPr>
        <w:spacing w:line="380" w:lineRule="exact"/>
        <w:ind w:firstLine="420" w:firstLineChars="200"/>
        <w:rPr>
          <w:rFonts w:hint="eastAsia" w:ascii="黑体" w:eastAsia="黑体"/>
          <w:color w:val="auto"/>
          <w:highlight w:val="none"/>
          <w:u w:val="single"/>
        </w:rPr>
      </w:pPr>
      <w:r>
        <w:rPr>
          <w:rFonts w:hint="eastAsia" w:ascii="黑体" w:eastAsia="黑体"/>
          <w:color w:val="auto"/>
          <w:highlight w:val="none"/>
          <w:u w:val="single"/>
        </w:rPr>
        <w:t xml:space="preserve">                                                                             </w:t>
      </w:r>
    </w:p>
    <w:p w14:paraId="6F663800">
      <w:pPr>
        <w:spacing w:line="380" w:lineRule="exact"/>
        <w:ind w:firstLine="420" w:firstLineChars="200"/>
        <w:rPr>
          <w:rFonts w:hint="eastAsia" w:ascii="黑体" w:eastAsia="黑体"/>
          <w:color w:val="auto"/>
          <w:highlight w:val="none"/>
          <w:u w:val="single"/>
        </w:rPr>
      </w:pPr>
      <w:r>
        <w:rPr>
          <w:rFonts w:hint="eastAsia" w:ascii="黑体" w:eastAsia="黑体"/>
          <w:color w:val="auto"/>
          <w:highlight w:val="none"/>
          <w:u w:val="single"/>
        </w:rPr>
        <w:t xml:space="preserve">                                                                             </w:t>
      </w:r>
    </w:p>
    <w:p w14:paraId="03E7A395">
      <w:pPr>
        <w:spacing w:after="240" w:afterLines="100" w:line="380" w:lineRule="exact"/>
        <w:rPr>
          <w:rFonts w:hint="eastAsia" w:ascii="黑体" w:eastAsia="黑体"/>
          <w:color w:val="auto"/>
          <w:sz w:val="28"/>
          <w:szCs w:val="28"/>
          <w:highlight w:val="none"/>
          <w:u w:val="single"/>
        </w:rPr>
      </w:pPr>
    </w:p>
    <w:p w14:paraId="5FB66C2B">
      <w:pPr>
        <w:spacing w:after="240" w:afterLines="100" w:line="380" w:lineRule="exact"/>
        <w:rPr>
          <w:rFonts w:hint="eastAsia" w:ascii="黑体" w:eastAsia="黑体"/>
          <w:color w:val="auto"/>
          <w:sz w:val="28"/>
          <w:szCs w:val="28"/>
          <w:highlight w:val="none"/>
          <w:u w:val="single"/>
        </w:rPr>
      </w:pPr>
    </w:p>
    <w:p w14:paraId="09D294A4">
      <w:pPr>
        <w:spacing w:after="240" w:afterLines="100" w:line="380" w:lineRule="exact"/>
        <w:rPr>
          <w:rFonts w:hint="eastAsia" w:ascii="黑体" w:eastAsia="黑体"/>
          <w:color w:val="auto"/>
          <w:sz w:val="28"/>
          <w:szCs w:val="28"/>
          <w:highlight w:val="none"/>
          <w:u w:val="single"/>
        </w:rPr>
      </w:pPr>
    </w:p>
    <w:p w14:paraId="4F8CD620">
      <w:pPr>
        <w:pStyle w:val="31"/>
        <w:rPr>
          <w:rFonts w:hint="eastAsia"/>
          <w:color w:val="auto"/>
          <w:szCs w:val="28"/>
          <w:highlight w:val="none"/>
        </w:rPr>
      </w:pPr>
      <w:bookmarkStart w:id="2298" w:name="_Toc521075237"/>
      <w:bookmarkStart w:id="2299" w:name="_Toc20085"/>
      <w:bookmarkStart w:id="2300" w:name="_Toc521075662"/>
      <w:r>
        <w:rPr>
          <w:color w:val="auto"/>
          <w:szCs w:val="28"/>
          <w:highlight w:val="none"/>
        </w:rPr>
        <w:t>4</w:t>
      </w:r>
      <w:r>
        <w:rPr>
          <w:rFonts w:hint="eastAsia"/>
          <w:color w:val="auto"/>
          <w:szCs w:val="28"/>
          <w:highlight w:val="none"/>
        </w:rPr>
        <w:t>、工程量清单与计价表</w:t>
      </w:r>
      <w:bookmarkEnd w:id="2298"/>
      <w:bookmarkEnd w:id="2299"/>
      <w:bookmarkEnd w:id="2300"/>
    </w:p>
    <w:p w14:paraId="4CB1DA19">
      <w:pPr>
        <w:spacing w:line="380" w:lineRule="exact"/>
        <w:ind w:left="735" w:hanging="735" w:hangingChars="350"/>
        <w:rPr>
          <w:rFonts w:ascii="宋体" w:hAnsi="宋体"/>
          <w:color w:val="auto"/>
          <w:szCs w:val="24"/>
          <w:highlight w:val="none"/>
        </w:rPr>
      </w:pPr>
    </w:p>
    <w:p w14:paraId="353509F6">
      <w:pPr>
        <w:spacing w:line="380" w:lineRule="exact"/>
        <w:ind w:left="735" w:hanging="735" w:hangingChars="350"/>
        <w:rPr>
          <w:rFonts w:hint="eastAsia" w:ascii="宋体" w:hAnsi="宋体"/>
          <w:color w:val="auto"/>
          <w:highlight w:val="none"/>
        </w:rPr>
      </w:pPr>
    </w:p>
    <w:p w14:paraId="07986FD6">
      <w:pPr>
        <w:spacing w:line="380" w:lineRule="exact"/>
        <w:ind w:left="735" w:hanging="735" w:hangingChars="350"/>
        <w:rPr>
          <w:rFonts w:hint="eastAsia" w:ascii="宋体" w:hAnsi="宋体"/>
          <w:color w:val="auto"/>
          <w:highlight w:val="none"/>
        </w:rPr>
      </w:pPr>
    </w:p>
    <w:p w14:paraId="76A0B96B">
      <w:pPr>
        <w:spacing w:line="380" w:lineRule="exact"/>
        <w:ind w:left="735" w:hanging="735" w:hangingChars="350"/>
        <w:rPr>
          <w:rFonts w:hint="eastAsia" w:ascii="宋体" w:hAnsi="宋体"/>
          <w:color w:val="auto"/>
          <w:highlight w:val="none"/>
        </w:rPr>
      </w:pPr>
    </w:p>
    <w:p w14:paraId="0B3A5459">
      <w:pPr>
        <w:spacing w:line="380" w:lineRule="exact"/>
        <w:ind w:left="735" w:hanging="735" w:hangingChars="350"/>
        <w:rPr>
          <w:rFonts w:hint="eastAsia" w:ascii="宋体" w:hAnsi="宋体"/>
          <w:color w:val="auto"/>
          <w:highlight w:val="none"/>
        </w:rPr>
      </w:pPr>
    </w:p>
    <w:p w14:paraId="29191B24">
      <w:pPr>
        <w:spacing w:line="380" w:lineRule="exact"/>
        <w:ind w:left="735" w:hanging="735" w:hangingChars="350"/>
        <w:rPr>
          <w:rFonts w:hint="eastAsia" w:ascii="宋体" w:hAnsi="宋体"/>
          <w:color w:val="auto"/>
          <w:highlight w:val="none"/>
        </w:rPr>
      </w:pPr>
    </w:p>
    <w:p w14:paraId="3DDEAE2A">
      <w:pPr>
        <w:spacing w:line="380" w:lineRule="exact"/>
        <w:ind w:left="735" w:hanging="735" w:hangingChars="350"/>
        <w:rPr>
          <w:rFonts w:hint="eastAsia" w:ascii="宋体" w:hAnsi="宋体"/>
          <w:color w:val="auto"/>
          <w:highlight w:val="none"/>
        </w:rPr>
      </w:pPr>
    </w:p>
    <w:p w14:paraId="6021E945">
      <w:pPr>
        <w:spacing w:line="380" w:lineRule="exact"/>
        <w:ind w:left="735" w:hanging="735" w:hangingChars="350"/>
        <w:rPr>
          <w:rFonts w:hint="eastAsia" w:ascii="宋体" w:hAnsi="宋体"/>
          <w:color w:val="auto"/>
          <w:highlight w:val="none"/>
        </w:rPr>
      </w:pPr>
    </w:p>
    <w:p w14:paraId="1CD5160F">
      <w:pPr>
        <w:spacing w:line="380" w:lineRule="exact"/>
        <w:ind w:left="735" w:hanging="735" w:hangingChars="350"/>
        <w:rPr>
          <w:rFonts w:hint="eastAsia" w:ascii="宋体" w:hAnsi="宋体"/>
          <w:color w:val="auto"/>
          <w:highlight w:val="none"/>
        </w:rPr>
      </w:pPr>
    </w:p>
    <w:p w14:paraId="4A1CAFC1">
      <w:pPr>
        <w:spacing w:line="380" w:lineRule="exact"/>
        <w:ind w:left="735" w:hanging="735" w:hangingChars="350"/>
        <w:rPr>
          <w:rFonts w:hint="eastAsia" w:ascii="宋体" w:hAnsi="宋体"/>
          <w:color w:val="auto"/>
          <w:highlight w:val="none"/>
        </w:rPr>
      </w:pPr>
    </w:p>
    <w:p w14:paraId="31C568BE">
      <w:pPr>
        <w:spacing w:line="380" w:lineRule="exact"/>
        <w:ind w:left="735" w:hanging="735" w:hangingChars="350"/>
        <w:rPr>
          <w:rFonts w:hint="eastAsia" w:ascii="宋体" w:hAnsi="宋体"/>
          <w:color w:val="auto"/>
          <w:highlight w:val="none"/>
        </w:rPr>
      </w:pPr>
    </w:p>
    <w:p w14:paraId="24EDDB7E">
      <w:pPr>
        <w:spacing w:line="380" w:lineRule="exact"/>
        <w:ind w:left="735" w:hanging="735" w:hangingChars="350"/>
        <w:rPr>
          <w:rFonts w:hint="eastAsia" w:ascii="宋体" w:hAnsi="宋体"/>
          <w:color w:val="auto"/>
          <w:highlight w:val="none"/>
        </w:rPr>
      </w:pPr>
    </w:p>
    <w:p w14:paraId="7A1CA2F4">
      <w:pPr>
        <w:spacing w:line="380" w:lineRule="exact"/>
        <w:ind w:left="735" w:hanging="735" w:hangingChars="350"/>
        <w:rPr>
          <w:rFonts w:hint="eastAsia" w:ascii="宋体" w:hAnsi="宋体"/>
          <w:color w:val="auto"/>
          <w:highlight w:val="none"/>
        </w:rPr>
      </w:pPr>
    </w:p>
    <w:p w14:paraId="3669F2E5">
      <w:pPr>
        <w:spacing w:line="380" w:lineRule="exact"/>
        <w:ind w:left="735" w:hanging="735" w:hangingChars="350"/>
        <w:rPr>
          <w:rFonts w:hint="eastAsia" w:ascii="宋体" w:hAnsi="宋体"/>
          <w:color w:val="auto"/>
          <w:highlight w:val="none"/>
        </w:rPr>
      </w:pPr>
    </w:p>
    <w:p w14:paraId="766D1860">
      <w:pPr>
        <w:spacing w:line="380" w:lineRule="exact"/>
        <w:ind w:left="735" w:hanging="735" w:hangingChars="350"/>
        <w:rPr>
          <w:rFonts w:hint="eastAsia" w:ascii="宋体" w:hAnsi="宋体"/>
          <w:color w:val="auto"/>
          <w:highlight w:val="none"/>
        </w:rPr>
      </w:pPr>
    </w:p>
    <w:p w14:paraId="4FBFA9DE">
      <w:pPr>
        <w:spacing w:line="380" w:lineRule="exact"/>
        <w:ind w:left="735" w:hanging="735" w:hangingChars="350"/>
        <w:rPr>
          <w:rFonts w:hint="eastAsia" w:ascii="宋体" w:hAnsi="宋体"/>
          <w:color w:val="auto"/>
          <w:highlight w:val="none"/>
        </w:rPr>
      </w:pPr>
    </w:p>
    <w:p w14:paraId="30EC79CF">
      <w:pPr>
        <w:spacing w:line="380" w:lineRule="exact"/>
        <w:ind w:left="735" w:hanging="735" w:hangingChars="350"/>
        <w:rPr>
          <w:rFonts w:hint="eastAsia" w:ascii="宋体" w:hAnsi="宋体"/>
          <w:color w:val="auto"/>
          <w:highlight w:val="none"/>
        </w:rPr>
      </w:pPr>
    </w:p>
    <w:p w14:paraId="6ECE514D">
      <w:pPr>
        <w:spacing w:line="380" w:lineRule="exact"/>
        <w:ind w:left="735" w:hanging="735" w:hangingChars="350"/>
        <w:rPr>
          <w:rFonts w:hint="eastAsia" w:ascii="宋体" w:hAnsi="宋体"/>
          <w:color w:val="auto"/>
          <w:highlight w:val="none"/>
        </w:rPr>
      </w:pPr>
    </w:p>
    <w:p w14:paraId="7EBC16D6">
      <w:pPr>
        <w:spacing w:line="380" w:lineRule="exact"/>
        <w:ind w:left="735" w:hanging="735" w:hangingChars="350"/>
        <w:rPr>
          <w:rFonts w:hint="eastAsia" w:ascii="宋体" w:hAnsi="宋体"/>
          <w:color w:val="auto"/>
          <w:highlight w:val="none"/>
        </w:rPr>
      </w:pPr>
    </w:p>
    <w:p w14:paraId="3339A0E7">
      <w:pPr>
        <w:spacing w:line="380" w:lineRule="exact"/>
        <w:ind w:left="735" w:hanging="735" w:hangingChars="350"/>
        <w:rPr>
          <w:rFonts w:hint="eastAsia" w:ascii="宋体" w:hAnsi="宋体"/>
          <w:color w:val="auto"/>
          <w:highlight w:val="none"/>
        </w:rPr>
      </w:pPr>
    </w:p>
    <w:p w14:paraId="6C199DFF">
      <w:pPr>
        <w:spacing w:line="380" w:lineRule="exact"/>
        <w:ind w:left="735" w:hanging="735" w:hangingChars="350"/>
        <w:rPr>
          <w:rFonts w:hint="eastAsia" w:ascii="宋体" w:hAnsi="宋体"/>
          <w:color w:val="auto"/>
          <w:highlight w:val="none"/>
        </w:rPr>
      </w:pPr>
    </w:p>
    <w:p w14:paraId="19B45F3D">
      <w:pPr>
        <w:spacing w:line="380" w:lineRule="exact"/>
        <w:ind w:left="735" w:hanging="735" w:hangingChars="350"/>
        <w:rPr>
          <w:rFonts w:hint="eastAsia" w:ascii="宋体" w:hAnsi="宋体"/>
          <w:color w:val="auto"/>
          <w:highlight w:val="none"/>
        </w:rPr>
      </w:pPr>
    </w:p>
    <w:p w14:paraId="65A65749">
      <w:pPr>
        <w:spacing w:line="380" w:lineRule="exact"/>
        <w:ind w:left="735" w:hanging="735" w:hangingChars="350"/>
        <w:rPr>
          <w:rFonts w:hint="eastAsia" w:ascii="宋体" w:hAnsi="宋体"/>
          <w:color w:val="auto"/>
          <w:highlight w:val="none"/>
        </w:rPr>
      </w:pPr>
    </w:p>
    <w:p w14:paraId="49A78249">
      <w:pPr>
        <w:spacing w:line="380" w:lineRule="exact"/>
        <w:ind w:left="735" w:hanging="735" w:hangingChars="350"/>
        <w:rPr>
          <w:rFonts w:hint="eastAsia" w:ascii="宋体" w:hAnsi="宋体"/>
          <w:color w:val="auto"/>
          <w:highlight w:val="none"/>
        </w:rPr>
      </w:pPr>
    </w:p>
    <w:p w14:paraId="4F8A2BFE">
      <w:pPr>
        <w:spacing w:line="380" w:lineRule="exact"/>
        <w:ind w:left="735" w:hanging="735" w:hangingChars="350"/>
        <w:rPr>
          <w:rFonts w:hint="eastAsia" w:ascii="宋体" w:hAnsi="宋体"/>
          <w:color w:val="auto"/>
          <w:highlight w:val="none"/>
        </w:rPr>
      </w:pPr>
    </w:p>
    <w:p w14:paraId="3540AC81">
      <w:pPr>
        <w:spacing w:line="380" w:lineRule="exact"/>
        <w:ind w:left="735" w:hanging="735" w:hangingChars="350"/>
        <w:rPr>
          <w:rFonts w:hint="eastAsia" w:ascii="宋体" w:hAnsi="宋体"/>
          <w:color w:val="auto"/>
          <w:highlight w:val="none"/>
        </w:rPr>
      </w:pPr>
    </w:p>
    <w:p w14:paraId="43C5D135">
      <w:pPr>
        <w:spacing w:line="380" w:lineRule="exact"/>
        <w:ind w:left="735" w:hanging="735" w:hangingChars="350"/>
        <w:rPr>
          <w:rFonts w:hint="eastAsia" w:ascii="宋体" w:hAnsi="宋体"/>
          <w:color w:val="auto"/>
          <w:highlight w:val="none"/>
        </w:rPr>
      </w:pPr>
    </w:p>
    <w:p w14:paraId="5CFB1323">
      <w:pPr>
        <w:spacing w:line="380" w:lineRule="exact"/>
        <w:ind w:left="735" w:hanging="735" w:hangingChars="350"/>
        <w:rPr>
          <w:rFonts w:hint="eastAsia" w:ascii="宋体" w:hAnsi="宋体"/>
          <w:color w:val="auto"/>
          <w:highlight w:val="none"/>
        </w:rPr>
      </w:pPr>
    </w:p>
    <w:p w14:paraId="79BD07DD">
      <w:pPr>
        <w:spacing w:line="380" w:lineRule="exact"/>
        <w:ind w:left="735" w:hanging="735" w:hangingChars="350"/>
        <w:rPr>
          <w:rFonts w:hint="eastAsia" w:ascii="宋体" w:hAnsi="宋体"/>
          <w:color w:val="auto"/>
          <w:highlight w:val="none"/>
        </w:rPr>
      </w:pPr>
      <w:r>
        <w:rPr>
          <w:rFonts w:hint="eastAsia" w:ascii="宋体" w:hAnsi="宋体"/>
          <w:color w:val="auto"/>
          <w:highlight w:val="none"/>
        </w:rPr>
        <w:t xml:space="preserve">备注：1. </w:t>
      </w:r>
      <w:r>
        <w:rPr>
          <w:rFonts w:hint="eastAsia" w:ascii="宋体" w:hAnsi="宋体"/>
          <w:color w:val="auto"/>
          <w:szCs w:val="21"/>
          <w:highlight w:val="none"/>
        </w:rPr>
        <w:t>以下表格供招标人参考。</w:t>
      </w:r>
    </w:p>
    <w:p w14:paraId="0AE9DF84">
      <w:pPr>
        <w:spacing w:line="380" w:lineRule="exact"/>
        <w:ind w:left="945" w:leftChars="300" w:hanging="315" w:hangingChars="150"/>
        <w:rPr>
          <w:rFonts w:hint="eastAsia" w:ascii="宋体" w:hAnsi="宋体"/>
          <w:color w:val="auto"/>
          <w:szCs w:val="21"/>
          <w:highlight w:val="none"/>
        </w:rPr>
      </w:pPr>
      <w:r>
        <w:rPr>
          <w:rFonts w:hint="eastAsia" w:ascii="宋体" w:hAnsi="宋体"/>
          <w:color w:val="auto"/>
          <w:szCs w:val="21"/>
          <w:highlight w:val="none"/>
        </w:rPr>
        <w:t>2. 以下表格中的单价应根据所选用计税方法不同进行调整。一般计税方法应为除税价格，简易计税方法应为含税价格。</w:t>
      </w:r>
    </w:p>
    <w:p w14:paraId="6F2A0B27">
      <w:pPr>
        <w:spacing w:line="380" w:lineRule="exact"/>
        <w:ind w:left="735" w:hanging="735" w:hangingChars="350"/>
        <w:rPr>
          <w:rFonts w:hint="eastAsia" w:ascii="Times New Roman" w:hAnsi="Times New Roman"/>
          <w:color w:val="auto"/>
          <w:szCs w:val="28"/>
          <w:highlight w:val="none"/>
        </w:rPr>
      </w:pPr>
    </w:p>
    <w:p w14:paraId="342B451D">
      <w:pPr>
        <w:spacing w:line="380" w:lineRule="exact"/>
        <w:ind w:left="735" w:hanging="735" w:hangingChars="350"/>
        <w:rPr>
          <w:color w:val="auto"/>
          <w:szCs w:val="28"/>
          <w:highlight w:val="none"/>
        </w:rPr>
      </w:pPr>
    </w:p>
    <w:p w14:paraId="3947CE18">
      <w:pPr>
        <w:spacing w:line="380" w:lineRule="exact"/>
        <w:ind w:left="735" w:hanging="735" w:hangingChars="350"/>
        <w:rPr>
          <w:color w:val="auto"/>
          <w:szCs w:val="28"/>
          <w:highlight w:val="none"/>
        </w:rPr>
      </w:pPr>
    </w:p>
    <w:p w14:paraId="0691779A">
      <w:pPr>
        <w:pStyle w:val="33"/>
        <w:rPr>
          <w:color w:val="auto"/>
          <w:highlight w:val="none"/>
        </w:rPr>
      </w:pPr>
      <w:bookmarkStart w:id="2301" w:name="_Toc521075238"/>
      <w:bookmarkStart w:id="2302" w:name="_Toc15841"/>
      <w:bookmarkStart w:id="2303" w:name="_Toc521075663"/>
      <w:r>
        <w:rPr>
          <w:color w:val="auto"/>
          <w:highlight w:val="none"/>
        </w:rPr>
        <w:t>4.1</w:t>
      </w:r>
      <w:r>
        <w:rPr>
          <w:rFonts w:hint="eastAsia"/>
          <w:color w:val="auto"/>
          <w:highlight w:val="none"/>
        </w:rPr>
        <w:t>招标工程量清单封面</w:t>
      </w:r>
      <w:bookmarkEnd w:id="2301"/>
      <w:bookmarkEnd w:id="2302"/>
      <w:bookmarkEnd w:id="2303"/>
    </w:p>
    <w:p w14:paraId="7EC7BBBD">
      <w:pPr>
        <w:spacing w:line="380" w:lineRule="exact"/>
        <w:ind w:firstLine="420" w:firstLineChars="200"/>
        <w:rPr>
          <w:rFonts w:ascii="黑体" w:hAnsi="宋体" w:eastAsia="黑体"/>
          <w:color w:val="auto"/>
          <w:highlight w:val="none"/>
        </w:rPr>
      </w:pPr>
    </w:p>
    <w:p w14:paraId="0E3DD752">
      <w:pPr>
        <w:spacing w:line="380" w:lineRule="exact"/>
        <w:ind w:firstLine="420" w:firstLineChars="200"/>
        <w:rPr>
          <w:rFonts w:hint="eastAsia" w:ascii="黑体" w:hAnsi="宋体" w:eastAsia="黑体"/>
          <w:color w:val="auto"/>
          <w:highlight w:val="none"/>
        </w:rPr>
      </w:pPr>
    </w:p>
    <w:p w14:paraId="40AE8184">
      <w:pPr>
        <w:spacing w:line="380" w:lineRule="exact"/>
        <w:jc w:val="center"/>
        <w:rPr>
          <w:rFonts w:hint="eastAsia" w:ascii="黑体" w:hAnsi="宋体" w:eastAsia="黑体"/>
          <w:color w:val="auto"/>
          <w:highlight w:val="none"/>
        </w:rPr>
      </w:pPr>
      <w:r>
        <w:rPr>
          <w:rFonts w:hint="eastAsia" w:ascii="黑体" w:hAnsi="宋体" w:eastAsia="黑体"/>
          <w:color w:val="auto"/>
          <w:highlight w:val="none"/>
        </w:rPr>
        <w:t xml:space="preserve"> </w:t>
      </w:r>
    </w:p>
    <w:p w14:paraId="2668063B">
      <w:pPr>
        <w:spacing w:line="380" w:lineRule="exact"/>
        <w:jc w:val="center"/>
        <w:rPr>
          <w:rFonts w:hint="eastAsia" w:ascii="宋体" w:hAnsi="宋体"/>
          <w:b/>
          <w:color w:val="auto"/>
          <w:sz w:val="28"/>
          <w:szCs w:val="28"/>
          <w:highlight w:val="none"/>
        </w:rPr>
      </w:pPr>
      <w:r>
        <w:rPr>
          <w:rFonts w:hint="eastAsia" w:ascii="黑体" w:hAnsi="宋体" w:eastAsia="黑体"/>
          <w:color w:val="auto"/>
          <w:highlight w:val="none"/>
        </w:rPr>
        <w:t xml:space="preserve">   </w:t>
      </w:r>
      <w:r>
        <w:rPr>
          <w:rFonts w:hint="eastAsia" w:ascii="黑体" w:hAnsi="宋体" w:eastAsia="黑体"/>
          <w:color w:val="auto"/>
          <w:highlight w:val="none"/>
          <w:u w:val="single"/>
        </w:rPr>
        <w:t xml:space="preserve">                                            </w:t>
      </w:r>
      <w:r>
        <w:rPr>
          <w:rFonts w:hint="eastAsia" w:ascii="宋体" w:hAnsi="宋体"/>
          <w:b/>
          <w:color w:val="auto"/>
          <w:sz w:val="28"/>
          <w:szCs w:val="28"/>
          <w:highlight w:val="none"/>
        </w:rPr>
        <w:t>工程</w:t>
      </w:r>
    </w:p>
    <w:p w14:paraId="5FE3C492">
      <w:pPr>
        <w:spacing w:line="380" w:lineRule="exact"/>
        <w:jc w:val="center"/>
        <w:rPr>
          <w:rFonts w:hint="eastAsia" w:ascii="宋体" w:hAnsi="宋体"/>
          <w:color w:val="auto"/>
          <w:szCs w:val="24"/>
          <w:highlight w:val="none"/>
        </w:rPr>
      </w:pPr>
    </w:p>
    <w:p w14:paraId="4EDE05FD">
      <w:pPr>
        <w:spacing w:line="380" w:lineRule="exact"/>
        <w:jc w:val="center"/>
        <w:rPr>
          <w:rFonts w:hint="eastAsia" w:ascii="宋体" w:hAnsi="宋体"/>
          <w:color w:val="auto"/>
          <w:highlight w:val="none"/>
        </w:rPr>
      </w:pPr>
    </w:p>
    <w:p w14:paraId="119FD21D">
      <w:pPr>
        <w:spacing w:line="380" w:lineRule="exact"/>
        <w:ind w:firstLine="640" w:firstLineChars="200"/>
        <w:jc w:val="center"/>
        <w:rPr>
          <w:rFonts w:hint="eastAsia" w:ascii="黑体" w:hAnsi="宋体" w:eastAsia="黑体"/>
          <w:color w:val="auto"/>
          <w:sz w:val="32"/>
          <w:szCs w:val="32"/>
          <w:highlight w:val="none"/>
        </w:rPr>
      </w:pPr>
    </w:p>
    <w:p w14:paraId="66D007B4">
      <w:pPr>
        <w:spacing w:line="380" w:lineRule="exact"/>
        <w:ind w:firstLine="640" w:firstLineChars="200"/>
        <w:jc w:val="center"/>
        <w:rPr>
          <w:rFonts w:hint="eastAsia" w:ascii="黑体" w:hAnsi="宋体" w:eastAsia="黑体"/>
          <w:color w:val="auto"/>
          <w:sz w:val="32"/>
          <w:szCs w:val="32"/>
          <w:highlight w:val="none"/>
        </w:rPr>
      </w:pPr>
    </w:p>
    <w:p w14:paraId="1640C3E0">
      <w:pPr>
        <w:spacing w:line="380" w:lineRule="exact"/>
        <w:ind w:firstLine="880" w:firstLineChars="200"/>
        <w:jc w:val="center"/>
        <w:rPr>
          <w:rFonts w:hint="eastAsia" w:ascii="黑体" w:hAnsi="宋体" w:eastAsia="黑体"/>
          <w:color w:val="auto"/>
          <w:sz w:val="44"/>
          <w:szCs w:val="44"/>
          <w:highlight w:val="none"/>
        </w:rPr>
      </w:pPr>
    </w:p>
    <w:p w14:paraId="1D9784B7">
      <w:pPr>
        <w:spacing w:line="380" w:lineRule="exact"/>
        <w:ind w:firstLine="880" w:firstLineChars="200"/>
        <w:jc w:val="center"/>
        <w:rPr>
          <w:rFonts w:hint="eastAsia" w:ascii="黑体" w:hAnsi="宋体" w:eastAsia="黑体"/>
          <w:color w:val="auto"/>
          <w:sz w:val="44"/>
          <w:szCs w:val="44"/>
          <w:highlight w:val="none"/>
        </w:rPr>
      </w:pPr>
    </w:p>
    <w:p w14:paraId="74DC1ACF">
      <w:pPr>
        <w:spacing w:line="380" w:lineRule="exact"/>
        <w:ind w:firstLine="720" w:firstLineChars="200"/>
        <w:jc w:val="center"/>
        <w:rPr>
          <w:rFonts w:hint="eastAsia" w:ascii="黑体" w:hAnsi="宋体" w:eastAsia="黑体"/>
          <w:color w:val="auto"/>
          <w:sz w:val="36"/>
          <w:szCs w:val="36"/>
          <w:highlight w:val="none"/>
        </w:rPr>
      </w:pPr>
      <w:r>
        <w:rPr>
          <w:rFonts w:hint="eastAsia" w:ascii="黑体" w:hAnsi="宋体" w:eastAsia="黑体"/>
          <w:color w:val="auto"/>
          <w:sz w:val="36"/>
          <w:szCs w:val="36"/>
          <w:highlight w:val="none"/>
        </w:rPr>
        <w:t>招 标 工 程 量 清 单</w:t>
      </w:r>
    </w:p>
    <w:p w14:paraId="249D4647">
      <w:pPr>
        <w:spacing w:line="380" w:lineRule="exact"/>
        <w:ind w:firstLine="880" w:firstLineChars="200"/>
        <w:jc w:val="center"/>
        <w:rPr>
          <w:rFonts w:hint="eastAsia" w:ascii="黑体" w:hAnsi="宋体" w:eastAsia="黑体"/>
          <w:color w:val="auto"/>
          <w:sz w:val="44"/>
          <w:szCs w:val="44"/>
          <w:highlight w:val="none"/>
        </w:rPr>
      </w:pPr>
    </w:p>
    <w:p w14:paraId="0F07B2A9">
      <w:pPr>
        <w:spacing w:line="380" w:lineRule="exact"/>
        <w:ind w:firstLine="880" w:firstLineChars="200"/>
        <w:jc w:val="center"/>
        <w:rPr>
          <w:rFonts w:hint="eastAsia" w:ascii="黑体" w:hAnsi="宋体" w:eastAsia="黑体"/>
          <w:color w:val="auto"/>
          <w:sz w:val="44"/>
          <w:szCs w:val="44"/>
          <w:highlight w:val="none"/>
        </w:rPr>
      </w:pPr>
    </w:p>
    <w:p w14:paraId="322656D6">
      <w:pPr>
        <w:spacing w:line="380" w:lineRule="exact"/>
        <w:ind w:firstLine="560" w:firstLineChars="200"/>
        <w:jc w:val="center"/>
        <w:rPr>
          <w:rFonts w:hint="eastAsia" w:ascii="黑体" w:hAnsi="宋体" w:eastAsia="黑体"/>
          <w:color w:val="auto"/>
          <w:sz w:val="28"/>
          <w:szCs w:val="28"/>
          <w:highlight w:val="none"/>
        </w:rPr>
      </w:pPr>
    </w:p>
    <w:p w14:paraId="002894AC">
      <w:pPr>
        <w:spacing w:line="380" w:lineRule="exact"/>
        <w:ind w:firstLine="560" w:firstLineChars="200"/>
        <w:jc w:val="center"/>
        <w:rPr>
          <w:rFonts w:hint="eastAsia" w:ascii="黑体" w:hAnsi="宋体" w:eastAsia="黑体"/>
          <w:color w:val="auto"/>
          <w:sz w:val="28"/>
          <w:szCs w:val="28"/>
          <w:highlight w:val="none"/>
        </w:rPr>
      </w:pPr>
    </w:p>
    <w:p w14:paraId="5A28E856">
      <w:pPr>
        <w:spacing w:line="380" w:lineRule="exact"/>
        <w:ind w:firstLine="560" w:firstLineChars="200"/>
        <w:jc w:val="center"/>
        <w:rPr>
          <w:rFonts w:hint="eastAsia" w:ascii="黑体" w:hAnsi="宋体" w:eastAsia="黑体"/>
          <w:color w:val="auto"/>
          <w:sz w:val="28"/>
          <w:szCs w:val="28"/>
          <w:highlight w:val="none"/>
        </w:rPr>
      </w:pPr>
    </w:p>
    <w:p w14:paraId="41D6584A">
      <w:pPr>
        <w:spacing w:line="380" w:lineRule="exact"/>
        <w:ind w:firstLine="560" w:firstLineChars="200"/>
        <w:jc w:val="center"/>
        <w:rPr>
          <w:rFonts w:hint="eastAsia" w:ascii="黑体" w:hAnsi="宋体" w:eastAsia="黑体"/>
          <w:color w:val="auto"/>
          <w:sz w:val="28"/>
          <w:szCs w:val="28"/>
          <w:highlight w:val="none"/>
        </w:rPr>
      </w:pPr>
    </w:p>
    <w:p w14:paraId="5684BB47">
      <w:pPr>
        <w:spacing w:line="380" w:lineRule="exact"/>
        <w:ind w:firstLine="560" w:firstLineChars="200"/>
        <w:jc w:val="center"/>
        <w:rPr>
          <w:rFonts w:hint="eastAsia" w:ascii="黑体" w:hAnsi="宋体" w:eastAsia="黑体"/>
          <w:color w:val="auto"/>
          <w:sz w:val="28"/>
          <w:szCs w:val="28"/>
          <w:highlight w:val="none"/>
        </w:rPr>
      </w:pPr>
    </w:p>
    <w:p w14:paraId="66E47D7D">
      <w:pPr>
        <w:spacing w:line="380" w:lineRule="exact"/>
        <w:ind w:firstLine="560" w:firstLineChars="200"/>
        <w:jc w:val="center"/>
        <w:rPr>
          <w:rFonts w:hint="eastAsia" w:ascii="黑体" w:hAnsi="宋体" w:eastAsia="黑体"/>
          <w:color w:val="auto"/>
          <w:sz w:val="28"/>
          <w:szCs w:val="28"/>
          <w:highlight w:val="none"/>
        </w:rPr>
      </w:pPr>
    </w:p>
    <w:p w14:paraId="20E40A0B">
      <w:pPr>
        <w:spacing w:line="380" w:lineRule="exact"/>
        <w:ind w:firstLine="560" w:firstLineChars="200"/>
        <w:jc w:val="center"/>
        <w:rPr>
          <w:rFonts w:hint="eastAsia" w:ascii="黑体" w:hAnsi="宋体" w:eastAsia="黑体"/>
          <w:color w:val="auto"/>
          <w:sz w:val="28"/>
          <w:szCs w:val="28"/>
          <w:highlight w:val="none"/>
        </w:rPr>
      </w:pPr>
    </w:p>
    <w:p w14:paraId="5A96F0E3">
      <w:pPr>
        <w:spacing w:line="380" w:lineRule="exact"/>
        <w:rPr>
          <w:rFonts w:hint="eastAsia" w:ascii="黑体" w:hAnsi="宋体" w:eastAsia="黑体"/>
          <w:color w:val="auto"/>
          <w:sz w:val="28"/>
          <w:szCs w:val="28"/>
          <w:highlight w:val="none"/>
        </w:rPr>
      </w:pPr>
    </w:p>
    <w:p w14:paraId="330BD479">
      <w:pPr>
        <w:spacing w:line="380" w:lineRule="exact"/>
        <w:ind w:firstLine="560" w:firstLineChars="200"/>
        <w:jc w:val="center"/>
        <w:rPr>
          <w:rFonts w:hint="eastAsia" w:ascii="黑体" w:hAnsi="宋体" w:eastAsia="黑体"/>
          <w:color w:val="auto"/>
          <w:sz w:val="28"/>
          <w:szCs w:val="28"/>
          <w:highlight w:val="none"/>
        </w:rPr>
      </w:pPr>
    </w:p>
    <w:p w14:paraId="12886931">
      <w:pPr>
        <w:spacing w:line="200" w:lineRule="exact"/>
        <w:rPr>
          <w:rFonts w:hint="eastAsia" w:ascii="宋体" w:hAnsi="宋体"/>
          <w:color w:val="auto"/>
          <w:szCs w:val="24"/>
          <w:highlight w:val="none"/>
        </w:rPr>
      </w:pPr>
    </w:p>
    <w:p w14:paraId="673AF54A">
      <w:pPr>
        <w:spacing w:line="260" w:lineRule="exact"/>
        <w:ind w:firstLine="1920" w:firstLineChars="800"/>
        <w:rPr>
          <w:rFonts w:hint="eastAsia" w:ascii="宋体" w:hAnsi="宋体"/>
          <w:color w:val="auto"/>
          <w:sz w:val="24"/>
          <w:highlight w:val="none"/>
        </w:rPr>
      </w:pPr>
      <w:r>
        <w:rPr>
          <w:rFonts w:hint="eastAsia" w:ascii="宋体" w:hAnsi="宋体"/>
          <w:color w:val="auto"/>
          <w:sz w:val="24"/>
          <w:highlight w:val="none"/>
        </w:rPr>
        <w:t>招  标  人：</w:t>
      </w:r>
      <w:r>
        <w:rPr>
          <w:rFonts w:hint="eastAsia" w:ascii="黑体" w:hAnsi="宋体" w:eastAsia="黑体"/>
          <w:color w:val="auto"/>
          <w:sz w:val="24"/>
          <w:highlight w:val="none"/>
          <w:u w:val="single"/>
        </w:rPr>
        <w:t xml:space="preserve">                          </w:t>
      </w:r>
    </w:p>
    <w:p w14:paraId="0FA09950">
      <w:pPr>
        <w:spacing w:line="260" w:lineRule="exact"/>
        <w:ind w:firstLine="4080" w:firstLineChars="1700"/>
        <w:rPr>
          <w:rFonts w:hint="eastAsia" w:ascii="宋体" w:hAnsi="宋体"/>
          <w:color w:val="auto"/>
          <w:sz w:val="24"/>
          <w:highlight w:val="none"/>
        </w:rPr>
      </w:pPr>
      <w:r>
        <w:rPr>
          <w:rFonts w:hint="eastAsia" w:ascii="宋体" w:hAnsi="宋体"/>
          <w:color w:val="auto"/>
          <w:sz w:val="24"/>
          <w:highlight w:val="none"/>
        </w:rPr>
        <w:t>(单位盖章)</w:t>
      </w:r>
    </w:p>
    <w:p w14:paraId="01E1F772">
      <w:pPr>
        <w:spacing w:line="260" w:lineRule="exact"/>
        <w:rPr>
          <w:rFonts w:hint="eastAsia" w:ascii="宋体" w:hAnsi="宋体"/>
          <w:color w:val="auto"/>
          <w:sz w:val="24"/>
          <w:highlight w:val="none"/>
        </w:rPr>
      </w:pPr>
    </w:p>
    <w:p w14:paraId="478AE746">
      <w:pPr>
        <w:spacing w:line="260" w:lineRule="exact"/>
        <w:rPr>
          <w:rFonts w:hint="eastAsia" w:ascii="宋体" w:hAnsi="宋体"/>
          <w:color w:val="auto"/>
          <w:sz w:val="24"/>
          <w:highlight w:val="none"/>
        </w:rPr>
      </w:pPr>
    </w:p>
    <w:p w14:paraId="7CEFAD2F">
      <w:pPr>
        <w:spacing w:line="260" w:lineRule="exact"/>
        <w:rPr>
          <w:rFonts w:hint="eastAsia" w:ascii="宋体" w:hAnsi="宋体"/>
          <w:color w:val="auto"/>
          <w:sz w:val="24"/>
          <w:highlight w:val="none"/>
        </w:rPr>
      </w:pPr>
    </w:p>
    <w:p w14:paraId="712F12AD">
      <w:pPr>
        <w:spacing w:line="260" w:lineRule="exact"/>
        <w:ind w:firstLine="1920" w:firstLineChars="800"/>
        <w:rPr>
          <w:rFonts w:hint="eastAsia" w:ascii="宋体" w:hAnsi="宋体"/>
          <w:color w:val="auto"/>
          <w:sz w:val="24"/>
          <w:highlight w:val="none"/>
        </w:rPr>
      </w:pPr>
      <w:r>
        <w:rPr>
          <w:rFonts w:hint="eastAsia" w:ascii="宋体" w:hAnsi="宋体"/>
          <w:color w:val="auto"/>
          <w:sz w:val="24"/>
          <w:highlight w:val="none"/>
        </w:rPr>
        <w:t>造价咨询人：</w:t>
      </w:r>
      <w:r>
        <w:rPr>
          <w:rFonts w:hint="eastAsia" w:ascii="黑体" w:hAnsi="宋体" w:eastAsia="黑体"/>
          <w:color w:val="auto"/>
          <w:sz w:val="24"/>
          <w:highlight w:val="none"/>
          <w:u w:val="single"/>
        </w:rPr>
        <w:t xml:space="preserve">                          </w:t>
      </w:r>
    </w:p>
    <w:p w14:paraId="6D50086C">
      <w:pPr>
        <w:spacing w:line="260" w:lineRule="exact"/>
        <w:rPr>
          <w:rFonts w:hint="eastAsia" w:ascii="宋体" w:hAnsi="宋体"/>
          <w:color w:val="auto"/>
          <w:sz w:val="24"/>
          <w:highlight w:val="none"/>
        </w:rPr>
      </w:pPr>
      <w:r>
        <w:rPr>
          <w:rFonts w:hint="eastAsia" w:ascii="宋体" w:hAnsi="宋体"/>
          <w:color w:val="auto"/>
          <w:sz w:val="24"/>
          <w:highlight w:val="none"/>
        </w:rPr>
        <w:t xml:space="preserve">                                  (单位盖章)</w:t>
      </w:r>
    </w:p>
    <w:p w14:paraId="3E05AA6B">
      <w:pPr>
        <w:spacing w:line="380" w:lineRule="exact"/>
        <w:rPr>
          <w:rFonts w:hint="eastAsia" w:ascii="宋体" w:hAnsi="宋体"/>
          <w:color w:val="auto"/>
          <w:sz w:val="24"/>
          <w:highlight w:val="none"/>
        </w:rPr>
      </w:pPr>
    </w:p>
    <w:p w14:paraId="5BCB34D0">
      <w:pPr>
        <w:spacing w:line="220" w:lineRule="exact"/>
        <w:rPr>
          <w:rFonts w:hint="eastAsia" w:ascii="宋体" w:hAnsi="宋体"/>
          <w:color w:val="auto"/>
          <w:sz w:val="24"/>
          <w:highlight w:val="none"/>
        </w:rPr>
      </w:pPr>
    </w:p>
    <w:p w14:paraId="321C2747">
      <w:pPr>
        <w:spacing w:line="380" w:lineRule="exact"/>
        <w:ind w:firstLine="3000" w:firstLineChars="1250"/>
        <w:rPr>
          <w:rFonts w:hint="eastAsia" w:ascii="宋体" w:hAnsi="宋体"/>
          <w:color w:val="auto"/>
          <w:sz w:val="24"/>
          <w:highlight w:val="none"/>
        </w:rPr>
      </w:pPr>
      <w:r>
        <w:rPr>
          <w:rFonts w:hint="eastAsia" w:ascii="宋体" w:hAnsi="宋体"/>
          <w:color w:val="auto"/>
          <w:sz w:val="24"/>
          <w:highlight w:val="none"/>
        </w:rPr>
        <w:t xml:space="preserve">        年    月    日</w:t>
      </w:r>
    </w:p>
    <w:p w14:paraId="619A0D1A">
      <w:pPr>
        <w:spacing w:line="380" w:lineRule="exact"/>
        <w:rPr>
          <w:rFonts w:hint="eastAsia" w:ascii="宋体" w:hAnsi="宋体"/>
          <w:color w:val="auto"/>
          <w:sz w:val="28"/>
          <w:szCs w:val="28"/>
          <w:highlight w:val="none"/>
        </w:rPr>
      </w:pPr>
    </w:p>
    <w:p w14:paraId="3999F415">
      <w:pPr>
        <w:spacing w:line="380" w:lineRule="exact"/>
        <w:rPr>
          <w:rFonts w:hint="eastAsia" w:ascii="宋体" w:hAnsi="宋体"/>
          <w:color w:val="auto"/>
          <w:szCs w:val="24"/>
          <w:highlight w:val="none"/>
        </w:rPr>
      </w:pPr>
    </w:p>
    <w:p w14:paraId="21199E53">
      <w:pPr>
        <w:spacing w:line="380" w:lineRule="exact"/>
        <w:rPr>
          <w:rFonts w:hint="eastAsia" w:ascii="宋体" w:hAnsi="宋体"/>
          <w:color w:val="auto"/>
          <w:highlight w:val="none"/>
        </w:rPr>
      </w:pPr>
    </w:p>
    <w:p w14:paraId="7022615B">
      <w:pPr>
        <w:spacing w:line="380" w:lineRule="exact"/>
        <w:rPr>
          <w:rFonts w:hint="eastAsia" w:ascii="宋体" w:hAnsi="宋体"/>
          <w:color w:val="auto"/>
          <w:highlight w:val="none"/>
        </w:rPr>
      </w:pPr>
    </w:p>
    <w:p w14:paraId="7DE21A62">
      <w:pPr>
        <w:pStyle w:val="33"/>
        <w:rPr>
          <w:rFonts w:hint="eastAsia" w:ascii="Times New Roman" w:hAnsi="Times New Roman"/>
          <w:color w:val="auto"/>
          <w:highlight w:val="none"/>
        </w:rPr>
      </w:pPr>
      <w:bookmarkStart w:id="2304" w:name="_Toc521075664"/>
      <w:bookmarkStart w:id="2305" w:name="_Toc9556"/>
      <w:bookmarkStart w:id="2306" w:name="_Toc521075239"/>
      <w:r>
        <w:rPr>
          <w:color w:val="auto"/>
          <w:highlight w:val="none"/>
        </w:rPr>
        <w:t>4.2</w:t>
      </w:r>
      <w:r>
        <w:rPr>
          <w:rFonts w:hint="eastAsia"/>
          <w:color w:val="auto"/>
          <w:highlight w:val="none"/>
        </w:rPr>
        <w:t>招标工程量清单扉页</w:t>
      </w:r>
      <w:bookmarkEnd w:id="2304"/>
      <w:bookmarkEnd w:id="2305"/>
      <w:bookmarkEnd w:id="2306"/>
    </w:p>
    <w:p w14:paraId="793D1F83">
      <w:pPr>
        <w:spacing w:line="380" w:lineRule="exact"/>
        <w:ind w:firstLine="420" w:firstLineChars="200"/>
        <w:rPr>
          <w:rFonts w:ascii="黑体" w:hAnsi="宋体" w:eastAsia="黑体"/>
          <w:color w:val="auto"/>
          <w:highlight w:val="none"/>
        </w:rPr>
      </w:pPr>
    </w:p>
    <w:p w14:paraId="66843E47">
      <w:pPr>
        <w:spacing w:line="380" w:lineRule="exact"/>
        <w:ind w:firstLine="420" w:firstLineChars="200"/>
        <w:rPr>
          <w:rFonts w:hint="eastAsia" w:ascii="黑体" w:hAnsi="宋体" w:eastAsia="黑体"/>
          <w:color w:val="auto"/>
          <w:highlight w:val="none"/>
        </w:rPr>
      </w:pPr>
    </w:p>
    <w:p w14:paraId="0F100698">
      <w:pPr>
        <w:spacing w:line="380" w:lineRule="exact"/>
        <w:jc w:val="center"/>
        <w:rPr>
          <w:rFonts w:hint="eastAsia" w:ascii="宋体" w:hAnsi="宋体"/>
          <w:b/>
          <w:color w:val="auto"/>
          <w:highlight w:val="none"/>
        </w:rPr>
      </w:pPr>
      <w:r>
        <w:rPr>
          <w:rFonts w:hint="eastAsia" w:ascii="黑体" w:hAnsi="宋体" w:eastAsia="黑体"/>
          <w:color w:val="auto"/>
          <w:highlight w:val="none"/>
        </w:rPr>
        <w:t xml:space="preserve">    </w:t>
      </w:r>
      <w:r>
        <w:rPr>
          <w:rFonts w:hint="eastAsia" w:ascii="黑体" w:hAnsi="宋体" w:eastAsia="黑体"/>
          <w:color w:val="auto"/>
          <w:highlight w:val="none"/>
          <w:u w:val="single"/>
        </w:rPr>
        <w:t xml:space="preserve">                                            </w:t>
      </w:r>
      <w:r>
        <w:rPr>
          <w:rFonts w:hint="eastAsia" w:ascii="宋体" w:hAnsi="宋体"/>
          <w:b/>
          <w:color w:val="auto"/>
          <w:highlight w:val="none"/>
        </w:rPr>
        <w:t>工程</w:t>
      </w:r>
    </w:p>
    <w:p w14:paraId="22E53080">
      <w:pPr>
        <w:spacing w:line="380" w:lineRule="exact"/>
        <w:jc w:val="center"/>
        <w:rPr>
          <w:rFonts w:hint="eastAsia" w:ascii="宋体" w:hAnsi="宋体"/>
          <w:color w:val="auto"/>
          <w:highlight w:val="none"/>
        </w:rPr>
      </w:pPr>
    </w:p>
    <w:p w14:paraId="160E9506">
      <w:pPr>
        <w:spacing w:line="380" w:lineRule="exact"/>
        <w:jc w:val="center"/>
        <w:rPr>
          <w:rFonts w:hint="eastAsia" w:ascii="宋体" w:hAnsi="宋体"/>
          <w:color w:val="auto"/>
          <w:highlight w:val="none"/>
        </w:rPr>
      </w:pPr>
    </w:p>
    <w:p w14:paraId="29CFBED6">
      <w:pPr>
        <w:spacing w:line="380" w:lineRule="exact"/>
        <w:ind w:firstLine="640" w:firstLineChars="200"/>
        <w:jc w:val="center"/>
        <w:rPr>
          <w:rFonts w:hint="eastAsia" w:ascii="黑体" w:hAnsi="宋体" w:eastAsia="黑体"/>
          <w:color w:val="auto"/>
          <w:sz w:val="32"/>
          <w:szCs w:val="32"/>
          <w:highlight w:val="none"/>
        </w:rPr>
      </w:pPr>
      <w:r>
        <w:rPr>
          <w:rFonts w:hint="eastAsia" w:ascii="黑体" w:hAnsi="宋体" w:eastAsia="黑体"/>
          <w:color w:val="auto"/>
          <w:sz w:val="32"/>
          <w:szCs w:val="32"/>
          <w:highlight w:val="none"/>
        </w:rPr>
        <w:t>招 标 工 程 量 清 单</w:t>
      </w:r>
    </w:p>
    <w:p w14:paraId="742D5B83">
      <w:pPr>
        <w:spacing w:line="380" w:lineRule="exact"/>
        <w:ind w:firstLine="560" w:firstLineChars="200"/>
        <w:jc w:val="center"/>
        <w:rPr>
          <w:rFonts w:hint="eastAsia" w:ascii="黑体" w:hAnsi="宋体" w:eastAsia="黑体"/>
          <w:color w:val="auto"/>
          <w:sz w:val="28"/>
          <w:szCs w:val="28"/>
          <w:highlight w:val="none"/>
        </w:rPr>
      </w:pPr>
    </w:p>
    <w:p w14:paraId="1AC80908">
      <w:pPr>
        <w:spacing w:line="380" w:lineRule="exact"/>
        <w:ind w:firstLine="560" w:firstLineChars="200"/>
        <w:jc w:val="center"/>
        <w:rPr>
          <w:rFonts w:hint="eastAsia" w:ascii="黑体" w:hAnsi="宋体" w:eastAsia="黑体"/>
          <w:color w:val="auto"/>
          <w:sz w:val="28"/>
          <w:szCs w:val="28"/>
          <w:highlight w:val="none"/>
        </w:rPr>
      </w:pPr>
    </w:p>
    <w:p w14:paraId="26F55CCB">
      <w:pPr>
        <w:spacing w:line="380" w:lineRule="exact"/>
        <w:ind w:firstLine="560" w:firstLineChars="200"/>
        <w:jc w:val="center"/>
        <w:rPr>
          <w:rFonts w:hint="eastAsia" w:ascii="黑体" w:hAnsi="宋体" w:eastAsia="黑体"/>
          <w:color w:val="auto"/>
          <w:sz w:val="28"/>
          <w:szCs w:val="28"/>
          <w:highlight w:val="none"/>
        </w:rPr>
      </w:pPr>
    </w:p>
    <w:p w14:paraId="01E9D1E6">
      <w:pPr>
        <w:spacing w:line="380" w:lineRule="exact"/>
        <w:ind w:firstLine="560" w:firstLineChars="200"/>
        <w:jc w:val="center"/>
        <w:rPr>
          <w:rFonts w:hint="eastAsia" w:ascii="黑体" w:hAnsi="宋体" w:eastAsia="黑体"/>
          <w:color w:val="auto"/>
          <w:sz w:val="28"/>
          <w:szCs w:val="28"/>
          <w:highlight w:val="none"/>
        </w:rPr>
      </w:pPr>
    </w:p>
    <w:p w14:paraId="7949BD30">
      <w:pPr>
        <w:spacing w:line="380" w:lineRule="exact"/>
        <w:ind w:firstLine="560" w:firstLineChars="200"/>
        <w:jc w:val="center"/>
        <w:rPr>
          <w:rFonts w:hint="eastAsia" w:ascii="黑体" w:hAnsi="宋体" w:eastAsia="黑体"/>
          <w:color w:val="auto"/>
          <w:sz w:val="28"/>
          <w:szCs w:val="28"/>
          <w:highlight w:val="none"/>
        </w:rPr>
      </w:pPr>
    </w:p>
    <w:p w14:paraId="1CFCDC00">
      <w:pPr>
        <w:spacing w:line="380" w:lineRule="exact"/>
        <w:ind w:firstLine="560" w:firstLineChars="200"/>
        <w:jc w:val="center"/>
        <w:rPr>
          <w:rFonts w:hint="eastAsia" w:ascii="黑体" w:hAnsi="宋体" w:eastAsia="黑体"/>
          <w:color w:val="auto"/>
          <w:sz w:val="28"/>
          <w:szCs w:val="28"/>
          <w:highlight w:val="none"/>
        </w:rPr>
      </w:pPr>
    </w:p>
    <w:p w14:paraId="56C01C1C">
      <w:pPr>
        <w:spacing w:line="200" w:lineRule="exact"/>
        <w:ind w:firstLine="3981" w:firstLineChars="1896"/>
        <w:rPr>
          <w:rFonts w:hint="eastAsia" w:ascii="宋体" w:hAnsi="宋体"/>
          <w:color w:val="auto"/>
          <w:szCs w:val="24"/>
          <w:highlight w:val="none"/>
        </w:rPr>
      </w:pPr>
    </w:p>
    <w:p w14:paraId="684B1253">
      <w:pPr>
        <w:spacing w:line="260" w:lineRule="exact"/>
        <w:rPr>
          <w:rFonts w:hint="eastAsia" w:ascii="宋体" w:hAnsi="宋体"/>
          <w:color w:val="auto"/>
          <w:highlight w:val="none"/>
        </w:rPr>
      </w:pPr>
      <w:r>
        <w:rPr>
          <w:rFonts w:hint="eastAsia" w:ascii="宋体" w:hAnsi="宋体"/>
          <w:color w:val="auto"/>
          <w:highlight w:val="none"/>
        </w:rPr>
        <w:t>招标人：</w:t>
      </w:r>
      <w:r>
        <w:rPr>
          <w:rFonts w:hint="eastAsia" w:ascii="黑体" w:hAnsi="宋体" w:eastAsia="黑体"/>
          <w:color w:val="auto"/>
          <w:highlight w:val="none"/>
          <w:u w:val="single"/>
        </w:rPr>
        <w:t xml:space="preserve">                          </w:t>
      </w:r>
      <w:r>
        <w:rPr>
          <w:rFonts w:hint="eastAsia" w:ascii="宋体" w:hAnsi="宋体"/>
          <w:color w:val="auto"/>
          <w:highlight w:val="none"/>
        </w:rPr>
        <w:t xml:space="preserve">    造价咨询人</w:t>
      </w:r>
      <w:r>
        <w:rPr>
          <w:rFonts w:hint="eastAsia" w:ascii="宋体" w:hAnsi="宋体"/>
          <w:color w:val="auto"/>
          <w:szCs w:val="21"/>
          <w:highlight w:val="none"/>
        </w:rPr>
        <w:t>：</w:t>
      </w:r>
      <w:r>
        <w:rPr>
          <w:rFonts w:hint="eastAsia" w:ascii="黑体" w:hAnsi="宋体" w:eastAsia="黑体"/>
          <w:color w:val="auto"/>
          <w:highlight w:val="none"/>
          <w:u w:val="single"/>
        </w:rPr>
        <w:t xml:space="preserve">                          </w:t>
      </w:r>
    </w:p>
    <w:p w14:paraId="14AC306B">
      <w:pPr>
        <w:spacing w:line="260" w:lineRule="exact"/>
        <w:rPr>
          <w:rFonts w:hint="eastAsia" w:ascii="宋体" w:hAnsi="宋体"/>
          <w:color w:val="auto"/>
          <w:highlight w:val="none"/>
        </w:rPr>
      </w:pPr>
      <w:r>
        <w:rPr>
          <w:rFonts w:hint="eastAsia" w:ascii="宋体" w:hAnsi="宋体"/>
          <w:color w:val="auto"/>
          <w:highlight w:val="none"/>
        </w:rPr>
        <w:t xml:space="preserve">               (单位盖章)                             (单位资质专用章)</w:t>
      </w:r>
    </w:p>
    <w:p w14:paraId="1D1C6951">
      <w:pPr>
        <w:spacing w:line="380" w:lineRule="exact"/>
        <w:rPr>
          <w:rFonts w:hint="eastAsia" w:ascii="宋体" w:hAnsi="宋体"/>
          <w:color w:val="auto"/>
          <w:highlight w:val="none"/>
        </w:rPr>
      </w:pPr>
    </w:p>
    <w:p w14:paraId="6A6837E8">
      <w:pPr>
        <w:spacing w:line="380" w:lineRule="exact"/>
        <w:rPr>
          <w:rFonts w:hint="eastAsia" w:ascii="宋体" w:hAnsi="宋体"/>
          <w:color w:val="auto"/>
          <w:highlight w:val="none"/>
        </w:rPr>
      </w:pPr>
    </w:p>
    <w:p w14:paraId="49F3BF1D">
      <w:pPr>
        <w:spacing w:line="380" w:lineRule="exact"/>
        <w:rPr>
          <w:rFonts w:hint="eastAsia" w:ascii="宋体" w:hAnsi="宋体"/>
          <w:color w:val="auto"/>
          <w:highlight w:val="none"/>
        </w:rPr>
      </w:pPr>
    </w:p>
    <w:p w14:paraId="0410FF17">
      <w:pPr>
        <w:spacing w:line="380" w:lineRule="exact"/>
        <w:rPr>
          <w:rFonts w:hint="eastAsia" w:ascii="宋体" w:hAnsi="宋体"/>
          <w:color w:val="auto"/>
          <w:highlight w:val="none"/>
        </w:rPr>
      </w:pPr>
    </w:p>
    <w:p w14:paraId="66D582CF">
      <w:pPr>
        <w:spacing w:line="200" w:lineRule="exact"/>
        <w:rPr>
          <w:rFonts w:hint="eastAsia" w:ascii="宋体" w:hAnsi="宋体"/>
          <w:color w:val="auto"/>
          <w:highlight w:val="none"/>
        </w:rPr>
      </w:pPr>
      <w:r>
        <w:rPr>
          <w:rFonts w:hint="eastAsia" w:ascii="宋体" w:hAnsi="宋体"/>
          <w:color w:val="auto"/>
          <w:highlight w:val="none"/>
        </w:rPr>
        <w:t>法定代表人                            法定代表人</w:t>
      </w:r>
    </w:p>
    <w:p w14:paraId="738ED350">
      <w:pPr>
        <w:spacing w:line="260" w:lineRule="exact"/>
        <w:rPr>
          <w:rFonts w:hint="eastAsia" w:ascii="宋体" w:hAnsi="宋体"/>
          <w:color w:val="auto"/>
          <w:highlight w:val="none"/>
        </w:rPr>
      </w:pPr>
      <w:r>
        <w:rPr>
          <w:rFonts w:hint="eastAsia" w:ascii="宋体" w:hAnsi="宋体"/>
          <w:color w:val="auto"/>
          <w:highlight w:val="none"/>
        </w:rPr>
        <w:t>或其授权人：</w:t>
      </w:r>
      <w:r>
        <w:rPr>
          <w:rFonts w:hint="eastAsia" w:ascii="黑体" w:hAnsi="宋体" w:eastAsia="黑体"/>
          <w:color w:val="auto"/>
          <w:highlight w:val="none"/>
          <w:u w:val="single"/>
        </w:rPr>
        <w:t xml:space="preserve">                      </w:t>
      </w:r>
      <w:r>
        <w:rPr>
          <w:rFonts w:hint="eastAsia" w:ascii="宋体" w:hAnsi="宋体"/>
          <w:color w:val="auto"/>
          <w:highlight w:val="none"/>
        </w:rPr>
        <w:t xml:space="preserve">    或其授权人：</w:t>
      </w:r>
      <w:r>
        <w:rPr>
          <w:rFonts w:hint="eastAsia" w:ascii="黑体" w:hAnsi="宋体" w:eastAsia="黑体"/>
          <w:color w:val="auto"/>
          <w:highlight w:val="none"/>
          <w:u w:val="single"/>
        </w:rPr>
        <w:t xml:space="preserve">                          </w:t>
      </w:r>
    </w:p>
    <w:p w14:paraId="0EA24F2C">
      <w:pPr>
        <w:spacing w:line="260" w:lineRule="exact"/>
        <w:ind w:firstLine="1050" w:firstLineChars="500"/>
        <w:rPr>
          <w:rFonts w:hint="eastAsia" w:ascii="宋体" w:hAnsi="宋体"/>
          <w:color w:val="auto"/>
          <w:highlight w:val="none"/>
        </w:rPr>
      </w:pPr>
      <w:r>
        <w:rPr>
          <w:rFonts w:hint="eastAsia" w:ascii="宋体" w:hAnsi="宋体"/>
          <w:color w:val="auto"/>
          <w:highlight w:val="none"/>
        </w:rPr>
        <w:t xml:space="preserve">     (签字或盖章)                            (签字或盖章)</w:t>
      </w:r>
    </w:p>
    <w:p w14:paraId="73F3E5F3">
      <w:pPr>
        <w:spacing w:line="380" w:lineRule="exact"/>
        <w:rPr>
          <w:rFonts w:hint="eastAsia" w:ascii="宋体" w:hAnsi="宋体"/>
          <w:color w:val="auto"/>
          <w:highlight w:val="none"/>
        </w:rPr>
      </w:pPr>
    </w:p>
    <w:p w14:paraId="52F47E05">
      <w:pPr>
        <w:spacing w:line="380" w:lineRule="exact"/>
        <w:rPr>
          <w:rFonts w:hint="eastAsia" w:ascii="宋体" w:hAnsi="宋体"/>
          <w:color w:val="auto"/>
          <w:highlight w:val="none"/>
        </w:rPr>
      </w:pPr>
    </w:p>
    <w:p w14:paraId="36A75560">
      <w:pPr>
        <w:spacing w:line="380" w:lineRule="exact"/>
        <w:rPr>
          <w:rFonts w:hint="eastAsia" w:ascii="宋体" w:hAnsi="宋体"/>
          <w:color w:val="auto"/>
          <w:highlight w:val="none"/>
        </w:rPr>
      </w:pPr>
    </w:p>
    <w:p w14:paraId="461FD5AE">
      <w:pPr>
        <w:spacing w:line="380" w:lineRule="exact"/>
        <w:rPr>
          <w:rFonts w:hint="eastAsia" w:ascii="宋体" w:hAnsi="宋体"/>
          <w:color w:val="auto"/>
          <w:highlight w:val="none"/>
        </w:rPr>
      </w:pPr>
    </w:p>
    <w:p w14:paraId="28C8964E">
      <w:pPr>
        <w:spacing w:line="260" w:lineRule="exact"/>
        <w:rPr>
          <w:rFonts w:hint="eastAsia" w:ascii="宋体" w:hAnsi="宋体"/>
          <w:color w:val="auto"/>
          <w:highlight w:val="none"/>
        </w:rPr>
      </w:pPr>
      <w:r>
        <w:rPr>
          <w:rFonts w:hint="eastAsia" w:ascii="宋体" w:hAnsi="宋体"/>
          <w:color w:val="auto"/>
          <w:highlight w:val="none"/>
        </w:rPr>
        <w:t>编制人：</w:t>
      </w:r>
      <w:r>
        <w:rPr>
          <w:rFonts w:hint="eastAsia" w:ascii="黑体" w:hAnsi="宋体" w:eastAsia="黑体"/>
          <w:color w:val="auto"/>
          <w:highlight w:val="none"/>
          <w:u w:val="single"/>
        </w:rPr>
        <w:t xml:space="preserve">                          </w:t>
      </w:r>
      <w:r>
        <w:rPr>
          <w:rFonts w:hint="eastAsia" w:ascii="黑体" w:hAnsi="宋体" w:eastAsia="黑体"/>
          <w:color w:val="auto"/>
          <w:highlight w:val="none"/>
        </w:rPr>
        <w:t xml:space="preserve"> </w:t>
      </w:r>
      <w:r>
        <w:rPr>
          <w:rFonts w:hint="eastAsia" w:ascii="宋体" w:hAnsi="宋体"/>
          <w:color w:val="auto"/>
          <w:highlight w:val="none"/>
        </w:rPr>
        <w:t xml:space="preserve">   复核人：</w:t>
      </w:r>
      <w:r>
        <w:rPr>
          <w:rFonts w:hint="eastAsia" w:ascii="黑体" w:hAnsi="宋体" w:eastAsia="黑体"/>
          <w:color w:val="auto"/>
          <w:highlight w:val="none"/>
          <w:u w:val="single"/>
        </w:rPr>
        <w:t xml:space="preserve">                              </w:t>
      </w:r>
    </w:p>
    <w:p w14:paraId="7BD41282">
      <w:pPr>
        <w:spacing w:line="260" w:lineRule="exact"/>
        <w:ind w:firstLine="1050" w:firstLineChars="500"/>
        <w:rPr>
          <w:rFonts w:hint="eastAsia" w:ascii="宋体" w:hAnsi="宋体"/>
          <w:color w:val="auto"/>
          <w:highlight w:val="none"/>
        </w:rPr>
      </w:pPr>
      <w:r>
        <w:rPr>
          <w:rFonts w:hint="eastAsia" w:ascii="宋体" w:hAnsi="宋体"/>
          <w:color w:val="auto"/>
          <w:highlight w:val="none"/>
        </w:rPr>
        <w:t>(造价人员签字盖专用章)                   (造价工程师签字盖专用章)</w:t>
      </w:r>
    </w:p>
    <w:p w14:paraId="4F2FB751">
      <w:pPr>
        <w:spacing w:line="220" w:lineRule="exact"/>
        <w:rPr>
          <w:rFonts w:hint="eastAsia" w:ascii="宋体" w:hAnsi="宋体"/>
          <w:color w:val="auto"/>
          <w:highlight w:val="none"/>
        </w:rPr>
      </w:pPr>
    </w:p>
    <w:p w14:paraId="5AD726ED">
      <w:pPr>
        <w:spacing w:line="220" w:lineRule="exact"/>
        <w:rPr>
          <w:rFonts w:hint="eastAsia" w:ascii="宋体" w:hAnsi="宋体"/>
          <w:color w:val="auto"/>
          <w:highlight w:val="none"/>
        </w:rPr>
      </w:pPr>
    </w:p>
    <w:p w14:paraId="5872D093">
      <w:pPr>
        <w:spacing w:line="220" w:lineRule="exact"/>
        <w:rPr>
          <w:rFonts w:hint="eastAsia" w:ascii="宋体" w:hAnsi="宋体"/>
          <w:color w:val="auto"/>
          <w:highlight w:val="none"/>
        </w:rPr>
      </w:pPr>
    </w:p>
    <w:p w14:paraId="6DD3EFEA">
      <w:pPr>
        <w:spacing w:line="220" w:lineRule="exact"/>
        <w:rPr>
          <w:rFonts w:hint="eastAsia" w:ascii="宋体" w:hAnsi="宋体"/>
          <w:color w:val="auto"/>
          <w:highlight w:val="none"/>
        </w:rPr>
      </w:pPr>
    </w:p>
    <w:p w14:paraId="0E2F40CF">
      <w:pPr>
        <w:spacing w:line="220" w:lineRule="exact"/>
        <w:rPr>
          <w:rFonts w:hint="eastAsia" w:ascii="宋体" w:hAnsi="宋体"/>
          <w:color w:val="auto"/>
          <w:highlight w:val="none"/>
        </w:rPr>
      </w:pPr>
    </w:p>
    <w:p w14:paraId="1D2A6F47">
      <w:pPr>
        <w:spacing w:line="220" w:lineRule="exact"/>
        <w:rPr>
          <w:rFonts w:hint="eastAsia" w:ascii="宋体" w:hAnsi="宋体"/>
          <w:color w:val="auto"/>
          <w:highlight w:val="none"/>
        </w:rPr>
      </w:pPr>
    </w:p>
    <w:p w14:paraId="0F25DED5">
      <w:pPr>
        <w:spacing w:line="380" w:lineRule="exact"/>
        <w:rPr>
          <w:rFonts w:hint="eastAsia" w:ascii="宋体" w:hAnsi="宋体"/>
          <w:color w:val="auto"/>
          <w:highlight w:val="none"/>
        </w:rPr>
      </w:pPr>
      <w:r>
        <w:rPr>
          <w:rFonts w:hint="eastAsia" w:ascii="宋体" w:hAnsi="宋体"/>
          <w:color w:val="auto"/>
          <w:highlight w:val="none"/>
        </w:rPr>
        <w:t>编制时间：    年    月    日           复核时间：    年    月    日</w:t>
      </w:r>
    </w:p>
    <w:p w14:paraId="713C5F97">
      <w:pPr>
        <w:spacing w:line="380" w:lineRule="exact"/>
        <w:rPr>
          <w:rFonts w:hint="eastAsia" w:ascii="宋体" w:hAnsi="宋体"/>
          <w:color w:val="auto"/>
          <w:highlight w:val="none"/>
        </w:rPr>
      </w:pPr>
    </w:p>
    <w:p w14:paraId="37796C7F">
      <w:pPr>
        <w:spacing w:line="380" w:lineRule="exact"/>
        <w:rPr>
          <w:rFonts w:hint="eastAsia" w:ascii="宋体" w:hAnsi="宋体"/>
          <w:color w:val="auto"/>
          <w:highlight w:val="none"/>
        </w:rPr>
      </w:pPr>
    </w:p>
    <w:p w14:paraId="4BFC43B1">
      <w:pPr>
        <w:spacing w:line="380" w:lineRule="exact"/>
        <w:rPr>
          <w:rFonts w:hint="eastAsia" w:ascii="宋体" w:hAnsi="宋体"/>
          <w:color w:val="auto"/>
          <w:highlight w:val="none"/>
        </w:rPr>
      </w:pPr>
    </w:p>
    <w:p w14:paraId="1DA5BF44">
      <w:pPr>
        <w:spacing w:line="380" w:lineRule="exact"/>
        <w:rPr>
          <w:rFonts w:hint="eastAsia" w:ascii="宋体" w:hAnsi="宋体"/>
          <w:color w:val="auto"/>
          <w:highlight w:val="none"/>
        </w:rPr>
      </w:pPr>
    </w:p>
    <w:p w14:paraId="5C79B4FA">
      <w:pPr>
        <w:pStyle w:val="33"/>
        <w:rPr>
          <w:rFonts w:hint="eastAsia" w:ascii="Times New Roman" w:hAnsi="Times New Roman"/>
          <w:color w:val="auto"/>
          <w:highlight w:val="none"/>
        </w:rPr>
      </w:pPr>
      <w:bookmarkStart w:id="2307" w:name="_Toc521075665"/>
      <w:bookmarkStart w:id="2308" w:name="_Toc521075240"/>
      <w:bookmarkStart w:id="2309" w:name="_Toc2372"/>
      <w:r>
        <w:rPr>
          <w:color w:val="auto"/>
          <w:highlight w:val="none"/>
        </w:rPr>
        <w:t>4.3</w:t>
      </w:r>
      <w:r>
        <w:rPr>
          <w:rFonts w:hint="eastAsia"/>
          <w:color w:val="auto"/>
          <w:highlight w:val="none"/>
        </w:rPr>
        <w:t>投标总价封面</w:t>
      </w:r>
      <w:bookmarkEnd w:id="2307"/>
      <w:bookmarkEnd w:id="2308"/>
      <w:bookmarkEnd w:id="2309"/>
    </w:p>
    <w:p w14:paraId="34893F73">
      <w:pPr>
        <w:spacing w:line="380" w:lineRule="exact"/>
        <w:ind w:firstLine="480" w:firstLineChars="200"/>
        <w:rPr>
          <w:rFonts w:ascii="黑体" w:eastAsia="黑体"/>
          <w:color w:val="auto"/>
          <w:sz w:val="24"/>
          <w:highlight w:val="none"/>
        </w:rPr>
      </w:pPr>
    </w:p>
    <w:p w14:paraId="52758F06">
      <w:pPr>
        <w:spacing w:line="380" w:lineRule="exact"/>
        <w:ind w:firstLine="480" w:firstLineChars="200"/>
        <w:rPr>
          <w:rFonts w:hint="eastAsia" w:ascii="黑体" w:eastAsia="黑体"/>
          <w:color w:val="auto"/>
          <w:sz w:val="24"/>
          <w:highlight w:val="none"/>
        </w:rPr>
      </w:pPr>
    </w:p>
    <w:p w14:paraId="4040D9B6">
      <w:pPr>
        <w:spacing w:line="380" w:lineRule="exact"/>
        <w:ind w:firstLine="480" w:firstLineChars="200"/>
        <w:rPr>
          <w:rFonts w:hint="eastAsia" w:ascii="黑体" w:eastAsia="黑体"/>
          <w:color w:val="auto"/>
          <w:sz w:val="24"/>
          <w:highlight w:val="none"/>
        </w:rPr>
      </w:pPr>
    </w:p>
    <w:p w14:paraId="36E82A5F">
      <w:pPr>
        <w:spacing w:after="480" w:afterLines="200" w:line="380" w:lineRule="exact"/>
        <w:ind w:firstLine="800" w:firstLineChars="200"/>
        <w:jc w:val="center"/>
        <w:rPr>
          <w:rFonts w:hint="eastAsia" w:ascii="黑体" w:eastAsia="黑体"/>
          <w:color w:val="auto"/>
          <w:spacing w:val="20"/>
          <w:sz w:val="36"/>
          <w:szCs w:val="36"/>
          <w:highlight w:val="none"/>
        </w:rPr>
      </w:pPr>
    </w:p>
    <w:p w14:paraId="52C75375">
      <w:pPr>
        <w:spacing w:after="480" w:afterLines="200" w:line="380" w:lineRule="exact"/>
        <w:ind w:firstLine="800" w:firstLineChars="200"/>
        <w:jc w:val="center"/>
        <w:rPr>
          <w:rFonts w:hint="eastAsia" w:ascii="黑体" w:eastAsia="黑体"/>
          <w:color w:val="auto"/>
          <w:spacing w:val="20"/>
          <w:sz w:val="36"/>
          <w:szCs w:val="36"/>
          <w:highlight w:val="none"/>
        </w:rPr>
      </w:pPr>
    </w:p>
    <w:p w14:paraId="25361E7C">
      <w:pPr>
        <w:spacing w:after="480" w:afterLines="200" w:line="380" w:lineRule="exact"/>
        <w:ind w:firstLine="800" w:firstLineChars="200"/>
        <w:jc w:val="center"/>
        <w:rPr>
          <w:rFonts w:hint="eastAsia" w:ascii="黑体" w:eastAsia="黑体"/>
          <w:color w:val="auto"/>
          <w:spacing w:val="20"/>
          <w:sz w:val="36"/>
          <w:szCs w:val="36"/>
          <w:highlight w:val="none"/>
        </w:rPr>
      </w:pPr>
      <w:r>
        <w:rPr>
          <w:rFonts w:hint="eastAsia" w:ascii="黑体" w:eastAsia="黑体"/>
          <w:color w:val="auto"/>
          <w:spacing w:val="20"/>
          <w:sz w:val="36"/>
          <w:szCs w:val="36"/>
          <w:highlight w:val="none"/>
        </w:rPr>
        <w:t>投标总价</w:t>
      </w:r>
    </w:p>
    <w:p w14:paraId="3DCBD6C9">
      <w:pPr>
        <w:spacing w:line="600" w:lineRule="exact"/>
        <w:ind w:firstLine="1260" w:firstLineChars="600"/>
        <w:rPr>
          <w:rFonts w:hint="eastAsia" w:ascii="黑体" w:eastAsia="黑体"/>
          <w:color w:val="auto"/>
          <w:szCs w:val="24"/>
          <w:highlight w:val="none"/>
        </w:rPr>
      </w:pPr>
    </w:p>
    <w:p w14:paraId="48989C85">
      <w:pPr>
        <w:spacing w:line="600" w:lineRule="exact"/>
        <w:ind w:firstLine="1260" w:firstLineChars="600"/>
        <w:rPr>
          <w:rFonts w:hint="eastAsia" w:ascii="黑体" w:eastAsia="黑体"/>
          <w:color w:val="auto"/>
          <w:highlight w:val="none"/>
        </w:rPr>
      </w:pPr>
    </w:p>
    <w:p w14:paraId="25E4E629">
      <w:pPr>
        <w:spacing w:line="600" w:lineRule="exact"/>
        <w:ind w:firstLine="1260" w:firstLineChars="600"/>
        <w:rPr>
          <w:rFonts w:hint="eastAsia" w:ascii="黑体" w:eastAsia="黑体"/>
          <w:color w:val="auto"/>
          <w:highlight w:val="none"/>
        </w:rPr>
      </w:pPr>
    </w:p>
    <w:p w14:paraId="25CF6EFC">
      <w:pPr>
        <w:spacing w:line="600" w:lineRule="exact"/>
        <w:ind w:firstLine="1260" w:firstLineChars="600"/>
        <w:rPr>
          <w:rFonts w:hint="eastAsia" w:ascii="黑体" w:eastAsia="黑体"/>
          <w:color w:val="auto"/>
          <w:highlight w:val="none"/>
        </w:rPr>
      </w:pPr>
    </w:p>
    <w:p w14:paraId="6C80642B">
      <w:pPr>
        <w:spacing w:line="600" w:lineRule="exact"/>
        <w:ind w:firstLine="1260" w:firstLineChars="600"/>
        <w:rPr>
          <w:rFonts w:hint="eastAsia" w:ascii="黑体" w:eastAsia="黑体"/>
          <w:color w:val="auto"/>
          <w:highlight w:val="none"/>
        </w:rPr>
      </w:pPr>
    </w:p>
    <w:p w14:paraId="6D7019A3">
      <w:pPr>
        <w:spacing w:line="600" w:lineRule="exact"/>
        <w:ind w:firstLine="1260" w:firstLineChars="600"/>
        <w:rPr>
          <w:rFonts w:hint="eastAsia" w:ascii="黑体" w:eastAsia="黑体"/>
          <w:color w:val="auto"/>
          <w:highlight w:val="none"/>
        </w:rPr>
      </w:pPr>
    </w:p>
    <w:p w14:paraId="667AE1D6">
      <w:pPr>
        <w:spacing w:line="600" w:lineRule="exact"/>
        <w:ind w:firstLine="1260" w:firstLineChars="600"/>
        <w:rPr>
          <w:rFonts w:hint="eastAsia" w:ascii="黑体" w:eastAsia="黑体"/>
          <w:color w:val="auto"/>
          <w:highlight w:val="none"/>
        </w:rPr>
      </w:pPr>
    </w:p>
    <w:p w14:paraId="1B7EE8CF">
      <w:pPr>
        <w:spacing w:line="600" w:lineRule="exact"/>
        <w:ind w:firstLine="1260" w:firstLineChars="600"/>
        <w:rPr>
          <w:rFonts w:hint="eastAsia" w:ascii="黑体" w:eastAsia="黑体"/>
          <w:color w:val="auto"/>
          <w:highlight w:val="none"/>
        </w:rPr>
      </w:pPr>
    </w:p>
    <w:p w14:paraId="28E4142A">
      <w:pPr>
        <w:spacing w:line="600" w:lineRule="exact"/>
        <w:ind w:firstLine="1260" w:firstLineChars="600"/>
        <w:rPr>
          <w:rFonts w:hint="eastAsia" w:ascii="黑体" w:eastAsia="黑体"/>
          <w:color w:val="auto"/>
          <w:highlight w:val="none"/>
        </w:rPr>
      </w:pPr>
    </w:p>
    <w:p w14:paraId="64394B97">
      <w:pPr>
        <w:spacing w:line="600" w:lineRule="exact"/>
        <w:ind w:firstLine="1260" w:firstLineChars="600"/>
        <w:rPr>
          <w:rFonts w:hint="eastAsia" w:ascii="黑体" w:eastAsia="黑体"/>
          <w:color w:val="auto"/>
          <w:highlight w:val="none"/>
        </w:rPr>
      </w:pPr>
    </w:p>
    <w:p w14:paraId="68D96AE6">
      <w:pPr>
        <w:spacing w:line="320" w:lineRule="exact"/>
        <w:ind w:firstLine="2040" w:firstLineChars="850"/>
        <w:rPr>
          <w:rFonts w:hint="eastAsia" w:ascii="宋体" w:hAnsi="宋体"/>
          <w:color w:val="auto"/>
          <w:sz w:val="24"/>
          <w:highlight w:val="none"/>
        </w:rPr>
      </w:pPr>
      <w:r>
        <w:rPr>
          <w:rFonts w:hint="eastAsia" w:ascii="宋体" w:hAnsi="宋体"/>
          <w:color w:val="auto"/>
          <w:sz w:val="24"/>
          <w:highlight w:val="none"/>
        </w:rPr>
        <w:t>投 标 人：</w:t>
      </w:r>
      <w:r>
        <w:rPr>
          <w:rFonts w:hint="eastAsia" w:ascii="宋体" w:hAnsi="宋体"/>
          <w:color w:val="auto"/>
          <w:sz w:val="24"/>
          <w:highlight w:val="none"/>
          <w:u w:val="single"/>
        </w:rPr>
        <w:t xml:space="preserve">                               </w:t>
      </w:r>
    </w:p>
    <w:p w14:paraId="6695EDC8">
      <w:pPr>
        <w:spacing w:line="320" w:lineRule="exact"/>
        <w:ind w:firstLine="4440" w:firstLineChars="1850"/>
        <w:rPr>
          <w:rFonts w:hint="eastAsia" w:ascii="宋体" w:hAnsi="宋体"/>
          <w:color w:val="auto"/>
          <w:sz w:val="24"/>
          <w:highlight w:val="none"/>
        </w:rPr>
      </w:pPr>
      <w:r>
        <w:rPr>
          <w:rFonts w:hint="eastAsia" w:ascii="宋体" w:hAnsi="宋体"/>
          <w:color w:val="auto"/>
          <w:sz w:val="24"/>
          <w:highlight w:val="none"/>
        </w:rPr>
        <w:t>(单位盖章)</w:t>
      </w:r>
    </w:p>
    <w:p w14:paraId="46DA061B">
      <w:pPr>
        <w:spacing w:line="380" w:lineRule="exact"/>
        <w:ind w:firstLine="420" w:firstLineChars="200"/>
        <w:rPr>
          <w:rFonts w:hint="eastAsia" w:ascii="宋体" w:hAnsi="宋体"/>
          <w:color w:val="auto"/>
          <w:highlight w:val="none"/>
        </w:rPr>
      </w:pPr>
    </w:p>
    <w:p w14:paraId="1EF2B8AB">
      <w:pPr>
        <w:spacing w:line="380" w:lineRule="exact"/>
        <w:ind w:firstLine="420" w:firstLineChars="200"/>
        <w:rPr>
          <w:rFonts w:hint="eastAsia" w:ascii="宋体" w:hAnsi="宋体"/>
          <w:color w:val="auto"/>
          <w:highlight w:val="none"/>
        </w:rPr>
      </w:pPr>
    </w:p>
    <w:p w14:paraId="3D5158DE">
      <w:pPr>
        <w:spacing w:line="380" w:lineRule="exact"/>
        <w:ind w:firstLine="420" w:firstLineChars="200"/>
        <w:rPr>
          <w:rFonts w:hint="eastAsia" w:ascii="宋体" w:hAnsi="宋体"/>
          <w:color w:val="auto"/>
          <w:sz w:val="24"/>
          <w:highlight w:val="none"/>
        </w:rPr>
      </w:pPr>
      <w:r>
        <w:rPr>
          <w:rFonts w:hint="eastAsia" w:ascii="宋体" w:hAnsi="宋体"/>
          <w:color w:val="auto"/>
          <w:highlight w:val="none"/>
        </w:rPr>
        <w:t xml:space="preserve">        </w:t>
      </w:r>
      <w:r>
        <w:rPr>
          <w:rFonts w:hint="eastAsia" w:ascii="宋体" w:hAnsi="宋体"/>
          <w:color w:val="auto"/>
          <w:sz w:val="24"/>
          <w:highlight w:val="none"/>
        </w:rPr>
        <w:t xml:space="preserve">                        年      月      日</w:t>
      </w:r>
    </w:p>
    <w:p w14:paraId="71FDB231">
      <w:pPr>
        <w:spacing w:line="380" w:lineRule="exact"/>
        <w:rPr>
          <w:rFonts w:hint="eastAsia" w:ascii="黑体" w:hAnsi="Times New Roman" w:eastAsia="黑体"/>
          <w:color w:val="auto"/>
          <w:sz w:val="24"/>
          <w:highlight w:val="none"/>
        </w:rPr>
      </w:pPr>
      <w:r>
        <w:rPr>
          <w:rFonts w:hint="eastAsia" w:ascii="黑体" w:eastAsia="黑体"/>
          <w:color w:val="auto"/>
          <w:sz w:val="24"/>
          <w:highlight w:val="none"/>
        </w:rPr>
        <w:t xml:space="preserve">    </w:t>
      </w:r>
    </w:p>
    <w:p w14:paraId="10457C8D">
      <w:pPr>
        <w:spacing w:line="380" w:lineRule="exact"/>
        <w:ind w:firstLine="420" w:firstLineChars="200"/>
        <w:rPr>
          <w:rFonts w:hint="eastAsia" w:ascii="黑体" w:eastAsia="黑体"/>
          <w:color w:val="auto"/>
          <w:highlight w:val="none"/>
        </w:rPr>
      </w:pPr>
    </w:p>
    <w:p w14:paraId="70DBE074">
      <w:pPr>
        <w:spacing w:line="380" w:lineRule="exact"/>
        <w:rPr>
          <w:rFonts w:hint="eastAsia" w:ascii="黑体" w:eastAsia="黑体"/>
          <w:color w:val="auto"/>
          <w:highlight w:val="none"/>
        </w:rPr>
      </w:pPr>
    </w:p>
    <w:p w14:paraId="278405BC">
      <w:pPr>
        <w:pStyle w:val="33"/>
        <w:rPr>
          <w:rFonts w:hint="eastAsia" w:ascii="Times New Roman"/>
          <w:color w:val="auto"/>
          <w:highlight w:val="none"/>
        </w:rPr>
      </w:pPr>
      <w:bookmarkStart w:id="2310" w:name="_Toc521075666"/>
      <w:bookmarkStart w:id="2311" w:name="_Toc7246"/>
      <w:bookmarkStart w:id="2312" w:name="_Toc521075241"/>
      <w:r>
        <w:rPr>
          <w:color w:val="auto"/>
          <w:highlight w:val="none"/>
        </w:rPr>
        <w:t>4.4</w:t>
      </w:r>
      <w:r>
        <w:rPr>
          <w:rFonts w:hint="eastAsia"/>
          <w:color w:val="auto"/>
          <w:highlight w:val="none"/>
        </w:rPr>
        <w:t>投标总价扉页</w:t>
      </w:r>
      <w:bookmarkEnd w:id="2310"/>
      <w:bookmarkEnd w:id="2311"/>
      <w:bookmarkEnd w:id="2312"/>
    </w:p>
    <w:p w14:paraId="3443628B">
      <w:pPr>
        <w:spacing w:line="380" w:lineRule="exact"/>
        <w:ind w:firstLine="480" w:firstLineChars="200"/>
        <w:rPr>
          <w:rFonts w:ascii="黑体" w:eastAsia="黑体"/>
          <w:color w:val="auto"/>
          <w:sz w:val="24"/>
          <w:highlight w:val="none"/>
        </w:rPr>
      </w:pPr>
    </w:p>
    <w:p w14:paraId="1CD413C0">
      <w:pPr>
        <w:spacing w:line="380" w:lineRule="exact"/>
        <w:ind w:firstLine="480" w:firstLineChars="200"/>
        <w:rPr>
          <w:rFonts w:hint="eastAsia" w:ascii="黑体" w:eastAsia="黑体"/>
          <w:color w:val="auto"/>
          <w:sz w:val="24"/>
          <w:highlight w:val="none"/>
        </w:rPr>
      </w:pPr>
    </w:p>
    <w:p w14:paraId="7D854FCD">
      <w:pPr>
        <w:spacing w:line="380" w:lineRule="exact"/>
        <w:ind w:firstLine="480" w:firstLineChars="200"/>
        <w:rPr>
          <w:rFonts w:hint="eastAsia" w:ascii="黑体" w:eastAsia="黑体"/>
          <w:color w:val="auto"/>
          <w:sz w:val="24"/>
          <w:highlight w:val="none"/>
        </w:rPr>
      </w:pPr>
    </w:p>
    <w:p w14:paraId="6CBC5AD3">
      <w:pPr>
        <w:spacing w:after="480" w:afterLines="200" w:line="380" w:lineRule="exact"/>
        <w:ind w:firstLine="720" w:firstLineChars="200"/>
        <w:jc w:val="center"/>
        <w:rPr>
          <w:rFonts w:hint="eastAsia" w:ascii="黑体" w:eastAsia="黑体"/>
          <w:color w:val="auto"/>
          <w:spacing w:val="20"/>
          <w:sz w:val="32"/>
          <w:szCs w:val="32"/>
          <w:highlight w:val="none"/>
        </w:rPr>
      </w:pPr>
      <w:r>
        <w:rPr>
          <w:rFonts w:hint="eastAsia" w:ascii="黑体" w:eastAsia="黑体"/>
          <w:color w:val="auto"/>
          <w:spacing w:val="20"/>
          <w:sz w:val="32"/>
          <w:szCs w:val="32"/>
          <w:highlight w:val="none"/>
        </w:rPr>
        <w:t>投标总价</w:t>
      </w:r>
    </w:p>
    <w:p w14:paraId="77556A40">
      <w:pPr>
        <w:spacing w:after="480" w:afterLines="200" w:line="380" w:lineRule="exact"/>
        <w:rPr>
          <w:rFonts w:hint="eastAsia" w:ascii="黑体" w:eastAsia="黑体"/>
          <w:color w:val="auto"/>
          <w:spacing w:val="20"/>
          <w:sz w:val="24"/>
          <w:szCs w:val="24"/>
          <w:highlight w:val="none"/>
        </w:rPr>
      </w:pPr>
    </w:p>
    <w:p w14:paraId="4C37F6E6">
      <w:pPr>
        <w:spacing w:line="600" w:lineRule="exact"/>
        <w:ind w:firstLine="420" w:firstLineChars="200"/>
        <w:rPr>
          <w:rFonts w:hint="eastAsia" w:ascii="宋体" w:hAnsi="宋体"/>
          <w:color w:val="auto"/>
          <w:highlight w:val="none"/>
          <w:u w:val="single"/>
        </w:rPr>
      </w:pPr>
      <w:r>
        <w:rPr>
          <w:rFonts w:hint="eastAsia" w:ascii="宋体" w:hAnsi="宋体"/>
          <w:color w:val="auto"/>
          <w:highlight w:val="none"/>
        </w:rPr>
        <w:t>招 标 人：</w:t>
      </w:r>
      <w:r>
        <w:rPr>
          <w:rFonts w:hint="eastAsia" w:ascii="宋体" w:hAnsi="宋体"/>
          <w:color w:val="auto"/>
          <w:highlight w:val="none"/>
          <w:u w:val="single"/>
        </w:rPr>
        <w:t xml:space="preserve">                                                               </w:t>
      </w:r>
    </w:p>
    <w:p w14:paraId="619F0E3F">
      <w:pPr>
        <w:spacing w:line="600" w:lineRule="exact"/>
        <w:ind w:firstLine="420" w:firstLineChars="200"/>
        <w:rPr>
          <w:rFonts w:hint="eastAsia" w:ascii="宋体" w:hAnsi="宋体"/>
          <w:color w:val="auto"/>
          <w:highlight w:val="none"/>
        </w:rPr>
      </w:pPr>
      <w:r>
        <w:rPr>
          <w:rFonts w:hint="eastAsia" w:ascii="宋体" w:hAnsi="宋体"/>
          <w:color w:val="auto"/>
          <w:highlight w:val="none"/>
        </w:rPr>
        <w:t>工程名称：</w:t>
      </w:r>
      <w:r>
        <w:rPr>
          <w:rFonts w:hint="eastAsia" w:ascii="宋体" w:hAnsi="宋体"/>
          <w:color w:val="auto"/>
          <w:highlight w:val="none"/>
          <w:u w:val="single"/>
        </w:rPr>
        <w:t xml:space="preserve">                                                               </w:t>
      </w:r>
    </w:p>
    <w:p w14:paraId="5257B212">
      <w:pPr>
        <w:spacing w:line="600" w:lineRule="exact"/>
        <w:ind w:firstLine="420" w:firstLineChars="200"/>
        <w:rPr>
          <w:rFonts w:hint="eastAsia" w:ascii="宋体" w:hAnsi="宋体"/>
          <w:color w:val="auto"/>
          <w:highlight w:val="none"/>
        </w:rPr>
      </w:pPr>
      <w:r>
        <w:rPr>
          <w:rFonts w:hint="eastAsia" w:ascii="宋体" w:hAnsi="宋体"/>
          <w:color w:val="auto"/>
          <w:highlight w:val="none"/>
        </w:rPr>
        <w:t>投标总价(小写) ：</w:t>
      </w:r>
      <w:r>
        <w:rPr>
          <w:rFonts w:hint="eastAsia" w:ascii="宋体" w:hAnsi="宋体"/>
          <w:color w:val="auto"/>
          <w:highlight w:val="none"/>
          <w:u w:val="single"/>
        </w:rPr>
        <w:t xml:space="preserve">                                                   元   </w:t>
      </w:r>
    </w:p>
    <w:p w14:paraId="7AEB4CA1">
      <w:pPr>
        <w:spacing w:line="600" w:lineRule="exact"/>
        <w:ind w:firstLine="1260" w:firstLineChars="600"/>
        <w:rPr>
          <w:rFonts w:hint="eastAsia" w:ascii="宋体" w:hAnsi="宋体"/>
          <w:color w:val="auto"/>
          <w:highlight w:val="none"/>
          <w:u w:val="single"/>
        </w:rPr>
      </w:pPr>
      <w:r>
        <w:rPr>
          <w:rFonts w:hint="eastAsia" w:ascii="宋体" w:hAnsi="宋体"/>
          <w:color w:val="auto"/>
          <w:highlight w:val="none"/>
        </w:rPr>
        <w:t>(大写) ：</w:t>
      </w:r>
      <w:r>
        <w:rPr>
          <w:rFonts w:hint="eastAsia" w:ascii="宋体" w:hAnsi="宋体"/>
          <w:color w:val="auto"/>
          <w:highlight w:val="none"/>
          <w:u w:val="single"/>
        </w:rPr>
        <w:t xml:space="preserve">                                                   元   </w:t>
      </w:r>
    </w:p>
    <w:p w14:paraId="0DB6EB37">
      <w:pPr>
        <w:spacing w:line="600" w:lineRule="exact"/>
        <w:ind w:firstLine="1260" w:firstLineChars="600"/>
        <w:rPr>
          <w:rFonts w:hint="eastAsia" w:ascii="宋体" w:hAnsi="宋体"/>
          <w:color w:val="auto"/>
          <w:highlight w:val="none"/>
        </w:rPr>
      </w:pPr>
    </w:p>
    <w:p w14:paraId="6E319BC7">
      <w:pPr>
        <w:spacing w:line="600" w:lineRule="exact"/>
        <w:ind w:firstLine="1260" w:firstLineChars="600"/>
        <w:rPr>
          <w:rFonts w:hint="eastAsia" w:ascii="宋体" w:hAnsi="宋体"/>
          <w:color w:val="auto"/>
          <w:highlight w:val="none"/>
        </w:rPr>
      </w:pPr>
    </w:p>
    <w:p w14:paraId="5C2D85A3">
      <w:pPr>
        <w:spacing w:line="320" w:lineRule="exact"/>
        <w:ind w:firstLine="420" w:firstLineChars="200"/>
        <w:rPr>
          <w:rFonts w:hint="eastAsia" w:ascii="宋体" w:hAnsi="宋体"/>
          <w:color w:val="auto"/>
          <w:highlight w:val="none"/>
        </w:rPr>
      </w:pPr>
      <w:r>
        <w:rPr>
          <w:rFonts w:hint="eastAsia" w:ascii="宋体" w:hAnsi="宋体"/>
          <w:color w:val="auto"/>
          <w:highlight w:val="none"/>
        </w:rPr>
        <w:t>投 标 人：</w:t>
      </w:r>
      <w:r>
        <w:rPr>
          <w:rFonts w:hint="eastAsia" w:ascii="宋体" w:hAnsi="宋体"/>
          <w:color w:val="auto"/>
          <w:highlight w:val="none"/>
          <w:u w:val="single"/>
        </w:rPr>
        <w:t xml:space="preserve">                                                               </w:t>
      </w:r>
    </w:p>
    <w:p w14:paraId="5B801C2B">
      <w:pPr>
        <w:spacing w:line="320" w:lineRule="exact"/>
        <w:ind w:firstLine="4200" w:firstLineChars="2000"/>
        <w:rPr>
          <w:rFonts w:hint="eastAsia" w:ascii="宋体" w:hAnsi="宋体"/>
          <w:color w:val="auto"/>
          <w:highlight w:val="none"/>
        </w:rPr>
      </w:pPr>
      <w:r>
        <w:rPr>
          <w:rFonts w:hint="eastAsia" w:ascii="宋体" w:hAnsi="宋体"/>
          <w:color w:val="auto"/>
          <w:highlight w:val="none"/>
        </w:rPr>
        <w:t>(单位盖章)</w:t>
      </w:r>
    </w:p>
    <w:p w14:paraId="56CEE8D7">
      <w:pPr>
        <w:spacing w:line="380" w:lineRule="exact"/>
        <w:ind w:firstLine="420" w:firstLineChars="200"/>
        <w:rPr>
          <w:rFonts w:hint="eastAsia" w:ascii="宋体" w:hAnsi="宋体"/>
          <w:color w:val="auto"/>
          <w:highlight w:val="none"/>
        </w:rPr>
      </w:pPr>
    </w:p>
    <w:p w14:paraId="53F56B76">
      <w:pPr>
        <w:spacing w:after="72" w:afterLines="30" w:line="380" w:lineRule="exact"/>
        <w:ind w:firstLine="420" w:firstLineChars="200"/>
        <w:rPr>
          <w:rFonts w:hint="eastAsia" w:ascii="宋体" w:hAnsi="宋体"/>
          <w:color w:val="auto"/>
          <w:highlight w:val="none"/>
        </w:rPr>
      </w:pPr>
      <w:r>
        <w:rPr>
          <w:rFonts w:hint="eastAsia" w:ascii="宋体" w:hAnsi="宋体"/>
          <w:color w:val="auto"/>
          <w:highlight w:val="none"/>
        </w:rPr>
        <w:t>法定代表人</w:t>
      </w:r>
    </w:p>
    <w:p w14:paraId="5026A336">
      <w:pPr>
        <w:spacing w:line="320" w:lineRule="exact"/>
        <w:ind w:firstLine="420" w:firstLineChars="200"/>
        <w:rPr>
          <w:rFonts w:hint="eastAsia" w:ascii="宋体" w:hAnsi="宋体"/>
          <w:color w:val="auto"/>
          <w:highlight w:val="none"/>
        </w:rPr>
      </w:pPr>
      <w:r>
        <w:rPr>
          <w:rFonts w:hint="eastAsia" w:ascii="宋体" w:hAnsi="宋体"/>
          <w:color w:val="auto"/>
          <w:highlight w:val="none"/>
        </w:rPr>
        <w:t>或其授权人：</w:t>
      </w:r>
      <w:r>
        <w:rPr>
          <w:rFonts w:hint="eastAsia" w:ascii="宋体" w:hAnsi="宋体"/>
          <w:color w:val="auto"/>
          <w:highlight w:val="none"/>
          <w:u w:val="single"/>
        </w:rPr>
        <w:t xml:space="preserve">                                                             </w:t>
      </w:r>
    </w:p>
    <w:p w14:paraId="27862243">
      <w:pPr>
        <w:spacing w:line="320" w:lineRule="exact"/>
        <w:ind w:firstLine="3990" w:firstLineChars="1900"/>
        <w:rPr>
          <w:rFonts w:hint="eastAsia" w:ascii="宋体" w:hAnsi="宋体"/>
          <w:color w:val="auto"/>
          <w:highlight w:val="none"/>
        </w:rPr>
      </w:pPr>
      <w:r>
        <w:rPr>
          <w:rFonts w:hint="eastAsia" w:ascii="宋体" w:hAnsi="宋体"/>
          <w:color w:val="auto"/>
          <w:highlight w:val="none"/>
        </w:rPr>
        <w:t>(签字或盖章)</w:t>
      </w:r>
    </w:p>
    <w:p w14:paraId="64117EE9">
      <w:pPr>
        <w:spacing w:line="320" w:lineRule="exact"/>
        <w:ind w:firstLine="3990" w:firstLineChars="1900"/>
        <w:rPr>
          <w:rFonts w:hint="eastAsia" w:ascii="宋体" w:hAnsi="宋体"/>
          <w:color w:val="auto"/>
          <w:highlight w:val="none"/>
        </w:rPr>
      </w:pPr>
    </w:p>
    <w:p w14:paraId="31E85E7B">
      <w:pPr>
        <w:spacing w:line="320" w:lineRule="exact"/>
        <w:ind w:firstLine="3990" w:firstLineChars="1900"/>
        <w:rPr>
          <w:rFonts w:hint="eastAsia" w:ascii="宋体" w:hAnsi="宋体"/>
          <w:color w:val="auto"/>
          <w:highlight w:val="none"/>
        </w:rPr>
      </w:pPr>
    </w:p>
    <w:p w14:paraId="741A4994">
      <w:pPr>
        <w:spacing w:line="320" w:lineRule="exact"/>
        <w:ind w:firstLine="420" w:firstLineChars="200"/>
        <w:rPr>
          <w:rFonts w:hint="eastAsia" w:ascii="宋体" w:hAnsi="宋体"/>
          <w:color w:val="auto"/>
          <w:highlight w:val="none"/>
        </w:rPr>
      </w:pPr>
      <w:r>
        <w:rPr>
          <w:rFonts w:hint="eastAsia" w:ascii="宋体" w:hAnsi="宋体"/>
          <w:color w:val="auto"/>
          <w:highlight w:val="none"/>
        </w:rPr>
        <w:t>编制人：</w:t>
      </w:r>
      <w:r>
        <w:rPr>
          <w:rFonts w:hint="eastAsia" w:ascii="宋体" w:hAnsi="宋体"/>
          <w:color w:val="auto"/>
          <w:highlight w:val="none"/>
          <w:u w:val="single"/>
        </w:rPr>
        <w:t xml:space="preserve">                                                                 </w:t>
      </w:r>
    </w:p>
    <w:p w14:paraId="63D98365">
      <w:pPr>
        <w:spacing w:line="320" w:lineRule="exact"/>
        <w:ind w:firstLine="3570" w:firstLineChars="1700"/>
        <w:rPr>
          <w:rFonts w:hint="eastAsia" w:ascii="宋体" w:hAnsi="宋体"/>
          <w:color w:val="auto"/>
          <w:highlight w:val="none"/>
        </w:rPr>
      </w:pPr>
      <w:r>
        <w:rPr>
          <w:rFonts w:hint="eastAsia" w:ascii="宋体" w:hAnsi="宋体"/>
          <w:color w:val="auto"/>
          <w:highlight w:val="none"/>
        </w:rPr>
        <w:t>(造价人员签字盖专用章)</w:t>
      </w:r>
    </w:p>
    <w:p w14:paraId="73122781">
      <w:pPr>
        <w:spacing w:line="380" w:lineRule="exact"/>
        <w:ind w:firstLine="420" w:firstLineChars="200"/>
        <w:rPr>
          <w:rFonts w:hint="eastAsia" w:ascii="宋体" w:hAnsi="宋体"/>
          <w:color w:val="auto"/>
          <w:highlight w:val="none"/>
        </w:rPr>
      </w:pPr>
    </w:p>
    <w:p w14:paraId="2D305C35">
      <w:pPr>
        <w:spacing w:line="380" w:lineRule="exact"/>
        <w:ind w:firstLine="420" w:firstLineChars="200"/>
        <w:rPr>
          <w:rFonts w:hint="eastAsia" w:ascii="宋体" w:hAnsi="宋体"/>
          <w:color w:val="auto"/>
          <w:highlight w:val="none"/>
        </w:rPr>
      </w:pPr>
    </w:p>
    <w:p w14:paraId="7665F68C">
      <w:pPr>
        <w:spacing w:line="380" w:lineRule="exact"/>
        <w:ind w:firstLine="420" w:firstLineChars="200"/>
        <w:rPr>
          <w:rFonts w:hint="eastAsia" w:ascii="宋体" w:hAnsi="宋体"/>
          <w:color w:val="auto"/>
          <w:highlight w:val="none"/>
        </w:rPr>
      </w:pPr>
      <w:r>
        <w:rPr>
          <w:rFonts w:hint="eastAsia" w:ascii="宋体" w:hAnsi="宋体"/>
          <w:color w:val="auto"/>
          <w:highlight w:val="none"/>
        </w:rPr>
        <w:t>编制时间：              年      月      日</w:t>
      </w:r>
    </w:p>
    <w:p w14:paraId="2E87FC99">
      <w:pPr>
        <w:spacing w:line="380" w:lineRule="exact"/>
        <w:ind w:firstLine="420" w:firstLineChars="200"/>
        <w:rPr>
          <w:rFonts w:hint="eastAsia" w:ascii="黑体" w:hAnsi="Times New Roman" w:eastAsia="黑体"/>
          <w:color w:val="auto"/>
          <w:highlight w:val="none"/>
        </w:rPr>
      </w:pPr>
    </w:p>
    <w:p w14:paraId="73BA519B">
      <w:pPr>
        <w:spacing w:line="380" w:lineRule="exact"/>
        <w:ind w:firstLine="420" w:firstLineChars="200"/>
        <w:rPr>
          <w:rFonts w:hint="eastAsia" w:ascii="黑体" w:eastAsia="黑体"/>
          <w:color w:val="auto"/>
          <w:highlight w:val="none"/>
        </w:rPr>
      </w:pPr>
    </w:p>
    <w:p w14:paraId="5D4AE3E1">
      <w:pPr>
        <w:spacing w:line="380" w:lineRule="exact"/>
        <w:ind w:firstLine="420" w:firstLineChars="200"/>
        <w:rPr>
          <w:rFonts w:hint="eastAsia" w:ascii="宋体" w:hAnsi="宋体"/>
          <w:color w:val="auto"/>
          <w:highlight w:val="none"/>
        </w:rPr>
      </w:pPr>
      <w:r>
        <w:rPr>
          <w:rFonts w:hint="eastAsia" w:ascii="宋体" w:hAnsi="宋体"/>
          <w:color w:val="auto"/>
          <w:highlight w:val="none"/>
        </w:rPr>
        <w:t>注：投标总价可按四舍五入精确到元</w:t>
      </w:r>
    </w:p>
    <w:p w14:paraId="3633D7E6">
      <w:pPr>
        <w:spacing w:line="380" w:lineRule="exact"/>
        <w:ind w:firstLine="420" w:firstLineChars="200"/>
        <w:rPr>
          <w:rFonts w:hint="eastAsia" w:ascii="宋体" w:hAnsi="宋体"/>
          <w:color w:val="auto"/>
          <w:highlight w:val="none"/>
        </w:rPr>
      </w:pPr>
    </w:p>
    <w:p w14:paraId="1B444A36">
      <w:pPr>
        <w:spacing w:line="380" w:lineRule="exact"/>
        <w:ind w:firstLine="420" w:firstLineChars="200"/>
        <w:rPr>
          <w:rFonts w:hint="eastAsia" w:ascii="宋体" w:hAnsi="宋体"/>
          <w:color w:val="auto"/>
          <w:highlight w:val="none"/>
        </w:rPr>
      </w:pPr>
    </w:p>
    <w:p w14:paraId="6AFC556B">
      <w:pPr>
        <w:pStyle w:val="33"/>
        <w:rPr>
          <w:rFonts w:hint="eastAsia" w:ascii="Times New Roman" w:hAnsi="Times New Roman"/>
          <w:color w:val="auto"/>
          <w:highlight w:val="none"/>
        </w:rPr>
      </w:pPr>
      <w:bookmarkStart w:id="2313" w:name="_Toc15764"/>
      <w:bookmarkStart w:id="2314" w:name="_Toc521075242"/>
      <w:bookmarkStart w:id="2315" w:name="_Toc521075667"/>
      <w:r>
        <w:rPr>
          <w:color w:val="auto"/>
          <w:highlight w:val="none"/>
        </w:rPr>
        <w:t>4.5</w:t>
      </w:r>
      <w:r>
        <w:rPr>
          <w:rFonts w:hint="eastAsia"/>
          <w:color w:val="auto"/>
          <w:highlight w:val="none"/>
        </w:rPr>
        <w:t>总说明表</w:t>
      </w:r>
      <w:bookmarkEnd w:id="2313"/>
      <w:bookmarkEnd w:id="2314"/>
      <w:bookmarkEnd w:id="2315"/>
    </w:p>
    <w:p w14:paraId="1D501F83">
      <w:pPr>
        <w:spacing w:after="240" w:afterLines="100" w:line="380" w:lineRule="exact"/>
        <w:ind w:firstLine="560" w:firstLineChars="200"/>
        <w:jc w:val="center"/>
        <w:rPr>
          <w:rFonts w:ascii="黑体" w:eastAsia="黑体"/>
          <w:color w:val="auto"/>
          <w:sz w:val="28"/>
          <w:szCs w:val="28"/>
          <w:highlight w:val="none"/>
        </w:rPr>
      </w:pPr>
      <w:r>
        <w:rPr>
          <w:rFonts w:hint="eastAsia" w:ascii="黑体" w:eastAsia="黑体"/>
          <w:color w:val="auto"/>
          <w:sz w:val="28"/>
          <w:szCs w:val="28"/>
          <w:highlight w:val="none"/>
        </w:rPr>
        <w:t>总 说 明</w:t>
      </w:r>
    </w:p>
    <w:p w14:paraId="1D159798">
      <w:pPr>
        <w:spacing w:after="120" w:afterLines="50" w:line="380" w:lineRule="exact"/>
        <w:rPr>
          <w:rFonts w:hint="eastAsia" w:ascii="宋体" w:hAnsi="宋体"/>
          <w:color w:val="auto"/>
          <w:sz w:val="24"/>
          <w:szCs w:val="24"/>
          <w:highlight w:val="none"/>
        </w:rPr>
      </w:pPr>
      <w:r>
        <w:rPr>
          <w:rFonts w:hint="eastAsia" w:ascii="宋体" w:hAnsi="宋体"/>
          <w:color w:val="auto"/>
          <w:highlight w:val="none"/>
        </w:rPr>
        <w:t>工程名称：                                         第  页 共  页</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2"/>
      </w:tblGrid>
      <w:tr w14:paraId="20AEE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2" w:hRule="atLeast"/>
          <w:jc w:val="center"/>
        </w:trPr>
        <w:tc>
          <w:tcPr>
            <w:tcW w:w="8412" w:type="dxa"/>
            <w:tcBorders>
              <w:top w:val="single" w:color="auto" w:sz="4" w:space="0"/>
              <w:left w:val="single" w:color="auto" w:sz="4" w:space="0"/>
              <w:bottom w:val="single" w:color="auto" w:sz="4" w:space="0"/>
              <w:right w:val="single" w:color="auto" w:sz="4" w:space="0"/>
            </w:tcBorders>
            <w:noWrap w:val="0"/>
            <w:vAlign w:val="top"/>
          </w:tcPr>
          <w:p w14:paraId="51E9AC11">
            <w:pPr>
              <w:spacing w:line="380" w:lineRule="exact"/>
              <w:rPr>
                <w:rFonts w:ascii="黑体" w:eastAsia="黑体"/>
                <w:color w:val="auto"/>
                <w:szCs w:val="24"/>
                <w:highlight w:val="none"/>
              </w:rPr>
            </w:pPr>
          </w:p>
        </w:tc>
      </w:tr>
    </w:tbl>
    <w:p w14:paraId="117F4CD2">
      <w:pPr>
        <w:spacing w:line="380" w:lineRule="exact"/>
        <w:ind w:firstLine="420" w:firstLineChars="200"/>
        <w:rPr>
          <w:rFonts w:hint="eastAsia" w:ascii="黑体" w:hAnsi="Times New Roman" w:eastAsia="黑体"/>
          <w:color w:val="auto"/>
          <w:highlight w:val="none"/>
        </w:rPr>
      </w:pPr>
    </w:p>
    <w:p w14:paraId="185B76AD">
      <w:pPr>
        <w:spacing w:line="380" w:lineRule="exact"/>
        <w:ind w:firstLine="420" w:firstLineChars="200"/>
        <w:rPr>
          <w:rFonts w:hint="eastAsia" w:ascii="黑体" w:eastAsia="黑体"/>
          <w:color w:val="auto"/>
          <w:highlight w:val="none"/>
        </w:rPr>
      </w:pPr>
    </w:p>
    <w:p w14:paraId="78CD8548">
      <w:pPr>
        <w:spacing w:line="380" w:lineRule="exact"/>
        <w:ind w:firstLine="420" w:firstLineChars="200"/>
        <w:rPr>
          <w:rFonts w:hint="eastAsia" w:ascii="黑体" w:eastAsia="黑体"/>
          <w:color w:val="auto"/>
          <w:highlight w:val="none"/>
        </w:rPr>
      </w:pPr>
    </w:p>
    <w:p w14:paraId="1AFBC506">
      <w:pPr>
        <w:pStyle w:val="33"/>
        <w:rPr>
          <w:rFonts w:hint="eastAsia" w:ascii="Times New Roman"/>
          <w:color w:val="auto"/>
          <w:highlight w:val="none"/>
        </w:rPr>
      </w:pPr>
      <w:bookmarkStart w:id="2316" w:name="_Toc521075243"/>
      <w:bookmarkStart w:id="2317" w:name="_Toc17859"/>
      <w:bookmarkStart w:id="2318" w:name="_Toc521075668"/>
      <w:r>
        <w:rPr>
          <w:color w:val="auto"/>
          <w:highlight w:val="none"/>
        </w:rPr>
        <w:t>4.6</w:t>
      </w:r>
      <w:r>
        <w:rPr>
          <w:rFonts w:hint="eastAsia"/>
          <w:color w:val="auto"/>
          <w:highlight w:val="none"/>
        </w:rPr>
        <w:t>建设项目投标报价汇总表</w:t>
      </w:r>
      <w:bookmarkEnd w:id="2316"/>
      <w:bookmarkEnd w:id="2317"/>
      <w:bookmarkEnd w:id="2318"/>
    </w:p>
    <w:p w14:paraId="217609FE">
      <w:pPr>
        <w:spacing w:after="240" w:afterLines="100" w:line="380" w:lineRule="exact"/>
        <w:ind w:firstLine="560" w:firstLineChars="200"/>
        <w:jc w:val="center"/>
        <w:rPr>
          <w:rFonts w:ascii="黑体" w:eastAsia="黑体"/>
          <w:color w:val="auto"/>
          <w:sz w:val="28"/>
          <w:szCs w:val="28"/>
          <w:highlight w:val="none"/>
        </w:rPr>
      </w:pPr>
      <w:r>
        <w:rPr>
          <w:rFonts w:hint="eastAsia" w:ascii="黑体" w:eastAsia="黑体"/>
          <w:color w:val="auto"/>
          <w:sz w:val="28"/>
          <w:szCs w:val="28"/>
          <w:highlight w:val="none"/>
        </w:rPr>
        <w:t>建设项目投标报价汇总表</w:t>
      </w:r>
    </w:p>
    <w:p w14:paraId="4B0302F1">
      <w:pPr>
        <w:spacing w:after="120" w:afterLines="50" w:line="380" w:lineRule="exact"/>
        <w:rPr>
          <w:rFonts w:hint="eastAsia" w:ascii="宋体" w:hAnsi="宋体"/>
          <w:color w:val="auto"/>
          <w:sz w:val="28"/>
          <w:szCs w:val="28"/>
          <w:highlight w:val="none"/>
        </w:rPr>
      </w:pPr>
      <w:r>
        <w:rPr>
          <w:rFonts w:hint="eastAsia" w:ascii="宋体" w:hAnsi="宋体"/>
          <w:color w:val="auto"/>
          <w:highlight w:val="none"/>
        </w:rPr>
        <w:t>工程名称：                                           第  页  共  页</w:t>
      </w:r>
    </w:p>
    <w:tbl>
      <w:tblPr>
        <w:tblStyle w:val="15"/>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318"/>
        <w:gridCol w:w="1218"/>
        <w:gridCol w:w="965"/>
        <w:gridCol w:w="1400"/>
        <w:gridCol w:w="925"/>
      </w:tblGrid>
      <w:tr w14:paraId="7577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194713A6">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序号</w:t>
            </w:r>
          </w:p>
        </w:tc>
        <w:tc>
          <w:tcPr>
            <w:tcW w:w="3318" w:type="dxa"/>
            <w:vMerge w:val="restart"/>
            <w:tcBorders>
              <w:top w:val="single" w:color="auto" w:sz="4" w:space="0"/>
              <w:left w:val="single" w:color="auto" w:sz="4" w:space="0"/>
              <w:bottom w:val="single" w:color="auto" w:sz="4" w:space="0"/>
              <w:right w:val="single" w:color="auto" w:sz="4" w:space="0"/>
            </w:tcBorders>
            <w:noWrap w:val="0"/>
            <w:vAlign w:val="center"/>
          </w:tcPr>
          <w:p w14:paraId="6266DA7F">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单项工程名称</w:t>
            </w:r>
          </w:p>
        </w:tc>
        <w:tc>
          <w:tcPr>
            <w:tcW w:w="1218" w:type="dxa"/>
            <w:vMerge w:val="restart"/>
            <w:tcBorders>
              <w:top w:val="single" w:color="auto" w:sz="4" w:space="0"/>
              <w:left w:val="single" w:color="auto" w:sz="4" w:space="0"/>
              <w:bottom w:val="single" w:color="auto" w:sz="4" w:space="0"/>
              <w:right w:val="single" w:color="auto" w:sz="4" w:space="0"/>
            </w:tcBorders>
            <w:noWrap w:val="0"/>
            <w:vAlign w:val="center"/>
          </w:tcPr>
          <w:p w14:paraId="6E416F27">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金额（元）</w:t>
            </w:r>
          </w:p>
        </w:tc>
        <w:tc>
          <w:tcPr>
            <w:tcW w:w="3290" w:type="dxa"/>
            <w:gridSpan w:val="3"/>
            <w:tcBorders>
              <w:top w:val="single" w:color="auto" w:sz="4" w:space="0"/>
              <w:left w:val="single" w:color="auto" w:sz="4" w:space="0"/>
              <w:bottom w:val="single" w:color="auto" w:sz="4" w:space="0"/>
              <w:right w:val="single" w:color="auto" w:sz="4" w:space="0"/>
            </w:tcBorders>
            <w:noWrap w:val="0"/>
            <w:vAlign w:val="center"/>
          </w:tcPr>
          <w:p w14:paraId="2F063257">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其  中：（元）</w:t>
            </w:r>
          </w:p>
        </w:tc>
      </w:tr>
      <w:tr w14:paraId="177D1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4278325">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43EC7C4">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CFD50E7">
            <w:pPr>
              <w:widowControl/>
              <w:jc w:val="left"/>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2CA579D7">
            <w:pPr>
              <w:spacing w:line="300" w:lineRule="exact"/>
              <w:jc w:val="center"/>
              <w:rPr>
                <w:rFonts w:ascii="宋体" w:hAnsi="宋体"/>
                <w:color w:val="auto"/>
                <w:szCs w:val="21"/>
                <w:highlight w:val="none"/>
              </w:rPr>
            </w:pPr>
            <w:r>
              <w:rPr>
                <w:rFonts w:hint="eastAsia" w:ascii="宋体" w:hAnsi="宋体"/>
                <w:color w:val="auto"/>
                <w:szCs w:val="21"/>
                <w:highlight w:val="none"/>
              </w:rPr>
              <w:t>暂估价</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BD96CD4">
            <w:pPr>
              <w:spacing w:line="300" w:lineRule="exact"/>
              <w:jc w:val="center"/>
              <w:rPr>
                <w:rFonts w:ascii="宋体" w:hAnsi="宋体"/>
                <w:color w:val="auto"/>
                <w:szCs w:val="21"/>
                <w:highlight w:val="none"/>
              </w:rPr>
            </w:pPr>
            <w:r>
              <w:rPr>
                <w:rFonts w:hint="eastAsia" w:ascii="宋体" w:hAnsi="宋体"/>
                <w:color w:val="auto"/>
                <w:szCs w:val="21"/>
                <w:highlight w:val="none"/>
              </w:rPr>
              <w:t>安全文明</w:t>
            </w:r>
          </w:p>
          <w:p w14:paraId="0E53133E">
            <w:pPr>
              <w:spacing w:line="300" w:lineRule="exact"/>
              <w:jc w:val="center"/>
              <w:rPr>
                <w:rFonts w:ascii="宋体" w:hAnsi="宋体"/>
                <w:color w:val="auto"/>
                <w:szCs w:val="21"/>
                <w:highlight w:val="none"/>
              </w:rPr>
            </w:pPr>
            <w:r>
              <w:rPr>
                <w:rFonts w:hint="eastAsia" w:ascii="宋体" w:hAnsi="宋体"/>
                <w:color w:val="auto"/>
                <w:szCs w:val="21"/>
                <w:highlight w:val="none"/>
              </w:rPr>
              <w:t>施工费</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FC6FAC8">
            <w:pPr>
              <w:spacing w:line="300" w:lineRule="exact"/>
              <w:jc w:val="center"/>
              <w:rPr>
                <w:rFonts w:ascii="宋体" w:hAnsi="宋体"/>
                <w:color w:val="auto"/>
                <w:szCs w:val="21"/>
                <w:highlight w:val="none"/>
              </w:rPr>
            </w:pPr>
            <w:r>
              <w:rPr>
                <w:rFonts w:hint="eastAsia" w:ascii="宋体" w:hAnsi="宋体"/>
                <w:color w:val="auto"/>
                <w:szCs w:val="21"/>
                <w:highlight w:val="none"/>
              </w:rPr>
              <w:t>规费</w:t>
            </w:r>
          </w:p>
          <w:p w14:paraId="7CA3D444">
            <w:pPr>
              <w:spacing w:line="300" w:lineRule="exact"/>
              <w:jc w:val="center"/>
              <w:rPr>
                <w:rFonts w:ascii="宋体" w:hAnsi="宋体"/>
                <w:color w:val="auto"/>
                <w:szCs w:val="21"/>
                <w:highlight w:val="none"/>
              </w:rPr>
            </w:pPr>
          </w:p>
        </w:tc>
      </w:tr>
      <w:tr w14:paraId="29EAB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368A4E34">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1</w:t>
            </w:r>
          </w:p>
        </w:tc>
        <w:tc>
          <w:tcPr>
            <w:tcW w:w="3318" w:type="dxa"/>
            <w:tcBorders>
              <w:top w:val="single" w:color="auto" w:sz="4" w:space="0"/>
              <w:left w:val="single" w:color="auto" w:sz="4" w:space="0"/>
              <w:bottom w:val="single" w:color="auto" w:sz="4" w:space="0"/>
              <w:right w:val="single" w:color="auto" w:sz="4" w:space="0"/>
            </w:tcBorders>
            <w:noWrap w:val="0"/>
            <w:vAlign w:val="center"/>
          </w:tcPr>
          <w:p w14:paraId="3C5AA5A5">
            <w:pPr>
              <w:spacing w:after="120" w:afterLines="50" w:line="380" w:lineRule="exact"/>
              <w:rPr>
                <w:rFonts w:ascii="宋体" w:hAnsi="宋体"/>
                <w:color w:val="auto"/>
                <w:szCs w:val="21"/>
                <w:highlight w:val="none"/>
              </w:rPr>
            </w:pPr>
            <w:r>
              <w:rPr>
                <w:rFonts w:hint="eastAsia" w:ascii="宋体" w:hAnsi="宋体"/>
                <w:color w:val="auto"/>
                <w:szCs w:val="21"/>
                <w:highlight w:val="none"/>
              </w:rPr>
              <w:t>单项工程</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3928C312">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37E1090C">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189CF53">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1F00B65F">
            <w:pPr>
              <w:spacing w:line="300" w:lineRule="exact"/>
              <w:jc w:val="center"/>
              <w:rPr>
                <w:rFonts w:ascii="宋体" w:hAnsi="宋体"/>
                <w:color w:val="auto"/>
                <w:szCs w:val="21"/>
                <w:highlight w:val="none"/>
              </w:rPr>
            </w:pPr>
          </w:p>
        </w:tc>
      </w:tr>
      <w:tr w14:paraId="75EF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725D8BAD">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06BF6FD2">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23523DF">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4F2C051C">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58BF5C0">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6CBE13C5">
            <w:pPr>
              <w:spacing w:line="300" w:lineRule="exact"/>
              <w:jc w:val="center"/>
              <w:rPr>
                <w:rFonts w:ascii="宋体" w:hAnsi="宋体"/>
                <w:color w:val="auto"/>
                <w:szCs w:val="21"/>
                <w:highlight w:val="none"/>
              </w:rPr>
            </w:pPr>
          </w:p>
        </w:tc>
      </w:tr>
      <w:tr w14:paraId="2FFFE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271B9D3E">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6DBDEAFD">
            <w:pPr>
              <w:spacing w:after="120" w:afterLines="50" w:line="380" w:lineRule="exact"/>
              <w:rPr>
                <w:rFonts w:ascii="宋体" w:hAnsi="宋体"/>
                <w:color w:val="auto"/>
                <w:szCs w:val="21"/>
                <w:highlight w:val="none"/>
              </w:rPr>
            </w:pPr>
            <w:r>
              <w:rPr>
                <w:rFonts w:hint="eastAsia" w:ascii="宋体" w:hAnsi="宋体"/>
                <w:color w:val="auto"/>
                <w:szCs w:val="21"/>
                <w:highlight w:val="none"/>
              </w:rPr>
              <w:t>建设项目数据：</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8E5854B">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06E6AD9F">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0AAC379">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97A0985">
            <w:pPr>
              <w:spacing w:line="300" w:lineRule="exact"/>
              <w:jc w:val="center"/>
              <w:rPr>
                <w:rFonts w:ascii="宋体" w:hAnsi="宋体"/>
                <w:color w:val="auto"/>
                <w:szCs w:val="21"/>
                <w:highlight w:val="none"/>
              </w:rPr>
            </w:pPr>
          </w:p>
        </w:tc>
      </w:tr>
      <w:tr w14:paraId="22CC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6278D7F2">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57CDC993">
            <w:pPr>
              <w:spacing w:after="120" w:afterLines="50" w:line="380" w:lineRule="exact"/>
              <w:rPr>
                <w:rFonts w:ascii="宋体" w:hAnsi="宋体"/>
                <w:color w:val="auto"/>
                <w:szCs w:val="21"/>
                <w:highlight w:val="none"/>
              </w:rPr>
            </w:pPr>
            <w:r>
              <w:rPr>
                <w:rFonts w:hint="eastAsia" w:ascii="宋体" w:hAnsi="宋体"/>
                <w:color w:val="auto"/>
                <w:szCs w:val="21"/>
                <w:highlight w:val="none"/>
              </w:rPr>
              <w:t>人工费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36F54A7">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0A0246A5">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D1B047F">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A0C6E9F">
            <w:pPr>
              <w:spacing w:line="300" w:lineRule="exact"/>
              <w:jc w:val="center"/>
              <w:rPr>
                <w:rFonts w:ascii="宋体" w:hAnsi="宋体"/>
                <w:color w:val="auto"/>
                <w:szCs w:val="21"/>
                <w:highlight w:val="none"/>
              </w:rPr>
            </w:pPr>
          </w:p>
        </w:tc>
      </w:tr>
      <w:tr w14:paraId="673D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76F13425">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292C76E0">
            <w:pPr>
              <w:spacing w:after="120" w:afterLines="50" w:line="380" w:lineRule="exact"/>
              <w:rPr>
                <w:rFonts w:ascii="宋体" w:hAnsi="宋体"/>
                <w:color w:val="auto"/>
                <w:szCs w:val="21"/>
                <w:highlight w:val="none"/>
              </w:rPr>
            </w:pPr>
            <w:r>
              <w:rPr>
                <w:rFonts w:hint="eastAsia" w:ascii="宋体" w:hAnsi="宋体"/>
                <w:color w:val="auto"/>
                <w:szCs w:val="21"/>
                <w:highlight w:val="none"/>
              </w:rPr>
              <w:t>材料费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E5ACA91">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6D59460D">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6F1C8B9">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34170BCB">
            <w:pPr>
              <w:spacing w:line="300" w:lineRule="exact"/>
              <w:jc w:val="center"/>
              <w:rPr>
                <w:rFonts w:ascii="宋体" w:hAnsi="宋体"/>
                <w:color w:val="auto"/>
                <w:szCs w:val="21"/>
                <w:highlight w:val="none"/>
              </w:rPr>
            </w:pPr>
          </w:p>
        </w:tc>
      </w:tr>
      <w:tr w14:paraId="651A7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32BD4599">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5594C738">
            <w:pPr>
              <w:spacing w:after="120" w:afterLines="50" w:line="380" w:lineRule="exact"/>
              <w:rPr>
                <w:rFonts w:ascii="宋体" w:hAnsi="宋体"/>
                <w:color w:val="auto"/>
                <w:szCs w:val="21"/>
                <w:highlight w:val="none"/>
              </w:rPr>
            </w:pPr>
            <w:r>
              <w:rPr>
                <w:rFonts w:hint="eastAsia" w:ascii="宋体" w:hAnsi="宋体"/>
                <w:color w:val="auto"/>
                <w:szCs w:val="21"/>
                <w:highlight w:val="none"/>
              </w:rPr>
              <w:t>机械费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823905C">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7E945813">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5D242D2">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5C2257A3">
            <w:pPr>
              <w:spacing w:line="300" w:lineRule="exact"/>
              <w:jc w:val="center"/>
              <w:rPr>
                <w:rFonts w:ascii="宋体" w:hAnsi="宋体"/>
                <w:color w:val="auto"/>
                <w:szCs w:val="21"/>
                <w:highlight w:val="none"/>
              </w:rPr>
            </w:pPr>
          </w:p>
        </w:tc>
      </w:tr>
      <w:tr w14:paraId="7DE70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3D53B3FD">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4B7A6FAB">
            <w:pPr>
              <w:spacing w:after="120" w:afterLines="50" w:line="380" w:lineRule="exact"/>
              <w:rPr>
                <w:rFonts w:ascii="宋体" w:hAnsi="宋体"/>
                <w:color w:val="auto"/>
                <w:szCs w:val="21"/>
                <w:highlight w:val="none"/>
              </w:rPr>
            </w:pPr>
            <w:r>
              <w:rPr>
                <w:rFonts w:hint="eastAsia" w:ascii="宋体" w:hAnsi="宋体"/>
                <w:color w:val="auto"/>
                <w:szCs w:val="21"/>
                <w:highlight w:val="none"/>
              </w:rPr>
              <w:t>设备费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A5C8FB3">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0A20357C">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2098320">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B0EFCA6">
            <w:pPr>
              <w:spacing w:line="300" w:lineRule="exact"/>
              <w:jc w:val="center"/>
              <w:rPr>
                <w:rFonts w:ascii="宋体" w:hAnsi="宋体"/>
                <w:color w:val="auto"/>
                <w:szCs w:val="21"/>
                <w:highlight w:val="none"/>
              </w:rPr>
            </w:pPr>
          </w:p>
        </w:tc>
      </w:tr>
      <w:tr w14:paraId="1B27F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3B863971">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7D2F040A">
            <w:pPr>
              <w:spacing w:after="120" w:afterLines="50" w:line="380" w:lineRule="exact"/>
              <w:rPr>
                <w:rFonts w:ascii="宋体" w:hAnsi="宋体"/>
                <w:color w:val="auto"/>
                <w:szCs w:val="21"/>
                <w:highlight w:val="none"/>
              </w:rPr>
            </w:pPr>
            <w:r>
              <w:rPr>
                <w:rFonts w:hint="eastAsia" w:ascii="宋体" w:hAnsi="宋体"/>
                <w:color w:val="auto"/>
                <w:szCs w:val="21"/>
                <w:highlight w:val="none"/>
              </w:rPr>
              <w:t>主材费</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764B3CA">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16177EA3">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69CE950">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02E53F20">
            <w:pPr>
              <w:spacing w:line="300" w:lineRule="exact"/>
              <w:jc w:val="center"/>
              <w:rPr>
                <w:rFonts w:ascii="宋体" w:hAnsi="宋体"/>
                <w:color w:val="auto"/>
                <w:szCs w:val="21"/>
                <w:highlight w:val="none"/>
              </w:rPr>
            </w:pPr>
          </w:p>
        </w:tc>
      </w:tr>
      <w:tr w14:paraId="5CF09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5EE82969">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3CBD007B">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0F7D168">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5DC3EF5E">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1F70455">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52B45648">
            <w:pPr>
              <w:spacing w:line="300" w:lineRule="exact"/>
              <w:jc w:val="center"/>
              <w:rPr>
                <w:rFonts w:ascii="宋体" w:hAnsi="宋体"/>
                <w:color w:val="auto"/>
                <w:szCs w:val="21"/>
                <w:highlight w:val="none"/>
              </w:rPr>
            </w:pPr>
          </w:p>
        </w:tc>
      </w:tr>
      <w:tr w14:paraId="70DC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1F77515F">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01B96F8E">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B7E11C6">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45730789">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8324A63">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EB90BC1">
            <w:pPr>
              <w:spacing w:line="300" w:lineRule="exact"/>
              <w:jc w:val="center"/>
              <w:rPr>
                <w:rFonts w:ascii="宋体" w:hAnsi="宋体"/>
                <w:color w:val="auto"/>
                <w:szCs w:val="21"/>
                <w:highlight w:val="none"/>
              </w:rPr>
            </w:pPr>
          </w:p>
        </w:tc>
      </w:tr>
      <w:tr w14:paraId="41A1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0DC839D6">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35FA7058">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712D5E2D">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26FF9A31">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F759B7B">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573C4C66">
            <w:pPr>
              <w:spacing w:line="300" w:lineRule="exact"/>
              <w:jc w:val="center"/>
              <w:rPr>
                <w:rFonts w:ascii="宋体" w:hAnsi="宋体"/>
                <w:color w:val="auto"/>
                <w:szCs w:val="21"/>
                <w:highlight w:val="none"/>
              </w:rPr>
            </w:pPr>
          </w:p>
        </w:tc>
      </w:tr>
      <w:tr w14:paraId="060D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7F53B33B">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2A472750">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63E5233">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3098C5DE">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40C99BF">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080AD0EC">
            <w:pPr>
              <w:spacing w:line="300" w:lineRule="exact"/>
              <w:jc w:val="center"/>
              <w:rPr>
                <w:rFonts w:ascii="宋体" w:hAnsi="宋体"/>
                <w:color w:val="auto"/>
                <w:szCs w:val="21"/>
                <w:highlight w:val="none"/>
              </w:rPr>
            </w:pPr>
          </w:p>
        </w:tc>
      </w:tr>
      <w:tr w14:paraId="2A5D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0B30BC07">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557B6522">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1F56E255">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0D07E28B">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009CCB61">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55B9280">
            <w:pPr>
              <w:spacing w:line="300" w:lineRule="exact"/>
              <w:jc w:val="center"/>
              <w:rPr>
                <w:rFonts w:ascii="宋体" w:hAnsi="宋体"/>
                <w:color w:val="auto"/>
                <w:szCs w:val="21"/>
                <w:highlight w:val="none"/>
              </w:rPr>
            </w:pPr>
          </w:p>
        </w:tc>
      </w:tr>
      <w:tr w14:paraId="1AE9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326B922B">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759941E8">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DDCA640">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25E9C0CD">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15BFE0B">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ED625EF">
            <w:pPr>
              <w:spacing w:line="300" w:lineRule="exact"/>
              <w:jc w:val="center"/>
              <w:rPr>
                <w:rFonts w:ascii="宋体" w:hAnsi="宋体"/>
                <w:color w:val="auto"/>
                <w:szCs w:val="21"/>
                <w:highlight w:val="none"/>
              </w:rPr>
            </w:pPr>
          </w:p>
        </w:tc>
      </w:tr>
      <w:tr w14:paraId="53CD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651183DF">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30479E80">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6F1A9CB">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223302A4">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72630DA">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8A55DA9">
            <w:pPr>
              <w:spacing w:line="300" w:lineRule="exact"/>
              <w:jc w:val="center"/>
              <w:rPr>
                <w:rFonts w:ascii="宋体" w:hAnsi="宋体"/>
                <w:color w:val="auto"/>
                <w:szCs w:val="21"/>
                <w:highlight w:val="none"/>
              </w:rPr>
            </w:pPr>
          </w:p>
        </w:tc>
      </w:tr>
      <w:tr w14:paraId="2898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59643F36">
            <w:pPr>
              <w:spacing w:after="120" w:afterLines="50" w:line="380" w:lineRule="exact"/>
              <w:jc w:val="center"/>
              <w:rPr>
                <w:rFonts w:ascii="宋体" w:hAnsi="宋体"/>
                <w:color w:val="auto"/>
                <w:szCs w:val="21"/>
                <w:highlight w:val="none"/>
              </w:rPr>
            </w:pPr>
          </w:p>
        </w:tc>
        <w:tc>
          <w:tcPr>
            <w:tcW w:w="3318" w:type="dxa"/>
            <w:tcBorders>
              <w:top w:val="single" w:color="auto" w:sz="4" w:space="0"/>
              <w:left w:val="single" w:color="auto" w:sz="4" w:space="0"/>
              <w:bottom w:val="single" w:color="auto" w:sz="4" w:space="0"/>
              <w:right w:val="single" w:color="auto" w:sz="4" w:space="0"/>
            </w:tcBorders>
            <w:noWrap w:val="0"/>
            <w:vAlign w:val="center"/>
          </w:tcPr>
          <w:p w14:paraId="6729FA18">
            <w:pPr>
              <w:spacing w:after="120" w:afterLines="50" w:line="380" w:lineRule="exact"/>
              <w:rPr>
                <w:rFonts w:ascii="宋体" w:hAnsi="宋体"/>
                <w:color w:val="auto"/>
                <w:szCs w:val="21"/>
                <w:highlight w:val="non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C175B6A">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60FE8EBD">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62A6DDB">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1BE0EF13">
            <w:pPr>
              <w:spacing w:line="300" w:lineRule="exact"/>
              <w:jc w:val="center"/>
              <w:rPr>
                <w:rFonts w:ascii="宋体" w:hAnsi="宋体"/>
                <w:color w:val="auto"/>
                <w:szCs w:val="21"/>
                <w:highlight w:val="none"/>
              </w:rPr>
            </w:pPr>
          </w:p>
        </w:tc>
      </w:tr>
      <w:tr w14:paraId="0C44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068" w:type="dxa"/>
            <w:gridSpan w:val="2"/>
            <w:tcBorders>
              <w:top w:val="single" w:color="auto" w:sz="4" w:space="0"/>
              <w:left w:val="single" w:color="auto" w:sz="4" w:space="0"/>
              <w:bottom w:val="single" w:color="auto" w:sz="4" w:space="0"/>
              <w:right w:val="single" w:color="auto" w:sz="4" w:space="0"/>
            </w:tcBorders>
            <w:noWrap w:val="0"/>
            <w:vAlign w:val="center"/>
          </w:tcPr>
          <w:p w14:paraId="1F460276">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合 计</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B4BA42F">
            <w:pPr>
              <w:spacing w:after="120" w:afterLines="50" w:line="380" w:lineRule="exact"/>
              <w:jc w:val="center"/>
              <w:rPr>
                <w:rFonts w:ascii="宋体" w:hAnsi="宋体"/>
                <w:color w:val="auto"/>
                <w:szCs w:val="21"/>
                <w:highlight w:val="none"/>
              </w:rPr>
            </w:pPr>
          </w:p>
        </w:tc>
        <w:tc>
          <w:tcPr>
            <w:tcW w:w="965" w:type="dxa"/>
            <w:tcBorders>
              <w:top w:val="single" w:color="auto" w:sz="4" w:space="0"/>
              <w:left w:val="single" w:color="auto" w:sz="4" w:space="0"/>
              <w:bottom w:val="single" w:color="auto" w:sz="4" w:space="0"/>
              <w:right w:val="single" w:color="auto" w:sz="4" w:space="0"/>
            </w:tcBorders>
            <w:noWrap w:val="0"/>
            <w:vAlign w:val="center"/>
          </w:tcPr>
          <w:p w14:paraId="600D9C38">
            <w:pPr>
              <w:spacing w:line="300" w:lineRule="exact"/>
              <w:jc w:val="center"/>
              <w:rPr>
                <w:rFonts w:ascii="宋体" w:hAnsi="宋体"/>
                <w:color w:val="auto"/>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B07241B">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54B686E1">
            <w:pPr>
              <w:spacing w:line="300" w:lineRule="exact"/>
              <w:jc w:val="center"/>
              <w:rPr>
                <w:rFonts w:ascii="宋体" w:hAnsi="宋体"/>
                <w:color w:val="auto"/>
                <w:szCs w:val="21"/>
                <w:highlight w:val="none"/>
              </w:rPr>
            </w:pPr>
          </w:p>
        </w:tc>
      </w:tr>
    </w:tbl>
    <w:p w14:paraId="316C27C8">
      <w:pPr>
        <w:spacing w:after="120" w:afterLines="50" w:line="380" w:lineRule="exact"/>
        <w:rPr>
          <w:rFonts w:hint="eastAsia" w:ascii="黑体" w:hAnsi="Times New Roman" w:eastAsia="黑体"/>
          <w:color w:val="auto"/>
          <w:sz w:val="24"/>
          <w:szCs w:val="24"/>
          <w:highlight w:val="none"/>
        </w:rPr>
      </w:pPr>
    </w:p>
    <w:p w14:paraId="4557733B">
      <w:pPr>
        <w:pStyle w:val="33"/>
        <w:rPr>
          <w:rFonts w:hint="eastAsia" w:ascii="Times New Roman"/>
          <w:color w:val="auto"/>
          <w:highlight w:val="none"/>
        </w:rPr>
      </w:pPr>
      <w:bookmarkStart w:id="2319" w:name="_Toc521075669"/>
      <w:bookmarkStart w:id="2320" w:name="_Toc14243"/>
      <w:bookmarkStart w:id="2321" w:name="_Toc521075244"/>
      <w:r>
        <w:rPr>
          <w:color w:val="auto"/>
          <w:highlight w:val="none"/>
        </w:rPr>
        <w:t>4.7</w:t>
      </w:r>
      <w:r>
        <w:rPr>
          <w:rFonts w:hint="eastAsia"/>
          <w:color w:val="auto"/>
          <w:highlight w:val="none"/>
        </w:rPr>
        <w:t>单项工程投标报价汇总表</w:t>
      </w:r>
      <w:bookmarkEnd w:id="2319"/>
      <w:bookmarkEnd w:id="2320"/>
      <w:bookmarkEnd w:id="2321"/>
    </w:p>
    <w:p w14:paraId="2734A03D">
      <w:pPr>
        <w:spacing w:after="120" w:afterLines="50" w:line="380" w:lineRule="exact"/>
        <w:jc w:val="center"/>
        <w:rPr>
          <w:rFonts w:ascii="黑体" w:eastAsia="黑体"/>
          <w:color w:val="auto"/>
          <w:sz w:val="28"/>
          <w:szCs w:val="28"/>
          <w:highlight w:val="none"/>
        </w:rPr>
      </w:pPr>
      <w:r>
        <w:rPr>
          <w:rFonts w:hint="eastAsia" w:ascii="黑体" w:eastAsia="黑体"/>
          <w:color w:val="auto"/>
          <w:sz w:val="28"/>
          <w:szCs w:val="28"/>
          <w:highlight w:val="none"/>
        </w:rPr>
        <w:t>单项工程投标报价汇总表</w:t>
      </w:r>
    </w:p>
    <w:p w14:paraId="2F49F3CE">
      <w:pPr>
        <w:spacing w:after="120" w:afterLines="50" w:line="380" w:lineRule="exact"/>
        <w:rPr>
          <w:rFonts w:hint="eastAsia" w:ascii="宋体" w:hAnsi="宋体"/>
          <w:color w:val="auto"/>
          <w:sz w:val="28"/>
          <w:szCs w:val="28"/>
          <w:highlight w:val="none"/>
        </w:rPr>
      </w:pPr>
      <w:r>
        <w:rPr>
          <w:rFonts w:hint="eastAsia" w:ascii="宋体" w:hAnsi="宋体"/>
          <w:color w:val="auto"/>
          <w:highlight w:val="none"/>
        </w:rPr>
        <w:t>工程名称：                                               第  页  共  页</w:t>
      </w:r>
    </w:p>
    <w:tbl>
      <w:tblPr>
        <w:tblStyle w:val="15"/>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304"/>
        <w:gridCol w:w="1204"/>
        <w:gridCol w:w="923"/>
        <w:gridCol w:w="1470"/>
        <w:gridCol w:w="925"/>
      </w:tblGrid>
      <w:tr w14:paraId="79F4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590727E4">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序号</w:t>
            </w:r>
          </w:p>
        </w:tc>
        <w:tc>
          <w:tcPr>
            <w:tcW w:w="3304" w:type="dxa"/>
            <w:vMerge w:val="restart"/>
            <w:tcBorders>
              <w:top w:val="single" w:color="auto" w:sz="4" w:space="0"/>
              <w:left w:val="single" w:color="auto" w:sz="4" w:space="0"/>
              <w:bottom w:val="single" w:color="auto" w:sz="4" w:space="0"/>
              <w:right w:val="single" w:color="auto" w:sz="4" w:space="0"/>
            </w:tcBorders>
            <w:noWrap w:val="0"/>
            <w:vAlign w:val="center"/>
          </w:tcPr>
          <w:p w14:paraId="6DC0F63F">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单位工程名称</w:t>
            </w:r>
          </w:p>
        </w:tc>
        <w:tc>
          <w:tcPr>
            <w:tcW w:w="1204" w:type="dxa"/>
            <w:vMerge w:val="restart"/>
            <w:tcBorders>
              <w:top w:val="single" w:color="auto" w:sz="4" w:space="0"/>
              <w:left w:val="single" w:color="auto" w:sz="4" w:space="0"/>
              <w:bottom w:val="single" w:color="auto" w:sz="4" w:space="0"/>
              <w:right w:val="single" w:color="auto" w:sz="4" w:space="0"/>
            </w:tcBorders>
            <w:noWrap w:val="0"/>
            <w:vAlign w:val="center"/>
          </w:tcPr>
          <w:p w14:paraId="110612EC">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金额（元）</w:t>
            </w:r>
          </w:p>
        </w:tc>
        <w:tc>
          <w:tcPr>
            <w:tcW w:w="3318" w:type="dxa"/>
            <w:gridSpan w:val="3"/>
            <w:tcBorders>
              <w:top w:val="single" w:color="auto" w:sz="4" w:space="0"/>
              <w:left w:val="single" w:color="auto" w:sz="4" w:space="0"/>
              <w:bottom w:val="single" w:color="auto" w:sz="4" w:space="0"/>
              <w:right w:val="single" w:color="auto" w:sz="4" w:space="0"/>
            </w:tcBorders>
            <w:noWrap w:val="0"/>
            <w:vAlign w:val="center"/>
          </w:tcPr>
          <w:p w14:paraId="2E480D7B">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其  中：（元）</w:t>
            </w:r>
          </w:p>
        </w:tc>
      </w:tr>
      <w:tr w14:paraId="6C3A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3A25420">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52AB4AE">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A5CB96F">
            <w:pPr>
              <w:widowControl/>
              <w:jc w:val="left"/>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25DBFBB1">
            <w:pPr>
              <w:spacing w:line="300" w:lineRule="exact"/>
              <w:jc w:val="center"/>
              <w:rPr>
                <w:rFonts w:ascii="宋体" w:hAnsi="宋体"/>
                <w:color w:val="auto"/>
                <w:szCs w:val="21"/>
                <w:highlight w:val="none"/>
              </w:rPr>
            </w:pPr>
            <w:r>
              <w:rPr>
                <w:rFonts w:hint="eastAsia" w:ascii="宋体" w:hAnsi="宋体"/>
                <w:color w:val="auto"/>
                <w:szCs w:val="21"/>
                <w:highlight w:val="none"/>
              </w:rPr>
              <w:t>暂估价</w:t>
            </w:r>
          </w:p>
        </w:tc>
        <w:tc>
          <w:tcPr>
            <w:tcW w:w="1470" w:type="dxa"/>
            <w:tcBorders>
              <w:top w:val="single" w:color="auto" w:sz="4" w:space="0"/>
              <w:left w:val="single" w:color="auto" w:sz="4" w:space="0"/>
              <w:bottom w:val="single" w:color="auto" w:sz="4" w:space="0"/>
              <w:right w:val="single" w:color="auto" w:sz="4" w:space="0"/>
            </w:tcBorders>
            <w:noWrap w:val="0"/>
            <w:vAlign w:val="center"/>
          </w:tcPr>
          <w:p w14:paraId="58FFD9BD">
            <w:pPr>
              <w:spacing w:line="300" w:lineRule="exact"/>
              <w:jc w:val="center"/>
              <w:rPr>
                <w:rFonts w:ascii="宋体" w:hAnsi="宋体"/>
                <w:color w:val="auto"/>
                <w:szCs w:val="21"/>
                <w:highlight w:val="none"/>
              </w:rPr>
            </w:pPr>
            <w:r>
              <w:rPr>
                <w:rFonts w:hint="eastAsia" w:ascii="宋体" w:hAnsi="宋体"/>
                <w:color w:val="auto"/>
                <w:szCs w:val="21"/>
                <w:highlight w:val="none"/>
              </w:rPr>
              <w:t>安全文明</w:t>
            </w:r>
          </w:p>
          <w:p w14:paraId="1F6AA51E">
            <w:pPr>
              <w:spacing w:line="300" w:lineRule="exact"/>
              <w:jc w:val="center"/>
              <w:rPr>
                <w:rFonts w:ascii="宋体" w:hAnsi="宋体"/>
                <w:color w:val="auto"/>
                <w:szCs w:val="21"/>
                <w:highlight w:val="none"/>
              </w:rPr>
            </w:pPr>
            <w:r>
              <w:rPr>
                <w:rFonts w:hint="eastAsia" w:ascii="宋体" w:hAnsi="宋体"/>
                <w:color w:val="auto"/>
                <w:szCs w:val="21"/>
                <w:highlight w:val="none"/>
              </w:rPr>
              <w:t>施工费</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0DACA15E">
            <w:pPr>
              <w:spacing w:line="300" w:lineRule="exact"/>
              <w:jc w:val="center"/>
              <w:rPr>
                <w:rFonts w:ascii="宋体" w:hAnsi="宋体"/>
                <w:color w:val="auto"/>
                <w:szCs w:val="21"/>
                <w:highlight w:val="none"/>
              </w:rPr>
            </w:pPr>
            <w:r>
              <w:rPr>
                <w:rFonts w:hint="eastAsia" w:ascii="宋体" w:hAnsi="宋体"/>
                <w:color w:val="auto"/>
                <w:szCs w:val="21"/>
                <w:highlight w:val="none"/>
              </w:rPr>
              <w:t>规费</w:t>
            </w:r>
          </w:p>
        </w:tc>
      </w:tr>
      <w:tr w14:paraId="1934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2DE6F787">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1</w:t>
            </w:r>
          </w:p>
        </w:tc>
        <w:tc>
          <w:tcPr>
            <w:tcW w:w="3304" w:type="dxa"/>
            <w:tcBorders>
              <w:top w:val="single" w:color="auto" w:sz="4" w:space="0"/>
              <w:left w:val="single" w:color="auto" w:sz="4" w:space="0"/>
              <w:bottom w:val="single" w:color="auto" w:sz="4" w:space="0"/>
              <w:right w:val="single" w:color="auto" w:sz="4" w:space="0"/>
            </w:tcBorders>
            <w:noWrap w:val="0"/>
            <w:vAlign w:val="center"/>
          </w:tcPr>
          <w:p w14:paraId="36E0AF78">
            <w:pPr>
              <w:spacing w:after="120" w:afterLines="50" w:line="380" w:lineRule="exact"/>
              <w:rPr>
                <w:rFonts w:ascii="宋体" w:hAnsi="宋体"/>
                <w:color w:val="auto"/>
                <w:szCs w:val="21"/>
                <w:highlight w:val="none"/>
              </w:rPr>
            </w:pPr>
            <w:r>
              <w:rPr>
                <w:rFonts w:hint="eastAsia" w:ascii="宋体" w:hAnsi="宋体"/>
                <w:color w:val="auto"/>
                <w:szCs w:val="21"/>
                <w:highlight w:val="none"/>
              </w:rPr>
              <w:t>单位工程</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B7B0F00">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1DBD9F80">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25B9F353">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640ADB0A">
            <w:pPr>
              <w:spacing w:line="300" w:lineRule="exact"/>
              <w:jc w:val="center"/>
              <w:rPr>
                <w:rFonts w:ascii="宋体" w:hAnsi="宋体"/>
                <w:color w:val="auto"/>
                <w:szCs w:val="21"/>
                <w:highlight w:val="none"/>
              </w:rPr>
            </w:pPr>
          </w:p>
        </w:tc>
      </w:tr>
      <w:tr w14:paraId="14D7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12250B33">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5EE6F4A4">
            <w:pPr>
              <w:spacing w:after="120" w:afterLines="50" w:line="380" w:lineRule="exact"/>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471E6F3">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03B30F27">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32C4A98F">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2E2BE3F">
            <w:pPr>
              <w:spacing w:line="300" w:lineRule="exact"/>
              <w:jc w:val="center"/>
              <w:rPr>
                <w:rFonts w:ascii="宋体" w:hAnsi="宋体"/>
                <w:color w:val="auto"/>
                <w:szCs w:val="21"/>
                <w:highlight w:val="none"/>
              </w:rPr>
            </w:pPr>
          </w:p>
        </w:tc>
      </w:tr>
      <w:tr w14:paraId="20D3B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475B2C85">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4C8D8214">
            <w:pPr>
              <w:spacing w:after="120" w:afterLines="50" w:line="380" w:lineRule="exact"/>
              <w:rPr>
                <w:rFonts w:ascii="宋体" w:hAnsi="宋体"/>
                <w:color w:val="auto"/>
                <w:szCs w:val="21"/>
                <w:highlight w:val="none"/>
              </w:rPr>
            </w:pPr>
            <w:r>
              <w:rPr>
                <w:rFonts w:hint="eastAsia" w:ascii="宋体" w:hAnsi="宋体"/>
                <w:color w:val="auto"/>
                <w:szCs w:val="21"/>
                <w:highlight w:val="none"/>
              </w:rPr>
              <w:t>单项工程数据：</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606096C">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5ED95F42">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39B0D502">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18BF8EA">
            <w:pPr>
              <w:spacing w:line="300" w:lineRule="exact"/>
              <w:jc w:val="center"/>
              <w:rPr>
                <w:rFonts w:ascii="宋体" w:hAnsi="宋体"/>
                <w:color w:val="auto"/>
                <w:szCs w:val="21"/>
                <w:highlight w:val="none"/>
              </w:rPr>
            </w:pPr>
          </w:p>
        </w:tc>
      </w:tr>
      <w:tr w14:paraId="430C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7D761947">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0E45D38E">
            <w:pPr>
              <w:spacing w:after="120" w:afterLines="50" w:line="380" w:lineRule="exact"/>
              <w:rPr>
                <w:rFonts w:ascii="宋体" w:hAnsi="宋体"/>
                <w:color w:val="auto"/>
                <w:szCs w:val="21"/>
                <w:highlight w:val="none"/>
              </w:rPr>
            </w:pPr>
            <w:r>
              <w:rPr>
                <w:rFonts w:hint="eastAsia" w:ascii="宋体" w:hAnsi="宋体"/>
                <w:color w:val="auto"/>
                <w:szCs w:val="21"/>
                <w:highlight w:val="none"/>
              </w:rPr>
              <w:t>人工费</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34F2BDC9">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7CB073CE">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2B41E902">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26DCCFE">
            <w:pPr>
              <w:spacing w:line="300" w:lineRule="exact"/>
              <w:jc w:val="center"/>
              <w:rPr>
                <w:rFonts w:ascii="宋体" w:hAnsi="宋体"/>
                <w:color w:val="auto"/>
                <w:szCs w:val="21"/>
                <w:highlight w:val="none"/>
              </w:rPr>
            </w:pPr>
          </w:p>
        </w:tc>
      </w:tr>
      <w:tr w14:paraId="78AA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10AC61C8">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0B84589A">
            <w:pPr>
              <w:spacing w:after="120" w:afterLines="50" w:line="380" w:lineRule="exact"/>
              <w:rPr>
                <w:rFonts w:ascii="宋体" w:hAnsi="宋体"/>
                <w:color w:val="auto"/>
                <w:szCs w:val="21"/>
                <w:highlight w:val="none"/>
              </w:rPr>
            </w:pPr>
            <w:r>
              <w:rPr>
                <w:rFonts w:hint="eastAsia" w:ascii="宋体" w:hAnsi="宋体"/>
                <w:color w:val="auto"/>
                <w:szCs w:val="21"/>
                <w:highlight w:val="none"/>
              </w:rPr>
              <w:t>材料费</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49A6FB4">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6F54ABB2">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655D13EA">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3E8108AC">
            <w:pPr>
              <w:spacing w:line="300" w:lineRule="exact"/>
              <w:jc w:val="center"/>
              <w:rPr>
                <w:rFonts w:ascii="宋体" w:hAnsi="宋体"/>
                <w:color w:val="auto"/>
                <w:szCs w:val="21"/>
                <w:highlight w:val="none"/>
              </w:rPr>
            </w:pPr>
          </w:p>
        </w:tc>
      </w:tr>
      <w:tr w14:paraId="771C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6DDD9BC7">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08D184F7">
            <w:pPr>
              <w:spacing w:after="120" w:afterLines="50" w:line="380" w:lineRule="exact"/>
              <w:rPr>
                <w:rFonts w:ascii="宋体" w:hAnsi="宋体"/>
                <w:color w:val="auto"/>
                <w:szCs w:val="21"/>
                <w:highlight w:val="none"/>
              </w:rPr>
            </w:pPr>
            <w:r>
              <w:rPr>
                <w:rFonts w:hint="eastAsia" w:ascii="宋体" w:hAnsi="宋体"/>
                <w:color w:val="auto"/>
                <w:szCs w:val="21"/>
                <w:highlight w:val="none"/>
              </w:rPr>
              <w:t>机械费</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8965C82">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40F5CA57">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7D6DBBDD">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5EDB6259">
            <w:pPr>
              <w:spacing w:line="300" w:lineRule="exact"/>
              <w:jc w:val="center"/>
              <w:rPr>
                <w:rFonts w:ascii="宋体" w:hAnsi="宋体"/>
                <w:color w:val="auto"/>
                <w:szCs w:val="21"/>
                <w:highlight w:val="none"/>
              </w:rPr>
            </w:pPr>
          </w:p>
        </w:tc>
      </w:tr>
      <w:tr w14:paraId="2EA5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197705FD">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5CC92628">
            <w:pPr>
              <w:spacing w:after="120" w:afterLines="50" w:line="380" w:lineRule="exact"/>
              <w:rPr>
                <w:rFonts w:ascii="宋体" w:hAnsi="宋体"/>
                <w:color w:val="auto"/>
                <w:szCs w:val="21"/>
                <w:highlight w:val="none"/>
              </w:rPr>
            </w:pPr>
            <w:r>
              <w:rPr>
                <w:rFonts w:hint="eastAsia" w:ascii="宋体" w:hAnsi="宋体"/>
                <w:color w:val="auto"/>
                <w:szCs w:val="21"/>
                <w:highlight w:val="none"/>
              </w:rPr>
              <w:t>设备费</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81790F6">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4BC70518">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49437A83">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761557F">
            <w:pPr>
              <w:spacing w:line="300" w:lineRule="exact"/>
              <w:jc w:val="center"/>
              <w:rPr>
                <w:rFonts w:ascii="宋体" w:hAnsi="宋体"/>
                <w:color w:val="auto"/>
                <w:szCs w:val="21"/>
                <w:highlight w:val="none"/>
              </w:rPr>
            </w:pPr>
          </w:p>
        </w:tc>
      </w:tr>
      <w:tr w14:paraId="27AEF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2C81F414">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50DA95A2">
            <w:pPr>
              <w:spacing w:after="120" w:afterLines="50" w:line="380" w:lineRule="exact"/>
              <w:rPr>
                <w:rFonts w:ascii="宋体" w:hAnsi="宋体"/>
                <w:color w:val="auto"/>
                <w:szCs w:val="21"/>
                <w:highlight w:val="none"/>
              </w:rPr>
            </w:pPr>
            <w:r>
              <w:rPr>
                <w:rFonts w:hint="eastAsia" w:ascii="宋体" w:hAnsi="宋体"/>
                <w:color w:val="auto"/>
                <w:szCs w:val="21"/>
                <w:highlight w:val="none"/>
              </w:rPr>
              <w:t>主材费</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39EE3657">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40C6106A">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24E23751">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0CFCF86C">
            <w:pPr>
              <w:spacing w:line="300" w:lineRule="exact"/>
              <w:jc w:val="center"/>
              <w:rPr>
                <w:rFonts w:ascii="宋体" w:hAnsi="宋体"/>
                <w:color w:val="auto"/>
                <w:szCs w:val="21"/>
                <w:highlight w:val="none"/>
              </w:rPr>
            </w:pPr>
          </w:p>
        </w:tc>
      </w:tr>
      <w:tr w14:paraId="7763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43F3627D">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2F31F798">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67D16845">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595E4D42">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72413919">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1CBD0D0">
            <w:pPr>
              <w:spacing w:line="300" w:lineRule="exact"/>
              <w:jc w:val="center"/>
              <w:rPr>
                <w:rFonts w:ascii="宋体" w:hAnsi="宋体"/>
                <w:color w:val="auto"/>
                <w:szCs w:val="21"/>
                <w:highlight w:val="none"/>
              </w:rPr>
            </w:pPr>
          </w:p>
        </w:tc>
      </w:tr>
      <w:tr w14:paraId="143A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04A372C1">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13F17260">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3E7AC619">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04CDC3E7">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2E85748F">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4CEA5E0">
            <w:pPr>
              <w:spacing w:line="300" w:lineRule="exact"/>
              <w:jc w:val="center"/>
              <w:rPr>
                <w:rFonts w:ascii="宋体" w:hAnsi="宋体"/>
                <w:color w:val="auto"/>
                <w:szCs w:val="21"/>
                <w:highlight w:val="none"/>
              </w:rPr>
            </w:pPr>
          </w:p>
        </w:tc>
      </w:tr>
      <w:tr w14:paraId="70E5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1C3C50D6">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5A81B835">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5FA460A">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4F30DC1A">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71E8C12F">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6E237AC1">
            <w:pPr>
              <w:spacing w:line="300" w:lineRule="exact"/>
              <w:jc w:val="center"/>
              <w:rPr>
                <w:rFonts w:ascii="宋体" w:hAnsi="宋体"/>
                <w:color w:val="auto"/>
                <w:szCs w:val="21"/>
                <w:highlight w:val="none"/>
              </w:rPr>
            </w:pPr>
          </w:p>
        </w:tc>
      </w:tr>
      <w:tr w14:paraId="2DB6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0D178553">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36E4F890">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AF03647">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7F362460">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1870EF5B">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3A680561">
            <w:pPr>
              <w:spacing w:line="300" w:lineRule="exact"/>
              <w:jc w:val="center"/>
              <w:rPr>
                <w:rFonts w:ascii="宋体" w:hAnsi="宋体"/>
                <w:color w:val="auto"/>
                <w:szCs w:val="21"/>
                <w:highlight w:val="none"/>
              </w:rPr>
            </w:pPr>
          </w:p>
        </w:tc>
      </w:tr>
      <w:tr w14:paraId="531B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5EB32E33">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4B30207D">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6516DC5">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6FE86073">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0BF3D7F6">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1948C71">
            <w:pPr>
              <w:spacing w:line="300" w:lineRule="exact"/>
              <w:jc w:val="center"/>
              <w:rPr>
                <w:rFonts w:ascii="宋体" w:hAnsi="宋体"/>
                <w:color w:val="auto"/>
                <w:szCs w:val="21"/>
                <w:highlight w:val="none"/>
              </w:rPr>
            </w:pPr>
          </w:p>
        </w:tc>
      </w:tr>
      <w:tr w14:paraId="5CE1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651EE494">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4554E318">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25A7D074">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7741B14A">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12B070A3">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CB41D6D">
            <w:pPr>
              <w:spacing w:line="300" w:lineRule="exact"/>
              <w:jc w:val="center"/>
              <w:rPr>
                <w:rFonts w:ascii="宋体" w:hAnsi="宋体"/>
                <w:color w:val="auto"/>
                <w:szCs w:val="21"/>
                <w:highlight w:val="none"/>
              </w:rPr>
            </w:pPr>
          </w:p>
        </w:tc>
      </w:tr>
      <w:tr w14:paraId="63C23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32B116EC">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7BA04106">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03A021BD">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4F1C45F1">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37EA9222">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7F46F089">
            <w:pPr>
              <w:spacing w:line="300" w:lineRule="exact"/>
              <w:jc w:val="center"/>
              <w:rPr>
                <w:rFonts w:ascii="宋体" w:hAnsi="宋体"/>
                <w:color w:val="auto"/>
                <w:szCs w:val="21"/>
                <w:highlight w:val="none"/>
              </w:rPr>
            </w:pPr>
          </w:p>
        </w:tc>
      </w:tr>
      <w:tr w14:paraId="31E6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79665ECC">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309B6A35">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5D1E77C5">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689EEE3B">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4D8222D0">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5F498B89">
            <w:pPr>
              <w:spacing w:line="300" w:lineRule="exact"/>
              <w:jc w:val="center"/>
              <w:rPr>
                <w:rFonts w:ascii="宋体" w:hAnsi="宋体"/>
                <w:color w:val="auto"/>
                <w:szCs w:val="21"/>
                <w:highlight w:val="none"/>
              </w:rPr>
            </w:pPr>
          </w:p>
        </w:tc>
      </w:tr>
      <w:tr w14:paraId="1EE5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174B98F5">
            <w:pPr>
              <w:spacing w:after="120" w:afterLines="50" w:line="380" w:lineRule="exact"/>
              <w:jc w:val="center"/>
              <w:rPr>
                <w:rFonts w:ascii="宋体" w:hAnsi="宋体"/>
                <w:color w:val="auto"/>
                <w:szCs w:val="21"/>
                <w:highlight w:val="none"/>
              </w:rPr>
            </w:pPr>
          </w:p>
        </w:tc>
        <w:tc>
          <w:tcPr>
            <w:tcW w:w="3304" w:type="dxa"/>
            <w:tcBorders>
              <w:top w:val="single" w:color="auto" w:sz="4" w:space="0"/>
              <w:left w:val="single" w:color="auto" w:sz="4" w:space="0"/>
              <w:bottom w:val="single" w:color="auto" w:sz="4" w:space="0"/>
              <w:right w:val="single" w:color="auto" w:sz="4" w:space="0"/>
            </w:tcBorders>
            <w:noWrap w:val="0"/>
            <w:vAlign w:val="center"/>
          </w:tcPr>
          <w:p w14:paraId="67A67CA8">
            <w:pPr>
              <w:spacing w:after="120" w:afterLines="50" w:line="380" w:lineRule="exact"/>
              <w:jc w:val="center"/>
              <w:rPr>
                <w:rFonts w:ascii="宋体" w:hAnsi="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1936362">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5A313F8E">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4320980C">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685F3083">
            <w:pPr>
              <w:spacing w:line="300" w:lineRule="exact"/>
              <w:jc w:val="center"/>
              <w:rPr>
                <w:rFonts w:ascii="宋体" w:hAnsi="宋体"/>
                <w:color w:val="auto"/>
                <w:szCs w:val="21"/>
                <w:highlight w:val="none"/>
              </w:rPr>
            </w:pPr>
          </w:p>
        </w:tc>
      </w:tr>
      <w:tr w14:paraId="544A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054" w:type="dxa"/>
            <w:gridSpan w:val="2"/>
            <w:tcBorders>
              <w:top w:val="single" w:color="auto" w:sz="4" w:space="0"/>
              <w:left w:val="single" w:color="auto" w:sz="4" w:space="0"/>
              <w:bottom w:val="single" w:color="auto" w:sz="4" w:space="0"/>
              <w:right w:val="single" w:color="auto" w:sz="4" w:space="0"/>
            </w:tcBorders>
            <w:noWrap w:val="0"/>
            <w:vAlign w:val="center"/>
          </w:tcPr>
          <w:p w14:paraId="45A7983E">
            <w:pPr>
              <w:spacing w:after="120" w:afterLines="50" w:line="380" w:lineRule="exact"/>
              <w:jc w:val="center"/>
              <w:rPr>
                <w:rFonts w:ascii="宋体" w:hAnsi="宋体"/>
                <w:color w:val="auto"/>
                <w:szCs w:val="21"/>
                <w:highlight w:val="none"/>
              </w:rPr>
            </w:pPr>
            <w:r>
              <w:rPr>
                <w:rFonts w:hint="eastAsia" w:ascii="宋体" w:hAnsi="宋体"/>
                <w:color w:val="auto"/>
                <w:szCs w:val="21"/>
                <w:highlight w:val="none"/>
              </w:rPr>
              <w:t>合 计</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69C3532">
            <w:pPr>
              <w:spacing w:after="120" w:afterLines="50" w:line="380" w:lineRule="exact"/>
              <w:jc w:val="center"/>
              <w:rPr>
                <w:rFonts w:ascii="宋体" w:hAnsi="宋体"/>
                <w:color w:val="auto"/>
                <w:szCs w:val="21"/>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454D354C">
            <w:pPr>
              <w:spacing w:line="300" w:lineRule="exact"/>
              <w:jc w:val="center"/>
              <w:rPr>
                <w:rFonts w:ascii="宋体" w:hAnsi="宋体"/>
                <w:color w:val="auto"/>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14:paraId="7F8A4712">
            <w:pPr>
              <w:spacing w:line="300" w:lineRule="exact"/>
              <w:jc w:val="center"/>
              <w:rPr>
                <w:rFonts w:ascii="宋体" w:hAnsi="宋体"/>
                <w:color w:val="auto"/>
                <w:szCs w:val="21"/>
                <w:highlight w:val="none"/>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3CA16135">
            <w:pPr>
              <w:spacing w:line="300" w:lineRule="exact"/>
              <w:jc w:val="center"/>
              <w:rPr>
                <w:rFonts w:ascii="宋体" w:hAnsi="宋体"/>
                <w:color w:val="auto"/>
                <w:szCs w:val="21"/>
                <w:highlight w:val="none"/>
              </w:rPr>
            </w:pPr>
          </w:p>
        </w:tc>
      </w:tr>
    </w:tbl>
    <w:p w14:paraId="731F1799">
      <w:pPr>
        <w:spacing w:after="120" w:afterLines="50" w:line="380" w:lineRule="exact"/>
        <w:jc w:val="center"/>
        <w:rPr>
          <w:rFonts w:hint="eastAsia" w:ascii="黑体" w:hAnsi="Times New Roman" w:eastAsia="黑体"/>
          <w:color w:val="auto"/>
          <w:sz w:val="28"/>
          <w:szCs w:val="28"/>
          <w:highlight w:val="none"/>
        </w:rPr>
      </w:pPr>
    </w:p>
    <w:p w14:paraId="0F7A28C4">
      <w:pPr>
        <w:pStyle w:val="33"/>
        <w:rPr>
          <w:rFonts w:hint="eastAsia" w:ascii="Times New Roman"/>
          <w:color w:val="auto"/>
          <w:highlight w:val="none"/>
        </w:rPr>
      </w:pPr>
      <w:bookmarkStart w:id="2322" w:name="_Toc5994"/>
      <w:bookmarkStart w:id="2323" w:name="_Toc521075245"/>
      <w:bookmarkStart w:id="2324" w:name="_Toc521075670"/>
      <w:r>
        <w:rPr>
          <w:color w:val="auto"/>
          <w:highlight w:val="none"/>
        </w:rPr>
        <w:t>4.8</w:t>
      </w:r>
      <w:r>
        <w:rPr>
          <w:rFonts w:hint="eastAsia"/>
          <w:color w:val="auto"/>
          <w:highlight w:val="none"/>
        </w:rPr>
        <w:t>单位工程投标报价汇总表</w:t>
      </w:r>
      <w:bookmarkEnd w:id="2322"/>
      <w:bookmarkEnd w:id="2323"/>
      <w:bookmarkEnd w:id="2324"/>
    </w:p>
    <w:p w14:paraId="1481719D">
      <w:pPr>
        <w:spacing w:before="120" w:beforeLines="50" w:after="120" w:afterLines="50"/>
        <w:jc w:val="center"/>
        <w:rPr>
          <w:rFonts w:ascii="黑体" w:eastAsia="黑体"/>
          <w:color w:val="auto"/>
          <w:sz w:val="28"/>
          <w:szCs w:val="28"/>
          <w:highlight w:val="none"/>
        </w:rPr>
      </w:pPr>
      <w:r>
        <w:rPr>
          <w:rFonts w:hint="eastAsia" w:ascii="黑体" w:eastAsia="黑体"/>
          <w:color w:val="auto"/>
          <w:sz w:val="28"/>
          <w:szCs w:val="28"/>
          <w:highlight w:val="none"/>
        </w:rPr>
        <w:t>单位工程投标报价汇总表</w:t>
      </w:r>
    </w:p>
    <w:p w14:paraId="22C8A983">
      <w:pPr>
        <w:spacing w:after="120" w:afterLines="50"/>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2910"/>
        <w:gridCol w:w="3330"/>
        <w:gridCol w:w="1789"/>
      </w:tblGrid>
      <w:tr w14:paraId="5857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4DE80537">
            <w:pPr>
              <w:jc w:val="center"/>
              <w:rPr>
                <w:color w:val="auto"/>
                <w:szCs w:val="21"/>
                <w:highlight w:val="none"/>
              </w:rPr>
            </w:pPr>
            <w:r>
              <w:rPr>
                <w:rFonts w:hint="eastAsia"/>
                <w:color w:val="auto"/>
                <w:szCs w:val="21"/>
                <w:highlight w:val="none"/>
              </w:rPr>
              <w:t>序号</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720DBAA">
            <w:pPr>
              <w:jc w:val="center"/>
              <w:rPr>
                <w:color w:val="auto"/>
                <w:szCs w:val="21"/>
                <w:highlight w:val="none"/>
              </w:rPr>
            </w:pPr>
            <w:r>
              <w:rPr>
                <w:rFonts w:hint="eastAsia"/>
                <w:color w:val="auto"/>
                <w:szCs w:val="21"/>
                <w:highlight w:val="none"/>
              </w:rPr>
              <w:t>汇总内容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4D56C74A">
            <w:pPr>
              <w:jc w:val="center"/>
              <w:rPr>
                <w:color w:val="auto"/>
                <w:szCs w:val="21"/>
                <w:highlight w:val="none"/>
              </w:rPr>
            </w:pPr>
            <w:r>
              <w:rPr>
                <w:rFonts w:hint="eastAsia"/>
                <w:color w:val="auto"/>
                <w:szCs w:val="21"/>
                <w:highlight w:val="none"/>
              </w:rPr>
              <w:t>金额</w:t>
            </w:r>
            <w:r>
              <w:rPr>
                <w:color w:val="auto"/>
                <w:szCs w:val="21"/>
                <w:highlight w:val="none"/>
              </w:rPr>
              <w:t>(</w:t>
            </w:r>
            <w:r>
              <w:rPr>
                <w:rFonts w:hint="eastAsia"/>
                <w:color w:val="auto"/>
                <w:szCs w:val="21"/>
                <w:highlight w:val="none"/>
              </w:rPr>
              <w:t>元</w:t>
            </w:r>
            <w:r>
              <w:rPr>
                <w:color w:val="auto"/>
                <w:szCs w:val="21"/>
                <w:highlight w:val="none"/>
              </w:rPr>
              <w:t>)</w:t>
            </w:r>
          </w:p>
        </w:tc>
        <w:tc>
          <w:tcPr>
            <w:tcW w:w="1789" w:type="dxa"/>
            <w:tcBorders>
              <w:top w:val="single" w:color="auto" w:sz="4" w:space="0"/>
              <w:left w:val="single" w:color="auto" w:sz="4" w:space="0"/>
              <w:bottom w:val="single" w:color="auto" w:sz="4" w:space="0"/>
              <w:right w:val="single" w:color="auto" w:sz="4" w:space="0"/>
            </w:tcBorders>
            <w:noWrap w:val="0"/>
            <w:vAlign w:val="center"/>
          </w:tcPr>
          <w:p w14:paraId="53F9C503">
            <w:pPr>
              <w:jc w:val="center"/>
              <w:rPr>
                <w:color w:val="auto"/>
                <w:szCs w:val="21"/>
                <w:highlight w:val="none"/>
              </w:rPr>
            </w:pPr>
            <w:r>
              <w:rPr>
                <w:rFonts w:hint="eastAsia"/>
                <w:color w:val="auto"/>
                <w:szCs w:val="21"/>
                <w:highlight w:val="none"/>
              </w:rPr>
              <w:t>其中：暂估价</w:t>
            </w:r>
            <w:r>
              <w:rPr>
                <w:color w:val="auto"/>
                <w:szCs w:val="21"/>
                <w:highlight w:val="none"/>
              </w:rPr>
              <w:t>(</w:t>
            </w:r>
            <w:r>
              <w:rPr>
                <w:rFonts w:hint="eastAsia"/>
                <w:color w:val="auto"/>
                <w:szCs w:val="21"/>
                <w:highlight w:val="none"/>
              </w:rPr>
              <w:t>元</w:t>
            </w:r>
            <w:r>
              <w:rPr>
                <w:color w:val="auto"/>
                <w:szCs w:val="21"/>
                <w:highlight w:val="none"/>
              </w:rPr>
              <w:t>)</w:t>
            </w:r>
          </w:p>
        </w:tc>
      </w:tr>
      <w:tr w14:paraId="485A9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D21AEB9">
            <w:pPr>
              <w:rPr>
                <w:rFonts w:ascii="黑体" w:eastAsia="黑体"/>
                <w:color w:val="auto"/>
                <w:szCs w:val="21"/>
                <w:highlight w:val="none"/>
              </w:rPr>
            </w:pPr>
            <w:r>
              <w:rPr>
                <w:rFonts w:hint="eastAsia" w:ascii="黑体" w:eastAsia="黑体"/>
                <w:color w:val="auto"/>
                <w:szCs w:val="21"/>
                <w:highlight w:val="none"/>
              </w:rPr>
              <w:t>1</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92BA9DC">
            <w:pPr>
              <w:jc w:val="left"/>
              <w:rPr>
                <w:color w:val="auto"/>
                <w:szCs w:val="21"/>
                <w:highlight w:val="none"/>
              </w:rPr>
            </w:pPr>
            <w:r>
              <w:rPr>
                <w:rFonts w:hint="eastAsia"/>
                <w:color w:val="auto"/>
                <w:szCs w:val="21"/>
                <w:highlight w:val="none"/>
              </w:rPr>
              <w:t>分部分项工程</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4C3AA833">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5480172E">
            <w:pPr>
              <w:jc w:val="center"/>
              <w:rPr>
                <w:color w:val="auto"/>
                <w:szCs w:val="21"/>
                <w:highlight w:val="none"/>
              </w:rPr>
            </w:pPr>
          </w:p>
        </w:tc>
      </w:tr>
      <w:tr w14:paraId="2738C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407CA800">
            <w:pPr>
              <w:rPr>
                <w:rFonts w:ascii="黑体" w:eastAsia="黑体"/>
                <w:color w:val="auto"/>
                <w:szCs w:val="21"/>
                <w:highlight w:val="none"/>
              </w:rPr>
            </w:pPr>
            <w:r>
              <w:rPr>
                <w:rFonts w:hint="eastAsia" w:ascii="黑体" w:eastAsia="黑体"/>
                <w:color w:val="auto"/>
                <w:szCs w:val="21"/>
                <w:highlight w:val="none"/>
              </w:rPr>
              <w:t>1.1</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0092D167">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78CCC1E">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6D04DB24">
            <w:pPr>
              <w:jc w:val="center"/>
              <w:rPr>
                <w:color w:val="auto"/>
                <w:szCs w:val="21"/>
                <w:highlight w:val="none"/>
              </w:rPr>
            </w:pPr>
          </w:p>
        </w:tc>
      </w:tr>
      <w:tr w14:paraId="42ABC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323A5EF6">
            <w:pPr>
              <w:rPr>
                <w:rFonts w:ascii="黑体" w:eastAsia="黑体"/>
                <w:color w:val="auto"/>
                <w:szCs w:val="21"/>
                <w:highlight w:val="none"/>
              </w:rPr>
            </w:pPr>
            <w:r>
              <w:rPr>
                <w:rFonts w:hint="eastAsia" w:ascii="黑体" w:eastAsia="黑体"/>
                <w:color w:val="auto"/>
                <w:szCs w:val="21"/>
                <w:highlight w:val="none"/>
              </w:rPr>
              <w:t>1.2</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6A3087E2">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6787B53">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4B1A711">
            <w:pPr>
              <w:jc w:val="center"/>
              <w:rPr>
                <w:color w:val="auto"/>
                <w:szCs w:val="21"/>
                <w:highlight w:val="none"/>
              </w:rPr>
            </w:pPr>
          </w:p>
        </w:tc>
      </w:tr>
      <w:tr w14:paraId="68EA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5D69F0EF">
            <w:pPr>
              <w:rPr>
                <w:rFonts w:ascii="黑体" w:eastAsia="黑体"/>
                <w:color w:val="auto"/>
                <w:szCs w:val="21"/>
                <w:highlight w:val="none"/>
              </w:rPr>
            </w:pPr>
            <w:r>
              <w:rPr>
                <w:rFonts w:hint="eastAsia" w:ascii="黑体" w:eastAsia="黑体"/>
                <w:color w:val="auto"/>
                <w:szCs w:val="21"/>
                <w:highlight w:val="none"/>
              </w:rPr>
              <w:t>1.3</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6D49D0A3">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B40D145">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5EEE2F22">
            <w:pPr>
              <w:jc w:val="center"/>
              <w:rPr>
                <w:color w:val="auto"/>
                <w:szCs w:val="21"/>
                <w:highlight w:val="none"/>
              </w:rPr>
            </w:pPr>
          </w:p>
        </w:tc>
      </w:tr>
      <w:tr w14:paraId="1B238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47F22EBB">
            <w:pPr>
              <w:rPr>
                <w:rFonts w:ascii="黑体" w:eastAsia="黑体"/>
                <w:color w:val="auto"/>
                <w:szCs w:val="21"/>
                <w:highlight w:val="none"/>
              </w:rPr>
            </w:pPr>
            <w:r>
              <w:rPr>
                <w:rFonts w:hint="eastAsia" w:ascii="黑体" w:eastAsia="黑体"/>
                <w:color w:val="auto"/>
                <w:szCs w:val="21"/>
                <w:highlight w:val="none"/>
              </w:rPr>
              <w:t>1.4</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4212CAA3">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225BE581">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79A5E5A">
            <w:pPr>
              <w:jc w:val="center"/>
              <w:rPr>
                <w:color w:val="auto"/>
                <w:szCs w:val="21"/>
                <w:highlight w:val="none"/>
              </w:rPr>
            </w:pPr>
          </w:p>
        </w:tc>
      </w:tr>
      <w:tr w14:paraId="1455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5EB14927">
            <w:pPr>
              <w:rPr>
                <w:rFonts w:ascii="黑体" w:eastAsia="黑体"/>
                <w:color w:val="auto"/>
                <w:szCs w:val="21"/>
                <w:highlight w:val="none"/>
              </w:rPr>
            </w:pPr>
            <w:r>
              <w:rPr>
                <w:rFonts w:hint="eastAsia" w:ascii="黑体" w:eastAsia="黑体"/>
                <w:color w:val="auto"/>
                <w:szCs w:val="21"/>
                <w:highlight w:val="none"/>
              </w:rPr>
              <w:t>1.5</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40FC39BA">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347F529">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705A2A2">
            <w:pPr>
              <w:jc w:val="center"/>
              <w:rPr>
                <w:color w:val="auto"/>
                <w:szCs w:val="21"/>
                <w:highlight w:val="none"/>
              </w:rPr>
            </w:pPr>
          </w:p>
        </w:tc>
      </w:tr>
      <w:tr w14:paraId="7D898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55800642">
            <w:pPr>
              <w:rPr>
                <w:rFonts w:ascii="黑体" w:eastAsia="黑体"/>
                <w:color w:val="auto"/>
                <w:szCs w:val="21"/>
                <w:highlight w:val="none"/>
              </w:rPr>
            </w:pPr>
            <w:r>
              <w:rPr>
                <w:rFonts w:hint="eastAsia" w:ascii="黑体" w:eastAsia="黑体"/>
                <w:color w:val="auto"/>
                <w:szCs w:val="21"/>
                <w:highlight w:val="none"/>
              </w:rPr>
              <w:t>1.6</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676F7B02">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73639843">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DE5C8C8">
            <w:pPr>
              <w:jc w:val="center"/>
              <w:rPr>
                <w:color w:val="auto"/>
                <w:szCs w:val="21"/>
                <w:highlight w:val="none"/>
              </w:rPr>
            </w:pPr>
          </w:p>
        </w:tc>
      </w:tr>
      <w:tr w14:paraId="2C1F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18BE97D2">
            <w:pPr>
              <w:rPr>
                <w:rFonts w:ascii="黑体" w:eastAsia="黑体"/>
                <w:color w:val="auto"/>
                <w:szCs w:val="21"/>
                <w:highlight w:val="none"/>
              </w:rPr>
            </w:pPr>
            <w:r>
              <w:rPr>
                <w:rFonts w:hint="eastAsia" w:ascii="黑体" w:eastAsia="黑体"/>
                <w:color w:val="auto"/>
                <w:szCs w:val="21"/>
                <w:highlight w:val="none"/>
              </w:rPr>
              <w:t>1.7</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1640CAC">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98ED116">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06DB3EF">
            <w:pPr>
              <w:jc w:val="center"/>
              <w:rPr>
                <w:color w:val="auto"/>
                <w:szCs w:val="21"/>
                <w:highlight w:val="none"/>
              </w:rPr>
            </w:pPr>
          </w:p>
        </w:tc>
      </w:tr>
      <w:tr w14:paraId="7DD5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1AA59AF">
            <w:pPr>
              <w:rPr>
                <w:rFonts w:ascii="黑体" w:eastAsia="黑体"/>
                <w:color w:val="auto"/>
                <w:szCs w:val="21"/>
                <w:highlight w:val="none"/>
              </w:rPr>
            </w:pPr>
            <w:r>
              <w:rPr>
                <w:rFonts w:hint="eastAsia" w:ascii="黑体" w:eastAsia="黑体"/>
                <w:color w:val="auto"/>
                <w:szCs w:val="21"/>
                <w:highlight w:val="none"/>
              </w:rPr>
              <w:t>1.8</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4BA33E8">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F2546F6">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60BA9C9C">
            <w:pPr>
              <w:jc w:val="center"/>
              <w:rPr>
                <w:color w:val="auto"/>
                <w:szCs w:val="21"/>
                <w:highlight w:val="none"/>
              </w:rPr>
            </w:pPr>
          </w:p>
        </w:tc>
      </w:tr>
      <w:tr w14:paraId="7215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506B2A5">
            <w:pPr>
              <w:rPr>
                <w:rFonts w:ascii="黑体" w:eastAsia="黑体"/>
                <w:color w:val="auto"/>
                <w:szCs w:val="21"/>
                <w:highlight w:val="none"/>
              </w:rPr>
            </w:pPr>
            <w:r>
              <w:rPr>
                <w:rFonts w:hint="eastAsia" w:ascii="黑体" w:eastAsia="黑体"/>
                <w:color w:val="auto"/>
                <w:szCs w:val="21"/>
                <w:highlight w:val="none"/>
              </w:rPr>
              <w:t>1.9</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D31F8D9">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61907AE4">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6E9BBB8C">
            <w:pPr>
              <w:jc w:val="center"/>
              <w:rPr>
                <w:color w:val="auto"/>
                <w:szCs w:val="21"/>
                <w:highlight w:val="none"/>
              </w:rPr>
            </w:pPr>
          </w:p>
        </w:tc>
      </w:tr>
      <w:tr w14:paraId="6EE4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6E24452">
            <w:pPr>
              <w:rPr>
                <w:rFonts w:ascii="黑体" w:eastAsia="黑体"/>
                <w:color w:val="auto"/>
                <w:szCs w:val="21"/>
                <w:highlight w:val="none"/>
              </w:rPr>
            </w:pPr>
            <w:r>
              <w:rPr>
                <w:rFonts w:hint="eastAsia" w:ascii="黑体" w:eastAsia="黑体"/>
                <w:color w:val="auto"/>
                <w:szCs w:val="21"/>
                <w:highlight w:val="none"/>
              </w:rPr>
              <w:t>1.10</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5C312F79">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4CA80CF">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4FDE8A03">
            <w:pPr>
              <w:jc w:val="center"/>
              <w:rPr>
                <w:color w:val="auto"/>
                <w:szCs w:val="21"/>
                <w:highlight w:val="none"/>
              </w:rPr>
            </w:pPr>
          </w:p>
        </w:tc>
      </w:tr>
      <w:tr w14:paraId="2A42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6B3CDE26">
            <w:pPr>
              <w:rPr>
                <w:rFonts w:ascii="黑体" w:eastAsia="黑体"/>
                <w:color w:val="auto"/>
                <w:szCs w:val="21"/>
                <w:highlight w:val="none"/>
              </w:rPr>
            </w:pPr>
            <w:r>
              <w:rPr>
                <w:rFonts w:hint="eastAsia" w:ascii="黑体" w:eastAsia="黑体"/>
                <w:color w:val="auto"/>
                <w:szCs w:val="21"/>
                <w:highlight w:val="none"/>
              </w:rPr>
              <w:t>1.11</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72AA190B">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6DCC02FF">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6F736424">
            <w:pPr>
              <w:jc w:val="center"/>
              <w:rPr>
                <w:color w:val="auto"/>
                <w:szCs w:val="21"/>
                <w:highlight w:val="none"/>
              </w:rPr>
            </w:pPr>
          </w:p>
        </w:tc>
      </w:tr>
      <w:tr w14:paraId="284C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2727E2E">
            <w:pPr>
              <w:rPr>
                <w:rFonts w:ascii="黑体" w:eastAsia="黑体"/>
                <w:color w:val="auto"/>
                <w:szCs w:val="21"/>
                <w:highlight w:val="none"/>
              </w:rPr>
            </w:pPr>
            <w:r>
              <w:rPr>
                <w:rFonts w:hint="eastAsia" w:ascii="黑体" w:eastAsia="黑体"/>
                <w:color w:val="auto"/>
                <w:szCs w:val="21"/>
                <w:highlight w:val="none"/>
              </w:rPr>
              <w:t>1.12</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6DB3AC2A">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39519B6">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2ADE7D2">
            <w:pPr>
              <w:jc w:val="center"/>
              <w:rPr>
                <w:color w:val="auto"/>
                <w:szCs w:val="21"/>
                <w:highlight w:val="none"/>
              </w:rPr>
            </w:pPr>
          </w:p>
        </w:tc>
      </w:tr>
      <w:tr w14:paraId="2BDD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CFA23A1">
            <w:pPr>
              <w:rPr>
                <w:rFonts w:ascii="黑体" w:eastAsia="黑体"/>
                <w:color w:val="auto"/>
                <w:szCs w:val="21"/>
                <w:highlight w:val="none"/>
              </w:rPr>
            </w:pPr>
            <w:r>
              <w:rPr>
                <w:rFonts w:hint="eastAsia" w:ascii="黑体" w:eastAsia="黑体"/>
                <w:color w:val="auto"/>
                <w:szCs w:val="21"/>
                <w:highlight w:val="none"/>
              </w:rPr>
              <w:t>1.13</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2B10FA4">
            <w:pPr>
              <w:jc w:val="cente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2D1A3EB">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D2D0700">
            <w:pPr>
              <w:jc w:val="center"/>
              <w:rPr>
                <w:color w:val="auto"/>
                <w:szCs w:val="21"/>
                <w:highlight w:val="none"/>
              </w:rPr>
            </w:pPr>
          </w:p>
        </w:tc>
      </w:tr>
      <w:tr w14:paraId="63B88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3A52EEB">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69991BBA">
            <w:pPr>
              <w:rPr>
                <w:color w:val="auto"/>
                <w:szCs w:val="21"/>
                <w:highlight w:val="none"/>
              </w:rPr>
            </w:pPr>
            <w:r>
              <w:rPr>
                <w:rFonts w:hint="eastAsia"/>
                <w:color w:val="auto"/>
                <w:szCs w:val="21"/>
                <w:highlight w:val="none"/>
              </w:rPr>
              <w:t>其中：人工费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ED3EF65">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242F514">
            <w:pPr>
              <w:jc w:val="center"/>
              <w:rPr>
                <w:color w:val="auto"/>
                <w:szCs w:val="21"/>
                <w:highlight w:val="none"/>
              </w:rPr>
            </w:pPr>
          </w:p>
        </w:tc>
      </w:tr>
      <w:tr w14:paraId="5946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6CE93D94">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1C31312F">
            <w:pPr>
              <w:rPr>
                <w:color w:val="auto"/>
                <w:szCs w:val="21"/>
                <w:highlight w:val="none"/>
              </w:rPr>
            </w:pPr>
            <w:r>
              <w:rPr>
                <w:rFonts w:hint="eastAsia"/>
                <w:color w:val="auto"/>
                <w:szCs w:val="21"/>
                <w:highlight w:val="none"/>
              </w:rPr>
              <w:t>其中：施工机具使用费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BC763D0">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7C317E0">
            <w:pPr>
              <w:jc w:val="center"/>
              <w:rPr>
                <w:color w:val="auto"/>
                <w:szCs w:val="21"/>
                <w:highlight w:val="none"/>
              </w:rPr>
            </w:pPr>
          </w:p>
        </w:tc>
      </w:tr>
      <w:tr w14:paraId="79BD7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AF854B8">
            <w:pPr>
              <w:rPr>
                <w:rFonts w:ascii="黑体" w:eastAsia="黑体"/>
                <w:color w:val="auto"/>
                <w:szCs w:val="21"/>
                <w:highlight w:val="none"/>
              </w:rPr>
            </w:pPr>
            <w:r>
              <w:rPr>
                <w:rFonts w:hint="eastAsia" w:ascii="黑体" w:eastAsia="黑体"/>
                <w:color w:val="auto"/>
                <w:szCs w:val="21"/>
                <w:highlight w:val="none"/>
              </w:rPr>
              <w:t>2</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FEA9D4C">
            <w:pPr>
              <w:rPr>
                <w:color w:val="auto"/>
                <w:szCs w:val="21"/>
                <w:highlight w:val="none"/>
              </w:rPr>
            </w:pPr>
            <w:r>
              <w:rPr>
                <w:rFonts w:hint="eastAsia"/>
                <w:color w:val="auto"/>
                <w:szCs w:val="21"/>
                <w:highlight w:val="none"/>
              </w:rPr>
              <w:t>措施项目</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DAE4C93">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4E1A936D">
            <w:pPr>
              <w:jc w:val="center"/>
              <w:rPr>
                <w:color w:val="auto"/>
                <w:szCs w:val="21"/>
                <w:highlight w:val="none"/>
              </w:rPr>
            </w:pPr>
          </w:p>
        </w:tc>
      </w:tr>
      <w:tr w14:paraId="241F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1F7D8CF6">
            <w:pPr>
              <w:rPr>
                <w:rFonts w:ascii="黑体" w:eastAsia="黑体"/>
                <w:color w:val="auto"/>
                <w:szCs w:val="21"/>
                <w:highlight w:val="none"/>
              </w:rPr>
            </w:pPr>
            <w:r>
              <w:rPr>
                <w:rFonts w:hint="eastAsia" w:ascii="黑体" w:eastAsia="黑体"/>
                <w:color w:val="auto"/>
                <w:szCs w:val="21"/>
                <w:highlight w:val="none"/>
              </w:rPr>
              <w:t>2.1</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FF941C1">
            <w:pPr>
              <w:rPr>
                <w:color w:val="auto"/>
                <w:szCs w:val="21"/>
                <w:highlight w:val="none"/>
              </w:rPr>
            </w:pPr>
            <w:r>
              <w:rPr>
                <w:rFonts w:hint="eastAsia"/>
                <w:color w:val="auto"/>
                <w:szCs w:val="21"/>
                <w:highlight w:val="none"/>
              </w:rPr>
              <w:t>单价措施项目</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D741537">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0CD03ED">
            <w:pPr>
              <w:jc w:val="center"/>
              <w:rPr>
                <w:color w:val="auto"/>
                <w:szCs w:val="21"/>
                <w:highlight w:val="none"/>
              </w:rPr>
            </w:pPr>
          </w:p>
        </w:tc>
      </w:tr>
      <w:tr w14:paraId="53ECB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665AD7C9">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C160DC3">
            <w:pPr>
              <w:rPr>
                <w:color w:val="auto"/>
                <w:szCs w:val="21"/>
                <w:highlight w:val="none"/>
              </w:rPr>
            </w:pPr>
            <w:r>
              <w:rPr>
                <w:rFonts w:hint="eastAsia"/>
                <w:color w:val="auto"/>
                <w:szCs w:val="21"/>
                <w:highlight w:val="none"/>
              </w:rPr>
              <w:t>其中：人工费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01CD82C">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EDC7195">
            <w:pPr>
              <w:jc w:val="center"/>
              <w:rPr>
                <w:color w:val="auto"/>
                <w:szCs w:val="21"/>
                <w:highlight w:val="none"/>
              </w:rPr>
            </w:pPr>
          </w:p>
        </w:tc>
      </w:tr>
      <w:tr w14:paraId="5F94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161B5D7D">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397529AD">
            <w:pPr>
              <w:rPr>
                <w:color w:val="auto"/>
                <w:szCs w:val="21"/>
                <w:highlight w:val="none"/>
              </w:rPr>
            </w:pPr>
            <w:r>
              <w:rPr>
                <w:rFonts w:hint="eastAsia"/>
                <w:color w:val="auto"/>
                <w:szCs w:val="21"/>
                <w:highlight w:val="none"/>
              </w:rPr>
              <w:t>其中：施工机具使用费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211F9FF9">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2A5BF31">
            <w:pPr>
              <w:jc w:val="center"/>
              <w:rPr>
                <w:color w:val="auto"/>
                <w:szCs w:val="21"/>
                <w:highlight w:val="none"/>
              </w:rPr>
            </w:pPr>
          </w:p>
        </w:tc>
      </w:tr>
      <w:tr w14:paraId="47E3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72A781FB">
            <w:pPr>
              <w:rPr>
                <w:rFonts w:ascii="黑体" w:eastAsia="黑体"/>
                <w:color w:val="auto"/>
                <w:szCs w:val="21"/>
                <w:highlight w:val="none"/>
              </w:rPr>
            </w:pPr>
            <w:r>
              <w:rPr>
                <w:rFonts w:hint="eastAsia" w:ascii="黑体" w:eastAsia="黑体"/>
                <w:color w:val="auto"/>
                <w:szCs w:val="21"/>
                <w:highlight w:val="none"/>
              </w:rPr>
              <w:t>2.2</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1D8BAD89">
            <w:pPr>
              <w:rPr>
                <w:color w:val="auto"/>
                <w:szCs w:val="21"/>
                <w:highlight w:val="none"/>
              </w:rPr>
            </w:pPr>
            <w:r>
              <w:rPr>
                <w:rFonts w:hint="eastAsia"/>
                <w:color w:val="auto"/>
                <w:szCs w:val="21"/>
                <w:highlight w:val="none"/>
              </w:rPr>
              <w:t>总价措施项目</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1208145">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5B80CD6D">
            <w:pPr>
              <w:jc w:val="center"/>
              <w:rPr>
                <w:color w:val="auto"/>
                <w:szCs w:val="21"/>
                <w:highlight w:val="none"/>
              </w:rPr>
            </w:pPr>
            <w:r>
              <w:rPr>
                <w:rFonts w:hint="eastAsia"/>
                <w:color w:val="auto"/>
                <w:szCs w:val="21"/>
                <w:highlight w:val="none"/>
              </w:rPr>
              <w:t>—</w:t>
            </w:r>
          </w:p>
        </w:tc>
      </w:tr>
      <w:tr w14:paraId="7A8D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164599A">
            <w:pPr>
              <w:rPr>
                <w:rFonts w:ascii="黑体" w:eastAsia="黑体"/>
                <w:color w:val="auto"/>
                <w:szCs w:val="21"/>
                <w:highlight w:val="none"/>
              </w:rPr>
            </w:pPr>
            <w:r>
              <w:rPr>
                <w:rFonts w:hint="eastAsia" w:ascii="黑体" w:eastAsia="黑体"/>
                <w:color w:val="auto"/>
                <w:szCs w:val="21"/>
                <w:highlight w:val="none"/>
              </w:rPr>
              <w:t>3</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0BD06F4A">
            <w:pPr>
              <w:rPr>
                <w:color w:val="auto"/>
                <w:szCs w:val="21"/>
                <w:highlight w:val="none"/>
              </w:rPr>
            </w:pPr>
            <w:r>
              <w:rPr>
                <w:rFonts w:hint="eastAsia"/>
                <w:color w:val="auto"/>
                <w:szCs w:val="21"/>
                <w:highlight w:val="none"/>
              </w:rPr>
              <w:t>其他项目</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4E37E07A">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5BB2BBA">
            <w:pPr>
              <w:jc w:val="center"/>
              <w:rPr>
                <w:color w:val="auto"/>
                <w:szCs w:val="21"/>
                <w:highlight w:val="none"/>
              </w:rPr>
            </w:pPr>
            <w:r>
              <w:rPr>
                <w:rFonts w:hint="eastAsia"/>
                <w:color w:val="auto"/>
                <w:szCs w:val="21"/>
                <w:highlight w:val="none"/>
              </w:rPr>
              <w:t>—</w:t>
            </w:r>
          </w:p>
        </w:tc>
      </w:tr>
      <w:tr w14:paraId="3025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4AF90529">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0B2DAFB3">
            <w:pPr>
              <w:rPr>
                <w:color w:val="auto"/>
                <w:szCs w:val="21"/>
                <w:highlight w:val="none"/>
              </w:rPr>
            </w:pPr>
            <w:r>
              <w:rPr>
                <w:rFonts w:hint="eastAsia"/>
                <w:color w:val="auto"/>
                <w:szCs w:val="21"/>
                <w:highlight w:val="none"/>
              </w:rPr>
              <w:t>其中：人工费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98FDEE0">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C110F77">
            <w:pPr>
              <w:jc w:val="center"/>
              <w:rPr>
                <w:color w:val="auto"/>
                <w:szCs w:val="21"/>
                <w:highlight w:val="none"/>
              </w:rPr>
            </w:pPr>
          </w:p>
        </w:tc>
      </w:tr>
      <w:tr w14:paraId="36D9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561BAB69">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7EC68BFF">
            <w:pPr>
              <w:rPr>
                <w:color w:val="auto"/>
                <w:szCs w:val="21"/>
                <w:highlight w:val="none"/>
              </w:rPr>
            </w:pPr>
            <w:r>
              <w:rPr>
                <w:rFonts w:hint="eastAsia"/>
                <w:color w:val="auto"/>
                <w:szCs w:val="21"/>
                <w:highlight w:val="none"/>
              </w:rPr>
              <w:t>其中：施工机具使用费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2850F20B">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0007F757">
            <w:pPr>
              <w:jc w:val="center"/>
              <w:rPr>
                <w:color w:val="auto"/>
                <w:szCs w:val="21"/>
                <w:highlight w:val="none"/>
              </w:rPr>
            </w:pPr>
          </w:p>
        </w:tc>
      </w:tr>
      <w:tr w14:paraId="4B4E1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7B386DD9">
            <w:pPr>
              <w:rPr>
                <w:rFonts w:ascii="黑体" w:eastAsia="黑体"/>
                <w:color w:val="auto"/>
                <w:szCs w:val="21"/>
                <w:highlight w:val="none"/>
              </w:rPr>
            </w:pPr>
            <w:r>
              <w:rPr>
                <w:rFonts w:hint="eastAsia" w:ascii="黑体" w:eastAsia="黑体"/>
                <w:color w:val="auto"/>
                <w:szCs w:val="21"/>
                <w:highlight w:val="none"/>
              </w:rPr>
              <w:t>4</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1A98F27D">
            <w:pPr>
              <w:rPr>
                <w:color w:val="auto"/>
                <w:szCs w:val="21"/>
                <w:highlight w:val="none"/>
              </w:rPr>
            </w:pPr>
            <w:r>
              <w:rPr>
                <w:rFonts w:hint="eastAsia"/>
                <w:color w:val="auto"/>
                <w:szCs w:val="21"/>
                <w:highlight w:val="none"/>
              </w:rPr>
              <w:t>规费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799D42B1">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00C0E21E">
            <w:pPr>
              <w:jc w:val="center"/>
              <w:rPr>
                <w:color w:val="auto"/>
                <w:szCs w:val="21"/>
                <w:highlight w:val="none"/>
              </w:rPr>
            </w:pPr>
            <w:r>
              <w:rPr>
                <w:rFonts w:hint="eastAsia"/>
                <w:color w:val="auto"/>
                <w:szCs w:val="21"/>
                <w:highlight w:val="none"/>
              </w:rPr>
              <w:t>—</w:t>
            </w:r>
          </w:p>
        </w:tc>
      </w:tr>
      <w:tr w14:paraId="0D81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9A77956">
            <w:pPr>
              <w:rPr>
                <w:rFonts w:ascii="黑体" w:eastAsia="黑体"/>
                <w:color w:val="auto"/>
                <w:szCs w:val="21"/>
                <w:highlight w:val="none"/>
              </w:rPr>
            </w:pPr>
            <w:r>
              <w:rPr>
                <w:rFonts w:hint="eastAsia" w:ascii="黑体" w:eastAsia="黑体"/>
                <w:color w:val="auto"/>
                <w:szCs w:val="21"/>
                <w:highlight w:val="none"/>
              </w:rPr>
              <w:t>5</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173EE789">
            <w:pPr>
              <w:rPr>
                <w:color w:val="auto"/>
                <w:szCs w:val="21"/>
                <w:highlight w:val="none"/>
              </w:rPr>
            </w:pPr>
            <w:r>
              <w:rPr>
                <w:rFonts w:hint="eastAsia"/>
                <w:color w:val="auto"/>
                <w:szCs w:val="21"/>
                <w:highlight w:val="none"/>
              </w:rPr>
              <w:t>除税</w:t>
            </w:r>
            <w:r>
              <w:rPr>
                <w:color w:val="auto"/>
                <w:szCs w:val="21"/>
                <w:highlight w:val="none"/>
              </w:rPr>
              <w:t>/</w:t>
            </w:r>
            <w:r>
              <w:rPr>
                <w:rFonts w:hint="eastAsia"/>
                <w:color w:val="auto"/>
                <w:szCs w:val="21"/>
                <w:highlight w:val="none"/>
              </w:rPr>
              <w:t>不含税工程造价</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54802F9">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098172EB">
            <w:pPr>
              <w:jc w:val="center"/>
              <w:rPr>
                <w:color w:val="auto"/>
                <w:szCs w:val="21"/>
                <w:highlight w:val="none"/>
              </w:rPr>
            </w:pPr>
          </w:p>
        </w:tc>
      </w:tr>
      <w:tr w14:paraId="429F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4DE68AD">
            <w:pPr>
              <w:rPr>
                <w:rFonts w:ascii="黑体" w:eastAsia="黑体"/>
                <w:color w:val="auto"/>
                <w:szCs w:val="21"/>
                <w:highlight w:val="none"/>
              </w:rPr>
            </w:pPr>
            <w:r>
              <w:rPr>
                <w:rFonts w:hint="eastAsia" w:ascii="黑体" w:eastAsia="黑体"/>
                <w:color w:val="auto"/>
                <w:szCs w:val="21"/>
                <w:highlight w:val="none"/>
              </w:rPr>
              <w:t>6</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739BA87A">
            <w:pPr>
              <w:rPr>
                <w:color w:val="auto"/>
                <w:szCs w:val="21"/>
                <w:highlight w:val="none"/>
              </w:rPr>
            </w:pPr>
            <w:r>
              <w:rPr>
                <w:rFonts w:hint="eastAsia"/>
                <w:color w:val="auto"/>
                <w:szCs w:val="21"/>
                <w:highlight w:val="none"/>
              </w:rPr>
              <w:t>税金</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5BEC207C">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1B3F891D">
            <w:pPr>
              <w:jc w:val="center"/>
              <w:rPr>
                <w:color w:val="auto"/>
                <w:szCs w:val="21"/>
                <w:highlight w:val="none"/>
              </w:rPr>
            </w:pPr>
            <w:r>
              <w:rPr>
                <w:rFonts w:hint="eastAsia"/>
                <w:color w:val="auto"/>
                <w:szCs w:val="21"/>
                <w:highlight w:val="none"/>
              </w:rPr>
              <w:t>—</w:t>
            </w:r>
          </w:p>
        </w:tc>
      </w:tr>
      <w:tr w14:paraId="6752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3AA4FD12">
            <w:pPr>
              <w:rPr>
                <w:rFonts w:ascii="黑体" w:eastAsia="黑体"/>
                <w:color w:val="auto"/>
                <w:szCs w:val="21"/>
                <w:highlight w:val="none"/>
              </w:rPr>
            </w:pPr>
            <w:r>
              <w:rPr>
                <w:rFonts w:hint="eastAsia" w:ascii="黑体" w:eastAsia="黑体"/>
                <w:color w:val="auto"/>
                <w:szCs w:val="21"/>
                <w:highlight w:val="none"/>
              </w:rPr>
              <w:t>7</w:t>
            </w:r>
          </w:p>
        </w:tc>
        <w:tc>
          <w:tcPr>
            <w:tcW w:w="2910" w:type="dxa"/>
            <w:tcBorders>
              <w:top w:val="single" w:color="auto" w:sz="4" w:space="0"/>
              <w:left w:val="single" w:color="auto" w:sz="4" w:space="0"/>
              <w:bottom w:val="single" w:color="auto" w:sz="4" w:space="0"/>
              <w:right w:val="single" w:color="auto" w:sz="4" w:space="0"/>
            </w:tcBorders>
            <w:noWrap w:val="0"/>
            <w:vAlign w:val="center"/>
          </w:tcPr>
          <w:p w14:paraId="163964A6">
            <w:pPr>
              <w:rPr>
                <w:color w:val="auto"/>
                <w:szCs w:val="21"/>
                <w:highlight w:val="none"/>
              </w:rPr>
            </w:pPr>
            <w:r>
              <w:rPr>
                <w:rFonts w:hint="eastAsia"/>
                <w:color w:val="auto"/>
                <w:szCs w:val="21"/>
                <w:highlight w:val="none"/>
              </w:rPr>
              <w:t>含税工程造价</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2069E13D">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B3E32D6">
            <w:pPr>
              <w:jc w:val="center"/>
              <w:rPr>
                <w:color w:val="auto"/>
                <w:szCs w:val="21"/>
                <w:highlight w:val="none"/>
              </w:rPr>
            </w:pPr>
          </w:p>
        </w:tc>
      </w:tr>
      <w:tr w14:paraId="17FD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1BD0BBBD">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1B87BA37">
            <w:pPr>
              <w:spacing w:after="120" w:afterLines="50" w:line="380" w:lineRule="exact"/>
              <w:rPr>
                <w:rFonts w:ascii="宋体" w:hAnsi="宋体"/>
                <w:color w:val="auto"/>
                <w:szCs w:val="21"/>
                <w:highlight w:val="none"/>
              </w:rPr>
            </w:pPr>
            <w:r>
              <w:rPr>
                <w:rFonts w:hint="eastAsia" w:ascii="宋体" w:hAnsi="宋体"/>
                <w:color w:val="auto"/>
                <w:szCs w:val="21"/>
                <w:highlight w:val="none"/>
              </w:rPr>
              <w:t>单位工程数据：</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602539FE">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F7D3C66">
            <w:pPr>
              <w:jc w:val="center"/>
              <w:rPr>
                <w:color w:val="auto"/>
                <w:szCs w:val="21"/>
                <w:highlight w:val="none"/>
              </w:rPr>
            </w:pPr>
          </w:p>
        </w:tc>
      </w:tr>
      <w:tr w14:paraId="1742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71CA087C">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4E13D932">
            <w:pPr>
              <w:spacing w:after="120" w:afterLines="50" w:line="380" w:lineRule="exact"/>
              <w:rPr>
                <w:rFonts w:ascii="宋体" w:hAnsi="宋体"/>
                <w:color w:val="auto"/>
                <w:szCs w:val="21"/>
                <w:highlight w:val="none"/>
              </w:rPr>
            </w:pPr>
            <w:r>
              <w:rPr>
                <w:rFonts w:hint="eastAsia" w:ascii="宋体" w:hAnsi="宋体"/>
                <w:color w:val="auto"/>
                <w:szCs w:val="21"/>
                <w:highlight w:val="none"/>
              </w:rPr>
              <w:t>人工费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4F3FCEAF">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2D1B9FF">
            <w:pPr>
              <w:jc w:val="center"/>
              <w:rPr>
                <w:color w:val="auto"/>
                <w:szCs w:val="21"/>
                <w:highlight w:val="none"/>
              </w:rPr>
            </w:pPr>
          </w:p>
        </w:tc>
      </w:tr>
      <w:tr w14:paraId="4222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1D4355C">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02C15ECC">
            <w:pPr>
              <w:spacing w:after="120" w:afterLines="50" w:line="380" w:lineRule="exact"/>
              <w:rPr>
                <w:rFonts w:ascii="宋体" w:hAnsi="宋体"/>
                <w:color w:val="auto"/>
                <w:szCs w:val="21"/>
                <w:highlight w:val="none"/>
              </w:rPr>
            </w:pPr>
            <w:r>
              <w:rPr>
                <w:rFonts w:hint="eastAsia" w:ascii="宋体" w:hAnsi="宋体"/>
                <w:color w:val="auto"/>
                <w:szCs w:val="21"/>
                <w:highlight w:val="none"/>
              </w:rPr>
              <w:t>材料费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624C02DB">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1E2857F6">
            <w:pPr>
              <w:jc w:val="center"/>
              <w:rPr>
                <w:color w:val="auto"/>
                <w:szCs w:val="21"/>
                <w:highlight w:val="none"/>
              </w:rPr>
            </w:pPr>
          </w:p>
        </w:tc>
      </w:tr>
      <w:tr w14:paraId="6D80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14091275">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4C8B3225">
            <w:pPr>
              <w:spacing w:after="120" w:afterLines="50" w:line="380" w:lineRule="exact"/>
              <w:rPr>
                <w:rFonts w:ascii="宋体" w:hAnsi="宋体"/>
                <w:color w:val="auto"/>
                <w:szCs w:val="21"/>
                <w:highlight w:val="none"/>
              </w:rPr>
            </w:pPr>
            <w:r>
              <w:rPr>
                <w:rFonts w:hint="eastAsia" w:ascii="宋体" w:hAnsi="宋体"/>
                <w:color w:val="auto"/>
                <w:szCs w:val="21"/>
                <w:highlight w:val="none"/>
              </w:rPr>
              <w:t>机械费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9D6B594">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6832255E">
            <w:pPr>
              <w:jc w:val="center"/>
              <w:rPr>
                <w:color w:val="auto"/>
                <w:szCs w:val="21"/>
                <w:highlight w:val="none"/>
              </w:rPr>
            </w:pPr>
          </w:p>
        </w:tc>
      </w:tr>
      <w:tr w14:paraId="618B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47A9CEBD">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0A33C9C5">
            <w:pPr>
              <w:spacing w:after="120" w:afterLines="50" w:line="380" w:lineRule="exact"/>
              <w:rPr>
                <w:rFonts w:ascii="宋体" w:hAnsi="宋体"/>
                <w:color w:val="auto"/>
                <w:szCs w:val="21"/>
                <w:highlight w:val="none"/>
              </w:rPr>
            </w:pPr>
            <w:r>
              <w:rPr>
                <w:rFonts w:hint="eastAsia" w:ascii="宋体" w:hAnsi="宋体"/>
                <w:color w:val="auto"/>
                <w:szCs w:val="21"/>
                <w:highlight w:val="none"/>
              </w:rPr>
              <w:t>设备费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68BE25DF">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51D22E8E">
            <w:pPr>
              <w:jc w:val="center"/>
              <w:rPr>
                <w:color w:val="auto"/>
                <w:szCs w:val="21"/>
                <w:highlight w:val="none"/>
              </w:rPr>
            </w:pPr>
          </w:p>
        </w:tc>
      </w:tr>
      <w:tr w14:paraId="65E7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1CE41204">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21DEAD18">
            <w:pPr>
              <w:spacing w:after="120" w:afterLines="50" w:line="380" w:lineRule="exact"/>
              <w:rPr>
                <w:rFonts w:ascii="宋体" w:hAnsi="宋体"/>
                <w:color w:val="auto"/>
                <w:szCs w:val="21"/>
                <w:highlight w:val="none"/>
              </w:rPr>
            </w:pPr>
            <w:r>
              <w:rPr>
                <w:rFonts w:hint="eastAsia" w:ascii="宋体" w:hAnsi="宋体"/>
                <w:color w:val="auto"/>
                <w:szCs w:val="21"/>
                <w:highlight w:val="none"/>
              </w:rPr>
              <w:t>主材费</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46D1BD77">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0F4E3F29">
            <w:pPr>
              <w:jc w:val="center"/>
              <w:rPr>
                <w:color w:val="auto"/>
                <w:szCs w:val="21"/>
                <w:highlight w:val="none"/>
              </w:rPr>
            </w:pPr>
          </w:p>
        </w:tc>
      </w:tr>
      <w:tr w14:paraId="2F1FC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5304A55">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5CDEABE1">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29F4EED">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5A3E643F">
            <w:pPr>
              <w:jc w:val="center"/>
              <w:rPr>
                <w:color w:val="auto"/>
                <w:szCs w:val="21"/>
                <w:highlight w:val="none"/>
              </w:rPr>
            </w:pPr>
          </w:p>
        </w:tc>
      </w:tr>
      <w:tr w14:paraId="391B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3E1495F8">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254630CE">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61AD065">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9AA54D5">
            <w:pPr>
              <w:jc w:val="center"/>
              <w:rPr>
                <w:color w:val="auto"/>
                <w:szCs w:val="21"/>
                <w:highlight w:val="none"/>
              </w:rPr>
            </w:pPr>
          </w:p>
        </w:tc>
      </w:tr>
      <w:tr w14:paraId="6FE0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7ED4CA75">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5ECF9DFB">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2AA4674">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6712818B">
            <w:pPr>
              <w:jc w:val="center"/>
              <w:rPr>
                <w:color w:val="auto"/>
                <w:szCs w:val="21"/>
                <w:highlight w:val="none"/>
              </w:rPr>
            </w:pPr>
          </w:p>
        </w:tc>
      </w:tr>
      <w:tr w14:paraId="2C4F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5EC2F283">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655EF5CC">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4BD54190">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1C8A681B">
            <w:pPr>
              <w:jc w:val="center"/>
              <w:rPr>
                <w:color w:val="auto"/>
                <w:szCs w:val="21"/>
                <w:highlight w:val="none"/>
              </w:rPr>
            </w:pPr>
          </w:p>
        </w:tc>
      </w:tr>
      <w:tr w14:paraId="7FCD4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E863AE7">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24E54589">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1294C327">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45B37E62">
            <w:pPr>
              <w:jc w:val="center"/>
              <w:rPr>
                <w:color w:val="auto"/>
                <w:szCs w:val="21"/>
                <w:highlight w:val="none"/>
              </w:rPr>
            </w:pPr>
          </w:p>
        </w:tc>
      </w:tr>
      <w:tr w14:paraId="71CC3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D2592E1">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760E57BC">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B0AEEAD">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0CB10400">
            <w:pPr>
              <w:jc w:val="center"/>
              <w:rPr>
                <w:color w:val="auto"/>
                <w:szCs w:val="21"/>
                <w:highlight w:val="none"/>
              </w:rPr>
            </w:pPr>
          </w:p>
        </w:tc>
      </w:tr>
      <w:tr w14:paraId="572E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50EBD396">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47720FA8">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31F9A45">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425AC99B">
            <w:pPr>
              <w:jc w:val="center"/>
              <w:rPr>
                <w:color w:val="auto"/>
                <w:szCs w:val="21"/>
                <w:highlight w:val="none"/>
              </w:rPr>
            </w:pPr>
          </w:p>
        </w:tc>
      </w:tr>
      <w:tr w14:paraId="51C1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6F0CFC78">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4C6F282B">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2EC3B8D4">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8595A01">
            <w:pPr>
              <w:jc w:val="center"/>
              <w:rPr>
                <w:color w:val="auto"/>
                <w:szCs w:val="21"/>
                <w:highlight w:val="none"/>
              </w:rPr>
            </w:pPr>
          </w:p>
        </w:tc>
      </w:tr>
      <w:tr w14:paraId="4C8D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55551010">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1F99B02C">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2C33FA07">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AA63B3A">
            <w:pPr>
              <w:jc w:val="center"/>
              <w:rPr>
                <w:color w:val="auto"/>
                <w:szCs w:val="21"/>
                <w:highlight w:val="none"/>
              </w:rPr>
            </w:pPr>
          </w:p>
        </w:tc>
      </w:tr>
      <w:tr w14:paraId="2263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23183EF8">
            <w:pPr>
              <w:rPr>
                <w:rFonts w:ascii="黑体" w:eastAsia="黑体"/>
                <w:color w:val="auto"/>
                <w:szCs w:val="21"/>
                <w:highlight w:val="none"/>
              </w:rPr>
            </w:pPr>
          </w:p>
        </w:tc>
        <w:tc>
          <w:tcPr>
            <w:tcW w:w="2910" w:type="dxa"/>
            <w:tcBorders>
              <w:top w:val="single" w:color="auto" w:sz="4" w:space="0"/>
              <w:left w:val="single" w:color="auto" w:sz="4" w:space="0"/>
              <w:bottom w:val="single" w:color="auto" w:sz="4" w:space="0"/>
              <w:right w:val="single" w:color="auto" w:sz="4" w:space="0"/>
            </w:tcBorders>
            <w:noWrap w:val="0"/>
            <w:vAlign w:val="center"/>
          </w:tcPr>
          <w:p w14:paraId="4F440D89">
            <w:pPr>
              <w:rPr>
                <w:color w:val="auto"/>
                <w:szCs w:val="21"/>
                <w:highlight w:val="none"/>
              </w:rPr>
            </w:pPr>
          </w:p>
        </w:tc>
        <w:tc>
          <w:tcPr>
            <w:tcW w:w="3330" w:type="dxa"/>
            <w:tcBorders>
              <w:top w:val="single" w:color="auto" w:sz="4" w:space="0"/>
              <w:left w:val="single" w:color="auto" w:sz="4" w:space="0"/>
              <w:bottom w:val="single" w:color="auto" w:sz="4" w:space="0"/>
              <w:right w:val="single" w:color="auto" w:sz="4" w:space="0"/>
            </w:tcBorders>
            <w:noWrap w:val="0"/>
            <w:vAlign w:val="center"/>
          </w:tcPr>
          <w:p w14:paraId="216594B6">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3E5EDA93">
            <w:pPr>
              <w:jc w:val="center"/>
              <w:rPr>
                <w:color w:val="auto"/>
                <w:szCs w:val="21"/>
                <w:highlight w:val="none"/>
              </w:rPr>
            </w:pPr>
          </w:p>
        </w:tc>
      </w:tr>
      <w:tr w14:paraId="3039B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3637" w:type="dxa"/>
            <w:gridSpan w:val="2"/>
            <w:tcBorders>
              <w:top w:val="single" w:color="auto" w:sz="4" w:space="0"/>
              <w:left w:val="single" w:color="auto" w:sz="4" w:space="0"/>
              <w:bottom w:val="single" w:color="auto" w:sz="4" w:space="0"/>
              <w:right w:val="single" w:color="auto" w:sz="4" w:space="0"/>
            </w:tcBorders>
            <w:noWrap w:val="0"/>
            <w:vAlign w:val="center"/>
          </w:tcPr>
          <w:p w14:paraId="319C3B0B">
            <w:pPr>
              <w:jc w:val="left"/>
              <w:rPr>
                <w:color w:val="auto"/>
                <w:szCs w:val="21"/>
                <w:highlight w:val="none"/>
              </w:rPr>
            </w:pPr>
            <w:r>
              <w:rPr>
                <w:rFonts w:hint="eastAsia"/>
                <w:color w:val="auto"/>
                <w:szCs w:val="21"/>
                <w:highlight w:val="none"/>
              </w:rPr>
              <w:t>投标报价合计</w:t>
            </w:r>
            <w:r>
              <w:rPr>
                <w:color w:val="auto"/>
                <w:szCs w:val="21"/>
                <w:highlight w:val="none"/>
              </w:rPr>
              <w:t>=1+2+3+4+5+6</w:t>
            </w:r>
          </w:p>
        </w:tc>
        <w:tc>
          <w:tcPr>
            <w:tcW w:w="3330" w:type="dxa"/>
            <w:tcBorders>
              <w:top w:val="single" w:color="auto" w:sz="4" w:space="0"/>
              <w:left w:val="single" w:color="auto" w:sz="4" w:space="0"/>
              <w:bottom w:val="single" w:color="auto" w:sz="4" w:space="0"/>
              <w:right w:val="single" w:color="auto" w:sz="4" w:space="0"/>
            </w:tcBorders>
            <w:noWrap w:val="0"/>
            <w:vAlign w:val="center"/>
          </w:tcPr>
          <w:p w14:paraId="05C4A332">
            <w:pPr>
              <w:jc w:val="center"/>
              <w:rPr>
                <w:color w:val="auto"/>
                <w:szCs w:val="21"/>
                <w:highlight w:val="none"/>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B6E06D4">
            <w:pPr>
              <w:jc w:val="center"/>
              <w:rPr>
                <w:color w:val="auto"/>
                <w:szCs w:val="21"/>
                <w:highlight w:val="none"/>
              </w:rPr>
            </w:pPr>
          </w:p>
        </w:tc>
      </w:tr>
    </w:tbl>
    <w:p w14:paraId="7F99D1FA">
      <w:pPr>
        <w:rPr>
          <w:rFonts w:ascii="Times New Roman" w:hAnsi="Times New Roman"/>
          <w:color w:val="auto"/>
          <w:highlight w:val="none"/>
        </w:rPr>
      </w:pPr>
    </w:p>
    <w:p w14:paraId="136AF105">
      <w:pPr>
        <w:rPr>
          <w:color w:val="auto"/>
          <w:highlight w:val="none"/>
        </w:rPr>
      </w:pPr>
      <w:r>
        <w:rPr>
          <w:rFonts w:hint="eastAsia"/>
          <w:color w:val="auto"/>
          <w:highlight w:val="none"/>
        </w:rPr>
        <w:t>注：本表适用于单位工程投标报价的汇总，如无单位工程的划分，单项工程也使用本汇总表。</w:t>
      </w:r>
    </w:p>
    <w:p w14:paraId="06941A2F">
      <w:pPr>
        <w:rPr>
          <w:color w:val="auto"/>
          <w:highlight w:val="none"/>
        </w:rPr>
      </w:pPr>
    </w:p>
    <w:p w14:paraId="7A457869">
      <w:pPr>
        <w:rPr>
          <w:color w:val="auto"/>
          <w:highlight w:val="none"/>
        </w:rPr>
      </w:pPr>
    </w:p>
    <w:p w14:paraId="4471C516">
      <w:pPr>
        <w:rPr>
          <w:color w:val="auto"/>
          <w:highlight w:val="none"/>
        </w:rPr>
      </w:pPr>
    </w:p>
    <w:p w14:paraId="0DAC8A2F">
      <w:pPr>
        <w:rPr>
          <w:color w:val="auto"/>
          <w:highlight w:val="none"/>
        </w:rPr>
      </w:pPr>
    </w:p>
    <w:p w14:paraId="3313D60D">
      <w:pPr>
        <w:rPr>
          <w:color w:val="auto"/>
          <w:highlight w:val="none"/>
        </w:rPr>
      </w:pPr>
    </w:p>
    <w:p w14:paraId="0F616AFC">
      <w:pPr>
        <w:rPr>
          <w:color w:val="auto"/>
          <w:highlight w:val="none"/>
        </w:rPr>
      </w:pPr>
    </w:p>
    <w:p w14:paraId="0D0802BA">
      <w:pPr>
        <w:rPr>
          <w:color w:val="auto"/>
          <w:highlight w:val="none"/>
        </w:rPr>
      </w:pPr>
    </w:p>
    <w:p w14:paraId="6422A4A2">
      <w:pPr>
        <w:pStyle w:val="33"/>
        <w:rPr>
          <w:color w:val="auto"/>
          <w:highlight w:val="none"/>
        </w:rPr>
      </w:pPr>
      <w:bookmarkStart w:id="2325" w:name="_Toc521075671"/>
      <w:bookmarkStart w:id="2326" w:name="_Toc6607"/>
      <w:bookmarkStart w:id="2327" w:name="_Toc521075246"/>
      <w:r>
        <w:rPr>
          <w:color w:val="auto"/>
          <w:highlight w:val="none"/>
        </w:rPr>
        <w:t>4.9</w:t>
      </w:r>
      <w:r>
        <w:rPr>
          <w:rFonts w:hint="eastAsia"/>
          <w:color w:val="auto"/>
          <w:highlight w:val="none"/>
        </w:rPr>
        <w:t>分部分项工程和单价措施项目清单与计价表</w:t>
      </w:r>
      <w:bookmarkEnd w:id="2325"/>
      <w:bookmarkEnd w:id="2326"/>
      <w:bookmarkEnd w:id="2327"/>
    </w:p>
    <w:p w14:paraId="256EB843">
      <w:pPr>
        <w:spacing w:before="240" w:beforeLines="100" w:after="240" w:afterLines="100"/>
        <w:jc w:val="center"/>
        <w:rPr>
          <w:rFonts w:ascii="黑体" w:eastAsia="黑体"/>
          <w:color w:val="auto"/>
          <w:sz w:val="28"/>
          <w:szCs w:val="28"/>
          <w:highlight w:val="none"/>
        </w:rPr>
      </w:pPr>
      <w:r>
        <w:rPr>
          <w:rFonts w:hint="eastAsia" w:ascii="黑体" w:eastAsia="黑体"/>
          <w:color w:val="auto"/>
          <w:sz w:val="28"/>
          <w:szCs w:val="28"/>
          <w:highlight w:val="none"/>
        </w:rPr>
        <w:t>分部分项工程和单价措施项目清单与计价表</w:t>
      </w:r>
    </w:p>
    <w:p w14:paraId="4B831F5A">
      <w:pPr>
        <w:spacing w:before="240" w:beforeLines="100" w:after="240" w:afterLines="100"/>
        <w:rPr>
          <w:rFonts w:hint="eastAsia" w:ascii="黑体" w:eastAsia="黑体"/>
          <w:color w:val="auto"/>
          <w:sz w:val="28"/>
          <w:szCs w:val="28"/>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47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047"/>
        <w:gridCol w:w="1026"/>
        <w:gridCol w:w="1458"/>
        <w:gridCol w:w="1019"/>
        <w:gridCol w:w="838"/>
        <w:gridCol w:w="765"/>
        <w:gridCol w:w="741"/>
        <w:gridCol w:w="941"/>
      </w:tblGrid>
      <w:tr w14:paraId="47FABF6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43" w:type="dxa"/>
            <w:vMerge w:val="restart"/>
            <w:tcBorders>
              <w:top w:val="single" w:color="auto" w:sz="6" w:space="0"/>
              <w:left w:val="single" w:color="auto" w:sz="6" w:space="0"/>
              <w:bottom w:val="single" w:color="auto" w:sz="4" w:space="0"/>
              <w:right w:val="single" w:color="auto" w:sz="4" w:space="0"/>
            </w:tcBorders>
            <w:noWrap w:val="0"/>
            <w:vAlign w:val="center"/>
          </w:tcPr>
          <w:p w14:paraId="6F8B478B">
            <w:pPr>
              <w:jc w:val="center"/>
              <w:rPr>
                <w:color w:val="auto"/>
                <w:sz w:val="20"/>
                <w:szCs w:val="20"/>
                <w:highlight w:val="none"/>
              </w:rPr>
            </w:pPr>
            <w:r>
              <w:rPr>
                <w:rFonts w:hint="eastAsia"/>
                <w:color w:val="auto"/>
                <w:sz w:val="20"/>
                <w:szCs w:val="20"/>
                <w:highlight w:val="none"/>
              </w:rPr>
              <w:t>序号</w:t>
            </w:r>
          </w:p>
        </w:tc>
        <w:tc>
          <w:tcPr>
            <w:tcW w:w="1047" w:type="dxa"/>
            <w:vMerge w:val="restart"/>
            <w:tcBorders>
              <w:top w:val="single" w:color="auto" w:sz="6" w:space="0"/>
              <w:left w:val="single" w:color="auto" w:sz="4" w:space="0"/>
              <w:bottom w:val="single" w:color="auto" w:sz="4" w:space="0"/>
              <w:right w:val="single" w:color="auto" w:sz="6" w:space="0"/>
            </w:tcBorders>
            <w:noWrap w:val="0"/>
            <w:vAlign w:val="center"/>
          </w:tcPr>
          <w:p w14:paraId="623EC4D0">
            <w:pPr>
              <w:jc w:val="center"/>
              <w:rPr>
                <w:color w:val="auto"/>
                <w:sz w:val="20"/>
                <w:szCs w:val="20"/>
                <w:highlight w:val="none"/>
              </w:rPr>
            </w:pPr>
            <w:r>
              <w:rPr>
                <w:rFonts w:hint="eastAsia"/>
                <w:color w:val="auto"/>
                <w:sz w:val="20"/>
                <w:szCs w:val="20"/>
                <w:highlight w:val="none"/>
              </w:rPr>
              <w:t>项目编码</w:t>
            </w:r>
          </w:p>
        </w:tc>
        <w:tc>
          <w:tcPr>
            <w:tcW w:w="1026" w:type="dxa"/>
            <w:vMerge w:val="restart"/>
            <w:tcBorders>
              <w:top w:val="single" w:color="auto" w:sz="6" w:space="0"/>
              <w:left w:val="single" w:color="auto" w:sz="6" w:space="0"/>
              <w:bottom w:val="single" w:color="auto" w:sz="4" w:space="0"/>
              <w:right w:val="single" w:color="auto" w:sz="4" w:space="0"/>
            </w:tcBorders>
            <w:noWrap w:val="0"/>
            <w:vAlign w:val="center"/>
          </w:tcPr>
          <w:p w14:paraId="02D4BB54">
            <w:pPr>
              <w:jc w:val="center"/>
              <w:rPr>
                <w:color w:val="auto"/>
                <w:sz w:val="20"/>
                <w:szCs w:val="20"/>
                <w:highlight w:val="none"/>
              </w:rPr>
            </w:pPr>
            <w:r>
              <w:rPr>
                <w:rFonts w:hint="eastAsia"/>
                <w:color w:val="auto"/>
                <w:sz w:val="20"/>
                <w:szCs w:val="20"/>
                <w:highlight w:val="none"/>
              </w:rPr>
              <w:t>项目名称</w:t>
            </w:r>
          </w:p>
        </w:tc>
        <w:tc>
          <w:tcPr>
            <w:tcW w:w="1458" w:type="dxa"/>
            <w:vMerge w:val="restart"/>
            <w:tcBorders>
              <w:top w:val="single" w:color="auto" w:sz="6" w:space="0"/>
              <w:left w:val="single" w:color="auto" w:sz="6" w:space="0"/>
              <w:bottom w:val="single" w:color="auto" w:sz="4" w:space="0"/>
              <w:right w:val="single" w:color="auto" w:sz="4" w:space="0"/>
            </w:tcBorders>
            <w:noWrap w:val="0"/>
            <w:vAlign w:val="center"/>
          </w:tcPr>
          <w:p w14:paraId="192569E2">
            <w:pPr>
              <w:jc w:val="center"/>
              <w:rPr>
                <w:color w:val="auto"/>
                <w:sz w:val="20"/>
                <w:szCs w:val="20"/>
                <w:highlight w:val="none"/>
              </w:rPr>
            </w:pPr>
            <w:r>
              <w:rPr>
                <w:rFonts w:hint="eastAsia"/>
                <w:color w:val="auto"/>
                <w:sz w:val="20"/>
                <w:szCs w:val="20"/>
                <w:highlight w:val="none"/>
              </w:rPr>
              <w:t>项目特征描述</w:t>
            </w:r>
          </w:p>
        </w:tc>
        <w:tc>
          <w:tcPr>
            <w:tcW w:w="1019" w:type="dxa"/>
            <w:vMerge w:val="restart"/>
            <w:tcBorders>
              <w:top w:val="single" w:color="auto" w:sz="6" w:space="0"/>
              <w:left w:val="single" w:color="auto" w:sz="4" w:space="0"/>
              <w:bottom w:val="single" w:color="auto" w:sz="4" w:space="0"/>
              <w:right w:val="single" w:color="auto" w:sz="6" w:space="0"/>
            </w:tcBorders>
            <w:noWrap w:val="0"/>
            <w:vAlign w:val="center"/>
          </w:tcPr>
          <w:p w14:paraId="62508F87">
            <w:pPr>
              <w:jc w:val="center"/>
              <w:rPr>
                <w:color w:val="auto"/>
                <w:sz w:val="20"/>
                <w:szCs w:val="20"/>
                <w:highlight w:val="none"/>
              </w:rPr>
            </w:pPr>
            <w:r>
              <w:rPr>
                <w:rFonts w:hint="eastAsia"/>
                <w:color w:val="auto"/>
                <w:sz w:val="20"/>
                <w:szCs w:val="20"/>
                <w:highlight w:val="none"/>
              </w:rPr>
              <w:t>计量单位</w:t>
            </w:r>
          </w:p>
        </w:tc>
        <w:tc>
          <w:tcPr>
            <w:tcW w:w="838" w:type="dxa"/>
            <w:vMerge w:val="restart"/>
            <w:tcBorders>
              <w:top w:val="single" w:color="auto" w:sz="6" w:space="0"/>
              <w:left w:val="single" w:color="auto" w:sz="6" w:space="0"/>
              <w:bottom w:val="single" w:color="auto" w:sz="4" w:space="0"/>
              <w:right w:val="single" w:color="auto" w:sz="4" w:space="0"/>
            </w:tcBorders>
            <w:noWrap w:val="0"/>
            <w:vAlign w:val="center"/>
          </w:tcPr>
          <w:p w14:paraId="6BEC9B81">
            <w:pPr>
              <w:jc w:val="center"/>
              <w:rPr>
                <w:color w:val="auto"/>
                <w:sz w:val="20"/>
                <w:szCs w:val="20"/>
                <w:highlight w:val="none"/>
              </w:rPr>
            </w:pPr>
            <w:r>
              <w:rPr>
                <w:rFonts w:hint="eastAsia"/>
                <w:color w:val="auto"/>
                <w:sz w:val="20"/>
                <w:szCs w:val="20"/>
                <w:highlight w:val="none"/>
              </w:rPr>
              <w:t>工程量</w:t>
            </w:r>
          </w:p>
        </w:tc>
        <w:tc>
          <w:tcPr>
            <w:tcW w:w="2447" w:type="dxa"/>
            <w:gridSpan w:val="3"/>
            <w:tcBorders>
              <w:top w:val="single" w:color="auto" w:sz="6" w:space="0"/>
              <w:left w:val="single" w:color="auto" w:sz="6" w:space="0"/>
              <w:bottom w:val="single" w:color="auto" w:sz="4" w:space="0"/>
              <w:right w:val="single" w:color="auto" w:sz="6" w:space="0"/>
            </w:tcBorders>
            <w:noWrap w:val="0"/>
            <w:vAlign w:val="center"/>
          </w:tcPr>
          <w:p w14:paraId="59BF8B1F">
            <w:pPr>
              <w:jc w:val="center"/>
              <w:rPr>
                <w:color w:val="auto"/>
                <w:sz w:val="20"/>
                <w:szCs w:val="20"/>
                <w:highlight w:val="none"/>
              </w:rPr>
            </w:pPr>
            <w:r>
              <w:rPr>
                <w:rFonts w:hint="eastAsia"/>
                <w:color w:val="auto"/>
                <w:sz w:val="20"/>
                <w:szCs w:val="20"/>
                <w:highlight w:val="none"/>
              </w:rPr>
              <w:t>金额（元）</w:t>
            </w:r>
          </w:p>
        </w:tc>
      </w:tr>
      <w:tr w14:paraId="5123BA3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0" w:type="auto"/>
            <w:vMerge w:val="continue"/>
            <w:tcBorders>
              <w:top w:val="single" w:color="auto" w:sz="6" w:space="0"/>
              <w:left w:val="single" w:color="auto" w:sz="6" w:space="0"/>
              <w:bottom w:val="single" w:color="auto" w:sz="4" w:space="0"/>
              <w:right w:val="single" w:color="auto" w:sz="4" w:space="0"/>
            </w:tcBorders>
            <w:noWrap w:val="0"/>
            <w:vAlign w:val="center"/>
          </w:tcPr>
          <w:p w14:paraId="2AC122AC">
            <w:pPr>
              <w:widowControl/>
              <w:jc w:val="left"/>
              <w:rPr>
                <w:color w:val="auto"/>
                <w:sz w:val="20"/>
                <w:szCs w:val="20"/>
                <w:highlight w:val="none"/>
              </w:rPr>
            </w:pPr>
          </w:p>
        </w:tc>
        <w:tc>
          <w:tcPr>
            <w:tcW w:w="0" w:type="auto"/>
            <w:vMerge w:val="continue"/>
            <w:tcBorders>
              <w:top w:val="single" w:color="auto" w:sz="6" w:space="0"/>
              <w:left w:val="single" w:color="auto" w:sz="4" w:space="0"/>
              <w:bottom w:val="single" w:color="auto" w:sz="4" w:space="0"/>
              <w:right w:val="single" w:color="auto" w:sz="6" w:space="0"/>
            </w:tcBorders>
            <w:noWrap w:val="0"/>
            <w:vAlign w:val="center"/>
          </w:tcPr>
          <w:p w14:paraId="1DC4D6E1">
            <w:pPr>
              <w:widowControl/>
              <w:jc w:val="left"/>
              <w:rPr>
                <w:color w:val="auto"/>
                <w:sz w:val="20"/>
                <w:szCs w:val="20"/>
                <w:highlight w:val="none"/>
              </w:rPr>
            </w:pPr>
          </w:p>
        </w:tc>
        <w:tc>
          <w:tcPr>
            <w:tcW w:w="0" w:type="auto"/>
            <w:vMerge w:val="continue"/>
            <w:tcBorders>
              <w:top w:val="single" w:color="auto" w:sz="6" w:space="0"/>
              <w:left w:val="single" w:color="auto" w:sz="6" w:space="0"/>
              <w:bottom w:val="single" w:color="auto" w:sz="4" w:space="0"/>
              <w:right w:val="single" w:color="auto" w:sz="4" w:space="0"/>
            </w:tcBorders>
            <w:noWrap w:val="0"/>
            <w:vAlign w:val="center"/>
          </w:tcPr>
          <w:p w14:paraId="07A49EE9">
            <w:pPr>
              <w:widowControl/>
              <w:jc w:val="left"/>
              <w:rPr>
                <w:color w:val="auto"/>
                <w:sz w:val="20"/>
                <w:szCs w:val="20"/>
                <w:highlight w:val="none"/>
              </w:rPr>
            </w:pPr>
          </w:p>
        </w:tc>
        <w:tc>
          <w:tcPr>
            <w:tcW w:w="0" w:type="auto"/>
            <w:vMerge w:val="continue"/>
            <w:tcBorders>
              <w:top w:val="single" w:color="auto" w:sz="6" w:space="0"/>
              <w:left w:val="single" w:color="auto" w:sz="6" w:space="0"/>
              <w:bottom w:val="single" w:color="auto" w:sz="4" w:space="0"/>
              <w:right w:val="single" w:color="auto" w:sz="4" w:space="0"/>
            </w:tcBorders>
            <w:noWrap w:val="0"/>
            <w:vAlign w:val="center"/>
          </w:tcPr>
          <w:p w14:paraId="1B996F62">
            <w:pPr>
              <w:widowControl/>
              <w:jc w:val="left"/>
              <w:rPr>
                <w:color w:val="auto"/>
                <w:sz w:val="20"/>
                <w:szCs w:val="20"/>
                <w:highlight w:val="none"/>
              </w:rPr>
            </w:pPr>
          </w:p>
        </w:tc>
        <w:tc>
          <w:tcPr>
            <w:tcW w:w="0" w:type="auto"/>
            <w:vMerge w:val="continue"/>
            <w:tcBorders>
              <w:top w:val="single" w:color="auto" w:sz="6" w:space="0"/>
              <w:left w:val="single" w:color="auto" w:sz="4" w:space="0"/>
              <w:bottom w:val="single" w:color="auto" w:sz="4" w:space="0"/>
              <w:right w:val="single" w:color="auto" w:sz="6" w:space="0"/>
            </w:tcBorders>
            <w:noWrap w:val="0"/>
            <w:vAlign w:val="center"/>
          </w:tcPr>
          <w:p w14:paraId="34593EEC">
            <w:pPr>
              <w:widowControl/>
              <w:jc w:val="left"/>
              <w:rPr>
                <w:color w:val="auto"/>
                <w:sz w:val="20"/>
                <w:szCs w:val="20"/>
                <w:highlight w:val="none"/>
              </w:rPr>
            </w:pPr>
          </w:p>
        </w:tc>
        <w:tc>
          <w:tcPr>
            <w:tcW w:w="0" w:type="auto"/>
            <w:vMerge w:val="continue"/>
            <w:tcBorders>
              <w:top w:val="single" w:color="auto" w:sz="6" w:space="0"/>
              <w:left w:val="single" w:color="auto" w:sz="6" w:space="0"/>
              <w:bottom w:val="single" w:color="auto" w:sz="4" w:space="0"/>
              <w:right w:val="single" w:color="auto" w:sz="4" w:space="0"/>
            </w:tcBorders>
            <w:noWrap w:val="0"/>
            <w:vAlign w:val="center"/>
          </w:tcPr>
          <w:p w14:paraId="47CC12EC">
            <w:pPr>
              <w:widowControl/>
              <w:jc w:val="left"/>
              <w:rPr>
                <w:color w:val="auto"/>
                <w:sz w:val="20"/>
                <w:szCs w:val="20"/>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2583362B">
            <w:pPr>
              <w:jc w:val="center"/>
              <w:rPr>
                <w:color w:val="auto"/>
                <w:sz w:val="20"/>
                <w:szCs w:val="20"/>
                <w:highlight w:val="none"/>
              </w:rPr>
            </w:pPr>
            <w:r>
              <w:rPr>
                <w:rFonts w:hint="eastAsia"/>
                <w:color w:val="auto"/>
                <w:sz w:val="20"/>
                <w:szCs w:val="20"/>
                <w:highlight w:val="none"/>
              </w:rPr>
              <w:t>综合</w:t>
            </w:r>
          </w:p>
          <w:p w14:paraId="4F211057">
            <w:pPr>
              <w:jc w:val="center"/>
              <w:rPr>
                <w:color w:val="auto"/>
                <w:sz w:val="20"/>
                <w:szCs w:val="20"/>
                <w:highlight w:val="none"/>
              </w:rPr>
            </w:pPr>
            <w:r>
              <w:rPr>
                <w:rFonts w:hint="eastAsia"/>
                <w:color w:val="auto"/>
                <w:sz w:val="20"/>
                <w:szCs w:val="20"/>
                <w:highlight w:val="none"/>
              </w:rPr>
              <w:t>单价</w:t>
            </w:r>
          </w:p>
        </w:tc>
        <w:tc>
          <w:tcPr>
            <w:tcW w:w="741" w:type="dxa"/>
            <w:tcBorders>
              <w:top w:val="single" w:color="auto" w:sz="4" w:space="0"/>
              <w:left w:val="single" w:color="auto" w:sz="4" w:space="0"/>
              <w:bottom w:val="single" w:color="auto" w:sz="4" w:space="0"/>
              <w:right w:val="single" w:color="auto" w:sz="6" w:space="0"/>
            </w:tcBorders>
            <w:noWrap w:val="0"/>
            <w:vAlign w:val="center"/>
          </w:tcPr>
          <w:p w14:paraId="598EBFFE">
            <w:pPr>
              <w:jc w:val="center"/>
              <w:rPr>
                <w:color w:val="auto"/>
                <w:sz w:val="20"/>
                <w:szCs w:val="20"/>
                <w:highlight w:val="none"/>
              </w:rPr>
            </w:pPr>
            <w:r>
              <w:rPr>
                <w:rFonts w:hint="eastAsia"/>
                <w:color w:val="auto"/>
                <w:sz w:val="20"/>
                <w:szCs w:val="20"/>
                <w:highlight w:val="none"/>
              </w:rPr>
              <w:t>合价</w:t>
            </w:r>
          </w:p>
        </w:tc>
        <w:tc>
          <w:tcPr>
            <w:tcW w:w="941" w:type="dxa"/>
            <w:tcBorders>
              <w:top w:val="single" w:color="auto" w:sz="4" w:space="0"/>
              <w:left w:val="single" w:color="auto" w:sz="6" w:space="0"/>
              <w:bottom w:val="single" w:color="auto" w:sz="4" w:space="0"/>
              <w:right w:val="single" w:color="auto" w:sz="6" w:space="0"/>
            </w:tcBorders>
            <w:noWrap w:val="0"/>
            <w:vAlign w:val="center"/>
          </w:tcPr>
          <w:p w14:paraId="59461455">
            <w:pPr>
              <w:jc w:val="center"/>
              <w:rPr>
                <w:color w:val="auto"/>
                <w:sz w:val="20"/>
                <w:szCs w:val="20"/>
                <w:highlight w:val="none"/>
              </w:rPr>
            </w:pPr>
            <w:r>
              <w:rPr>
                <w:rFonts w:hint="eastAsia"/>
                <w:color w:val="auto"/>
                <w:sz w:val="20"/>
                <w:szCs w:val="20"/>
                <w:highlight w:val="none"/>
              </w:rPr>
              <w:t>其中：暂估价</w:t>
            </w:r>
          </w:p>
        </w:tc>
      </w:tr>
      <w:tr w14:paraId="6ABF20F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68650260">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636436CA">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0CBE68E2">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2ED20712">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0A27D465">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50174825">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57951229">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41EA9049">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32D897A6">
            <w:pPr>
              <w:jc w:val="center"/>
              <w:rPr>
                <w:color w:val="auto"/>
                <w:szCs w:val="21"/>
                <w:highlight w:val="none"/>
              </w:rPr>
            </w:pPr>
          </w:p>
        </w:tc>
      </w:tr>
      <w:tr w14:paraId="47929F5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18608ED8">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436C24A9">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0A6E83E5">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74C17DF2">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263FC37E">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552E73D8">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76FF9629">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64AC7062">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1EBBC92F">
            <w:pPr>
              <w:jc w:val="center"/>
              <w:rPr>
                <w:color w:val="auto"/>
                <w:szCs w:val="21"/>
                <w:highlight w:val="none"/>
              </w:rPr>
            </w:pPr>
          </w:p>
        </w:tc>
      </w:tr>
      <w:tr w14:paraId="0742156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4C100F02">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16643A19">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0067618E">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063E782A">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77F74E58">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6484D573">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7E2DA365">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64F32471">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39C76CB2">
            <w:pPr>
              <w:jc w:val="center"/>
              <w:rPr>
                <w:color w:val="auto"/>
                <w:szCs w:val="21"/>
                <w:highlight w:val="none"/>
              </w:rPr>
            </w:pPr>
          </w:p>
        </w:tc>
      </w:tr>
      <w:tr w14:paraId="3E2FAE6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1BB7A335">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22D49CA2">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5C692EDF">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6CE2A3AF">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02B65728">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505CD28D">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2045566A">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69FA2ADE">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51C4425A">
            <w:pPr>
              <w:jc w:val="center"/>
              <w:rPr>
                <w:color w:val="auto"/>
                <w:szCs w:val="21"/>
                <w:highlight w:val="none"/>
              </w:rPr>
            </w:pPr>
          </w:p>
        </w:tc>
      </w:tr>
      <w:tr w14:paraId="2137853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02BE889B">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593D2FC1">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580A1831">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40F0CA49">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03919CC2">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350F80C1">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13546859">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215C6B43">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3423A15F">
            <w:pPr>
              <w:jc w:val="center"/>
              <w:rPr>
                <w:color w:val="auto"/>
                <w:szCs w:val="21"/>
                <w:highlight w:val="none"/>
              </w:rPr>
            </w:pPr>
          </w:p>
        </w:tc>
      </w:tr>
      <w:tr w14:paraId="1A7201F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75120A73">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42D82C6C">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06F3C395">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58966D28">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32C8D185">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59C93659">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680EB5E1">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49D9F455">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27561571">
            <w:pPr>
              <w:jc w:val="center"/>
              <w:rPr>
                <w:color w:val="auto"/>
                <w:szCs w:val="21"/>
                <w:highlight w:val="none"/>
              </w:rPr>
            </w:pPr>
          </w:p>
        </w:tc>
      </w:tr>
      <w:tr w14:paraId="6E27AB3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65346CE2">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45FDF488">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5E9FEBB0">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0BE44F08">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27BAA2D8">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54BA5F8A">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2894A1C7">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52E1E614">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06BB7C49">
            <w:pPr>
              <w:jc w:val="center"/>
              <w:rPr>
                <w:color w:val="auto"/>
                <w:szCs w:val="21"/>
                <w:highlight w:val="none"/>
              </w:rPr>
            </w:pPr>
          </w:p>
        </w:tc>
      </w:tr>
      <w:tr w14:paraId="3D0FB9F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1EFB7AFD">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396B17D7">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45B07C38">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5ED9709D">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5ACEB82E">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25403B5C">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7C53A804">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7D60BC57">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00C1D154">
            <w:pPr>
              <w:jc w:val="center"/>
              <w:rPr>
                <w:color w:val="auto"/>
                <w:szCs w:val="21"/>
                <w:highlight w:val="none"/>
              </w:rPr>
            </w:pPr>
          </w:p>
        </w:tc>
      </w:tr>
      <w:tr w14:paraId="62CED78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114F4338">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076E3BB4">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34B6D6DC">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5680E9F3">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2F26F4F9">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3D61F226">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53C66228">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216DF1A5">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5884885C">
            <w:pPr>
              <w:jc w:val="center"/>
              <w:rPr>
                <w:color w:val="auto"/>
                <w:szCs w:val="21"/>
                <w:highlight w:val="none"/>
              </w:rPr>
            </w:pPr>
          </w:p>
        </w:tc>
      </w:tr>
      <w:tr w14:paraId="732AFEC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1E87BCC9">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23242819">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0DC5CF04">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08C2D68B">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7F2E9FB0">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5F8FAE33">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6CD62791">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2125670D">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13B19A3A">
            <w:pPr>
              <w:jc w:val="center"/>
              <w:rPr>
                <w:color w:val="auto"/>
                <w:szCs w:val="21"/>
                <w:highlight w:val="none"/>
              </w:rPr>
            </w:pPr>
          </w:p>
        </w:tc>
      </w:tr>
      <w:tr w14:paraId="4C941AB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08D4E09B">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52CAF2DF">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16816834">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14FD4C77">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1DFBACA5">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472D82FD">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509BCFE7">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433528BA">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2613BEBC">
            <w:pPr>
              <w:jc w:val="center"/>
              <w:rPr>
                <w:color w:val="auto"/>
                <w:szCs w:val="21"/>
                <w:highlight w:val="none"/>
              </w:rPr>
            </w:pPr>
          </w:p>
        </w:tc>
      </w:tr>
      <w:tr w14:paraId="39F5026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208B2C47">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78F2386E">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164A7742">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110E0FBF">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09422BF6">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337D41AC">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6095649E">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43FA0CB3">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06FC7B1B">
            <w:pPr>
              <w:jc w:val="center"/>
              <w:rPr>
                <w:color w:val="auto"/>
                <w:szCs w:val="21"/>
                <w:highlight w:val="none"/>
              </w:rPr>
            </w:pPr>
          </w:p>
        </w:tc>
      </w:tr>
      <w:tr w14:paraId="32B778C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77A0D5D6">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2CD3285E">
            <w:pPr>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733AC531">
            <w:pPr>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7309C8A6">
            <w:pPr>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328518B3">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45B6DF61">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56C1A519">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32CB77E1">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783BA4BE">
            <w:pPr>
              <w:jc w:val="center"/>
              <w:rPr>
                <w:color w:val="auto"/>
                <w:szCs w:val="21"/>
                <w:highlight w:val="none"/>
              </w:rPr>
            </w:pPr>
          </w:p>
        </w:tc>
      </w:tr>
      <w:tr w14:paraId="511A00A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14D752B4">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43D7D91C">
            <w:pPr>
              <w:ind w:firstLine="210" w:firstLineChars="100"/>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4E169260">
            <w:pPr>
              <w:ind w:firstLine="210" w:firstLineChars="100"/>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4CBC845A">
            <w:pPr>
              <w:ind w:firstLine="210" w:firstLineChars="100"/>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18B7A08A">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519CA2DC">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230D364D">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702662CC">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5B0A0E5D">
            <w:pPr>
              <w:jc w:val="center"/>
              <w:rPr>
                <w:color w:val="auto"/>
                <w:szCs w:val="21"/>
                <w:highlight w:val="none"/>
              </w:rPr>
            </w:pPr>
          </w:p>
        </w:tc>
      </w:tr>
      <w:tr w14:paraId="4A87BC3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3253B30B">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3505AD71">
            <w:pPr>
              <w:ind w:firstLine="210" w:firstLineChars="100"/>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40DD9D50">
            <w:pPr>
              <w:ind w:firstLine="210" w:firstLineChars="100"/>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2E8722B4">
            <w:pPr>
              <w:ind w:firstLine="210" w:firstLineChars="100"/>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6FD2AEB7">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47AF2928">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5E5E96A0">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7DED3581">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6B7A8AAD">
            <w:pPr>
              <w:jc w:val="center"/>
              <w:rPr>
                <w:color w:val="auto"/>
                <w:szCs w:val="21"/>
                <w:highlight w:val="none"/>
              </w:rPr>
            </w:pPr>
          </w:p>
        </w:tc>
      </w:tr>
      <w:tr w14:paraId="31E57B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tcBorders>
              <w:top w:val="single" w:color="auto" w:sz="4" w:space="0"/>
              <w:left w:val="single" w:color="auto" w:sz="6" w:space="0"/>
              <w:bottom w:val="single" w:color="auto" w:sz="4" w:space="0"/>
              <w:right w:val="single" w:color="auto" w:sz="4" w:space="0"/>
            </w:tcBorders>
            <w:noWrap w:val="0"/>
            <w:vAlign w:val="center"/>
          </w:tcPr>
          <w:p w14:paraId="420FA9B9">
            <w:pPr>
              <w:jc w:val="center"/>
              <w:rPr>
                <w:rFonts w:ascii="黑体" w:eastAsia="黑体"/>
                <w:color w:val="auto"/>
                <w:szCs w:val="21"/>
                <w:highlight w:val="none"/>
              </w:rPr>
            </w:pPr>
          </w:p>
        </w:tc>
        <w:tc>
          <w:tcPr>
            <w:tcW w:w="1047" w:type="dxa"/>
            <w:tcBorders>
              <w:top w:val="single" w:color="auto" w:sz="4" w:space="0"/>
              <w:left w:val="single" w:color="auto" w:sz="4" w:space="0"/>
              <w:bottom w:val="single" w:color="auto" w:sz="4" w:space="0"/>
              <w:right w:val="single" w:color="auto" w:sz="6" w:space="0"/>
            </w:tcBorders>
            <w:noWrap w:val="0"/>
            <w:vAlign w:val="center"/>
          </w:tcPr>
          <w:p w14:paraId="41CBC4EB">
            <w:pPr>
              <w:ind w:firstLine="210" w:firstLineChars="100"/>
              <w:jc w:val="center"/>
              <w:rPr>
                <w:color w:val="auto"/>
                <w:szCs w:val="21"/>
                <w:highlight w:val="none"/>
              </w:rPr>
            </w:pPr>
          </w:p>
        </w:tc>
        <w:tc>
          <w:tcPr>
            <w:tcW w:w="1026" w:type="dxa"/>
            <w:tcBorders>
              <w:top w:val="single" w:color="auto" w:sz="4" w:space="0"/>
              <w:left w:val="single" w:color="auto" w:sz="6" w:space="0"/>
              <w:bottom w:val="single" w:color="auto" w:sz="4" w:space="0"/>
              <w:right w:val="single" w:color="auto" w:sz="4" w:space="0"/>
            </w:tcBorders>
            <w:noWrap w:val="0"/>
            <w:vAlign w:val="center"/>
          </w:tcPr>
          <w:p w14:paraId="6CA61990">
            <w:pPr>
              <w:ind w:firstLine="210" w:firstLineChars="100"/>
              <w:jc w:val="center"/>
              <w:rPr>
                <w:color w:val="auto"/>
                <w:szCs w:val="21"/>
                <w:highlight w:val="none"/>
              </w:rPr>
            </w:pPr>
          </w:p>
        </w:tc>
        <w:tc>
          <w:tcPr>
            <w:tcW w:w="1458" w:type="dxa"/>
            <w:tcBorders>
              <w:top w:val="single" w:color="auto" w:sz="4" w:space="0"/>
              <w:left w:val="single" w:color="auto" w:sz="6" w:space="0"/>
              <w:bottom w:val="single" w:color="auto" w:sz="4" w:space="0"/>
              <w:right w:val="single" w:color="auto" w:sz="4" w:space="0"/>
            </w:tcBorders>
            <w:noWrap w:val="0"/>
            <w:vAlign w:val="center"/>
          </w:tcPr>
          <w:p w14:paraId="51D435DE">
            <w:pPr>
              <w:ind w:firstLine="210" w:firstLineChars="100"/>
              <w:jc w:val="center"/>
              <w:rPr>
                <w:color w:val="auto"/>
                <w:szCs w:val="21"/>
                <w:highlight w:val="none"/>
              </w:rPr>
            </w:pPr>
          </w:p>
        </w:tc>
        <w:tc>
          <w:tcPr>
            <w:tcW w:w="1019" w:type="dxa"/>
            <w:tcBorders>
              <w:top w:val="single" w:color="auto" w:sz="4" w:space="0"/>
              <w:left w:val="single" w:color="auto" w:sz="4" w:space="0"/>
              <w:bottom w:val="single" w:color="auto" w:sz="4" w:space="0"/>
              <w:right w:val="single" w:color="auto" w:sz="6" w:space="0"/>
            </w:tcBorders>
            <w:noWrap w:val="0"/>
            <w:vAlign w:val="center"/>
          </w:tcPr>
          <w:p w14:paraId="7E5D7241">
            <w:pPr>
              <w:jc w:val="center"/>
              <w:rPr>
                <w:color w:val="auto"/>
                <w:szCs w:val="21"/>
                <w:highlight w:val="none"/>
              </w:rPr>
            </w:pPr>
          </w:p>
        </w:tc>
        <w:tc>
          <w:tcPr>
            <w:tcW w:w="838" w:type="dxa"/>
            <w:tcBorders>
              <w:top w:val="single" w:color="auto" w:sz="4" w:space="0"/>
              <w:left w:val="single" w:color="auto" w:sz="6" w:space="0"/>
              <w:bottom w:val="single" w:color="auto" w:sz="4" w:space="0"/>
              <w:right w:val="single" w:color="auto" w:sz="4" w:space="0"/>
            </w:tcBorders>
            <w:noWrap w:val="0"/>
            <w:vAlign w:val="center"/>
          </w:tcPr>
          <w:p w14:paraId="757D5A1B">
            <w:pPr>
              <w:jc w:val="center"/>
              <w:rPr>
                <w:color w:val="auto"/>
                <w:szCs w:val="21"/>
                <w:highlight w:val="none"/>
              </w:rPr>
            </w:pPr>
          </w:p>
        </w:tc>
        <w:tc>
          <w:tcPr>
            <w:tcW w:w="765" w:type="dxa"/>
            <w:tcBorders>
              <w:top w:val="single" w:color="auto" w:sz="4" w:space="0"/>
              <w:left w:val="single" w:color="auto" w:sz="6" w:space="0"/>
              <w:bottom w:val="single" w:color="auto" w:sz="4" w:space="0"/>
              <w:right w:val="single" w:color="auto" w:sz="4" w:space="0"/>
            </w:tcBorders>
            <w:noWrap w:val="0"/>
            <w:vAlign w:val="center"/>
          </w:tcPr>
          <w:p w14:paraId="7A79A63A">
            <w:pPr>
              <w:jc w:val="center"/>
              <w:rPr>
                <w:color w:val="auto"/>
                <w:szCs w:val="21"/>
                <w:highlight w:val="none"/>
              </w:rPr>
            </w:pPr>
          </w:p>
        </w:tc>
        <w:tc>
          <w:tcPr>
            <w:tcW w:w="741" w:type="dxa"/>
            <w:tcBorders>
              <w:top w:val="single" w:color="auto" w:sz="4" w:space="0"/>
              <w:left w:val="single" w:color="auto" w:sz="4" w:space="0"/>
              <w:bottom w:val="single" w:color="auto" w:sz="4" w:space="0"/>
              <w:right w:val="single" w:color="auto" w:sz="6" w:space="0"/>
            </w:tcBorders>
            <w:noWrap w:val="0"/>
            <w:vAlign w:val="center"/>
          </w:tcPr>
          <w:p w14:paraId="1C49CB22">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2A647C2E">
            <w:pPr>
              <w:jc w:val="center"/>
              <w:rPr>
                <w:color w:val="auto"/>
                <w:szCs w:val="21"/>
                <w:highlight w:val="none"/>
              </w:rPr>
            </w:pPr>
          </w:p>
        </w:tc>
      </w:tr>
      <w:tr w14:paraId="24794DF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796" w:type="dxa"/>
            <w:gridSpan w:val="7"/>
            <w:tcBorders>
              <w:top w:val="single" w:color="auto" w:sz="4" w:space="0"/>
              <w:left w:val="single" w:color="auto" w:sz="6" w:space="0"/>
              <w:bottom w:val="single" w:color="auto" w:sz="4" w:space="0"/>
              <w:right w:val="single" w:color="auto" w:sz="4" w:space="0"/>
            </w:tcBorders>
            <w:noWrap w:val="0"/>
            <w:vAlign w:val="center"/>
          </w:tcPr>
          <w:p w14:paraId="732D7D2A">
            <w:pPr>
              <w:jc w:val="center"/>
              <w:rPr>
                <w:color w:val="auto"/>
                <w:szCs w:val="21"/>
                <w:highlight w:val="none"/>
              </w:rPr>
            </w:pPr>
            <w:r>
              <w:rPr>
                <w:rFonts w:hint="eastAsia"/>
                <w:color w:val="auto"/>
                <w:szCs w:val="21"/>
                <w:highlight w:val="none"/>
              </w:rPr>
              <w:t>本页小计</w:t>
            </w:r>
          </w:p>
        </w:tc>
        <w:tc>
          <w:tcPr>
            <w:tcW w:w="741" w:type="dxa"/>
            <w:tcBorders>
              <w:top w:val="single" w:color="auto" w:sz="4" w:space="0"/>
              <w:left w:val="single" w:color="auto" w:sz="4" w:space="0"/>
              <w:bottom w:val="single" w:color="auto" w:sz="4" w:space="0"/>
              <w:right w:val="single" w:color="auto" w:sz="6" w:space="0"/>
            </w:tcBorders>
            <w:noWrap w:val="0"/>
            <w:vAlign w:val="center"/>
          </w:tcPr>
          <w:p w14:paraId="73BFAE7B">
            <w:pPr>
              <w:jc w:val="center"/>
              <w:rPr>
                <w:color w:val="auto"/>
                <w:szCs w:val="21"/>
                <w:highlight w:val="none"/>
              </w:rPr>
            </w:pPr>
          </w:p>
        </w:tc>
        <w:tc>
          <w:tcPr>
            <w:tcW w:w="941" w:type="dxa"/>
            <w:tcBorders>
              <w:top w:val="single" w:color="auto" w:sz="4" w:space="0"/>
              <w:left w:val="single" w:color="auto" w:sz="6" w:space="0"/>
              <w:bottom w:val="single" w:color="auto" w:sz="4" w:space="0"/>
              <w:right w:val="single" w:color="auto" w:sz="6" w:space="0"/>
            </w:tcBorders>
            <w:noWrap w:val="0"/>
            <w:vAlign w:val="center"/>
          </w:tcPr>
          <w:p w14:paraId="2E50E552">
            <w:pPr>
              <w:jc w:val="center"/>
              <w:rPr>
                <w:color w:val="auto"/>
                <w:szCs w:val="21"/>
                <w:highlight w:val="none"/>
              </w:rPr>
            </w:pPr>
          </w:p>
        </w:tc>
      </w:tr>
      <w:tr w14:paraId="7DFDDEE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796" w:type="dxa"/>
            <w:gridSpan w:val="7"/>
            <w:tcBorders>
              <w:top w:val="single" w:color="auto" w:sz="4" w:space="0"/>
              <w:left w:val="single" w:color="auto" w:sz="6" w:space="0"/>
              <w:bottom w:val="single" w:color="auto" w:sz="6" w:space="0"/>
              <w:right w:val="single" w:color="auto" w:sz="4" w:space="0"/>
            </w:tcBorders>
            <w:noWrap w:val="0"/>
            <w:vAlign w:val="center"/>
          </w:tcPr>
          <w:p w14:paraId="594EFE36">
            <w:pPr>
              <w:jc w:val="center"/>
              <w:rPr>
                <w:color w:val="auto"/>
                <w:szCs w:val="21"/>
                <w:highlight w:val="none"/>
              </w:rPr>
            </w:pPr>
            <w:r>
              <w:rPr>
                <w:rFonts w:hint="eastAsia"/>
                <w:color w:val="auto"/>
                <w:szCs w:val="21"/>
                <w:highlight w:val="none"/>
              </w:rPr>
              <w:t>合</w:t>
            </w:r>
            <w:r>
              <w:rPr>
                <w:color w:val="auto"/>
                <w:szCs w:val="21"/>
                <w:highlight w:val="none"/>
              </w:rPr>
              <w:t xml:space="preserve">  </w:t>
            </w:r>
            <w:r>
              <w:rPr>
                <w:rFonts w:hint="eastAsia"/>
                <w:color w:val="auto"/>
                <w:szCs w:val="21"/>
                <w:highlight w:val="none"/>
              </w:rPr>
              <w:t>计</w:t>
            </w:r>
          </w:p>
        </w:tc>
        <w:tc>
          <w:tcPr>
            <w:tcW w:w="741" w:type="dxa"/>
            <w:tcBorders>
              <w:top w:val="single" w:color="auto" w:sz="4" w:space="0"/>
              <w:left w:val="single" w:color="auto" w:sz="4" w:space="0"/>
              <w:bottom w:val="single" w:color="auto" w:sz="6" w:space="0"/>
              <w:right w:val="single" w:color="auto" w:sz="6" w:space="0"/>
            </w:tcBorders>
            <w:noWrap w:val="0"/>
            <w:vAlign w:val="center"/>
          </w:tcPr>
          <w:p w14:paraId="00F2B5EB">
            <w:pPr>
              <w:jc w:val="center"/>
              <w:rPr>
                <w:color w:val="auto"/>
                <w:szCs w:val="21"/>
                <w:highlight w:val="none"/>
              </w:rPr>
            </w:pPr>
          </w:p>
        </w:tc>
        <w:tc>
          <w:tcPr>
            <w:tcW w:w="941" w:type="dxa"/>
            <w:tcBorders>
              <w:top w:val="single" w:color="auto" w:sz="4" w:space="0"/>
              <w:left w:val="single" w:color="auto" w:sz="6" w:space="0"/>
              <w:bottom w:val="single" w:color="auto" w:sz="6" w:space="0"/>
              <w:right w:val="single" w:color="auto" w:sz="6" w:space="0"/>
            </w:tcBorders>
            <w:noWrap w:val="0"/>
            <w:vAlign w:val="center"/>
          </w:tcPr>
          <w:p w14:paraId="6DF4E02A">
            <w:pPr>
              <w:jc w:val="center"/>
              <w:rPr>
                <w:color w:val="auto"/>
                <w:szCs w:val="21"/>
                <w:highlight w:val="none"/>
              </w:rPr>
            </w:pPr>
          </w:p>
        </w:tc>
      </w:tr>
    </w:tbl>
    <w:p w14:paraId="77649834">
      <w:pPr>
        <w:spacing w:before="72" w:beforeLines="30"/>
        <w:rPr>
          <w:rFonts w:hint="eastAsia" w:ascii="黑体" w:hAnsi="黑体" w:cs="黑体"/>
          <w:color w:val="auto"/>
          <w:kern w:val="0"/>
          <w:sz w:val="19"/>
          <w:szCs w:val="19"/>
          <w:highlight w:val="none"/>
        </w:rPr>
      </w:pPr>
    </w:p>
    <w:p w14:paraId="1C460ECA">
      <w:pPr>
        <w:spacing w:before="72" w:beforeLines="30"/>
        <w:rPr>
          <w:rFonts w:hint="eastAsia" w:ascii="黑体" w:hAnsi="Times New Roman" w:eastAsia="黑体"/>
          <w:color w:val="auto"/>
          <w:szCs w:val="24"/>
          <w:highlight w:val="none"/>
          <w:bdr w:val="single" w:color="auto" w:sz="4" w:space="0"/>
        </w:rPr>
      </w:pPr>
      <w:r>
        <w:rPr>
          <w:rFonts w:hint="eastAsia" w:ascii="黑体" w:hAnsi="黑体" w:cs="黑体"/>
          <w:color w:val="auto"/>
          <w:kern w:val="0"/>
          <w:sz w:val="19"/>
          <w:szCs w:val="19"/>
          <w:highlight w:val="none"/>
        </w:rPr>
        <w:t>注：为计取规费等的使用，可在表中增设其中：</w:t>
      </w:r>
      <w:r>
        <w:rPr>
          <w:rFonts w:hint="eastAsia" w:ascii="宋体" w:hAnsi="宋体" w:cs="宋体"/>
          <w:color w:val="auto"/>
          <w:kern w:val="0"/>
          <w:sz w:val="19"/>
          <w:szCs w:val="19"/>
          <w:highlight w:val="none"/>
        </w:rPr>
        <w:t>“定额人工费”。</w:t>
      </w:r>
    </w:p>
    <w:p w14:paraId="7AB162A6">
      <w:pPr>
        <w:spacing w:before="72" w:beforeLines="30"/>
        <w:rPr>
          <w:rFonts w:hint="eastAsia" w:ascii="Times New Roman"/>
          <w:color w:val="auto"/>
          <w:highlight w:val="none"/>
        </w:rPr>
      </w:pPr>
      <w:r>
        <w:rPr>
          <w:color w:val="auto"/>
          <w:highlight w:val="none"/>
        </w:rPr>
        <w:t xml:space="preserve"> </w:t>
      </w:r>
    </w:p>
    <w:p w14:paraId="78CBCC26">
      <w:pPr>
        <w:spacing w:before="72" w:beforeLines="30"/>
        <w:rPr>
          <w:color w:val="auto"/>
          <w:highlight w:val="none"/>
        </w:rPr>
      </w:pPr>
    </w:p>
    <w:p w14:paraId="66E01E9E">
      <w:pPr>
        <w:spacing w:before="72" w:beforeLines="30"/>
        <w:rPr>
          <w:color w:val="auto"/>
          <w:highlight w:val="none"/>
        </w:rPr>
      </w:pPr>
    </w:p>
    <w:p w14:paraId="44A35D2E">
      <w:pPr>
        <w:pStyle w:val="33"/>
        <w:rPr>
          <w:color w:val="auto"/>
          <w:highlight w:val="none"/>
        </w:rPr>
      </w:pPr>
      <w:bookmarkStart w:id="2328" w:name="_Toc521075247"/>
      <w:bookmarkStart w:id="2329" w:name="_Toc10150"/>
      <w:bookmarkStart w:id="2330" w:name="_Toc521075672"/>
      <w:r>
        <w:rPr>
          <w:color w:val="auto"/>
          <w:highlight w:val="none"/>
        </w:rPr>
        <w:t>4.10</w:t>
      </w:r>
      <w:r>
        <w:rPr>
          <w:rFonts w:hint="eastAsia"/>
          <w:color w:val="auto"/>
          <w:highlight w:val="none"/>
        </w:rPr>
        <w:t>综合单价分析表</w:t>
      </w:r>
      <w:bookmarkEnd w:id="2328"/>
      <w:bookmarkEnd w:id="2329"/>
      <w:bookmarkEnd w:id="2330"/>
    </w:p>
    <w:p w14:paraId="58B29922">
      <w:pPr>
        <w:spacing w:before="120" w:beforeLines="50" w:after="120" w:afterLines="50"/>
        <w:jc w:val="center"/>
        <w:rPr>
          <w:rFonts w:ascii="黑体" w:eastAsia="黑体"/>
          <w:color w:val="auto"/>
          <w:sz w:val="28"/>
          <w:szCs w:val="28"/>
          <w:highlight w:val="none"/>
        </w:rPr>
      </w:pPr>
      <w:r>
        <w:rPr>
          <w:rFonts w:hint="eastAsia" w:ascii="黑体" w:eastAsia="黑体"/>
          <w:color w:val="auto"/>
          <w:sz w:val="28"/>
          <w:szCs w:val="28"/>
          <w:highlight w:val="none"/>
        </w:rPr>
        <w:t>综合单价分析表</w:t>
      </w:r>
    </w:p>
    <w:p w14:paraId="3B9123F8">
      <w:pPr>
        <w:spacing w:after="120" w:afterLines="50"/>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940"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523"/>
        <w:gridCol w:w="160"/>
        <w:gridCol w:w="683"/>
        <w:gridCol w:w="250"/>
        <w:gridCol w:w="176"/>
        <w:gridCol w:w="426"/>
        <w:gridCol w:w="434"/>
        <w:gridCol w:w="89"/>
        <w:gridCol w:w="522"/>
        <w:gridCol w:w="625"/>
        <w:gridCol w:w="943"/>
        <w:gridCol w:w="89"/>
        <w:gridCol w:w="875"/>
        <w:gridCol w:w="45"/>
        <w:gridCol w:w="342"/>
        <w:gridCol w:w="891"/>
        <w:gridCol w:w="57"/>
        <w:gridCol w:w="1110"/>
      </w:tblGrid>
      <w:tr w14:paraId="417523C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223" w:type="dxa"/>
            <w:gridSpan w:val="2"/>
            <w:tcBorders>
              <w:top w:val="single" w:color="auto" w:sz="6" w:space="0"/>
              <w:left w:val="single" w:color="auto" w:sz="6" w:space="0"/>
              <w:bottom w:val="single" w:color="auto" w:sz="4" w:space="0"/>
              <w:right w:val="single" w:color="auto" w:sz="4" w:space="0"/>
            </w:tcBorders>
            <w:noWrap w:val="0"/>
            <w:vAlign w:val="center"/>
          </w:tcPr>
          <w:p w14:paraId="6B5B4A65">
            <w:pPr>
              <w:jc w:val="center"/>
              <w:rPr>
                <w:color w:val="auto"/>
                <w:sz w:val="20"/>
                <w:szCs w:val="20"/>
                <w:highlight w:val="none"/>
              </w:rPr>
            </w:pPr>
            <w:r>
              <w:rPr>
                <w:rFonts w:hint="eastAsia"/>
                <w:color w:val="auto"/>
                <w:sz w:val="20"/>
                <w:szCs w:val="20"/>
                <w:highlight w:val="none"/>
              </w:rPr>
              <w:t>项目编码</w:t>
            </w:r>
          </w:p>
        </w:tc>
        <w:tc>
          <w:tcPr>
            <w:tcW w:w="1093" w:type="dxa"/>
            <w:gridSpan w:val="3"/>
            <w:tcBorders>
              <w:top w:val="single" w:color="auto" w:sz="6" w:space="0"/>
              <w:left w:val="single" w:color="auto" w:sz="6" w:space="0"/>
              <w:bottom w:val="single" w:color="auto" w:sz="4" w:space="0"/>
              <w:right w:val="single" w:color="auto" w:sz="4" w:space="0"/>
            </w:tcBorders>
            <w:noWrap w:val="0"/>
            <w:vAlign w:val="center"/>
          </w:tcPr>
          <w:p w14:paraId="45AB0F6B">
            <w:pPr>
              <w:rPr>
                <w:color w:val="auto"/>
                <w:sz w:val="20"/>
                <w:szCs w:val="20"/>
                <w:highlight w:val="none"/>
              </w:rPr>
            </w:pPr>
          </w:p>
        </w:tc>
        <w:tc>
          <w:tcPr>
            <w:tcW w:w="1036" w:type="dxa"/>
            <w:gridSpan w:val="3"/>
            <w:tcBorders>
              <w:top w:val="single" w:color="auto" w:sz="6" w:space="0"/>
              <w:left w:val="single" w:color="auto" w:sz="6" w:space="0"/>
              <w:bottom w:val="single" w:color="auto" w:sz="4" w:space="0"/>
              <w:right w:val="single" w:color="auto" w:sz="4" w:space="0"/>
            </w:tcBorders>
            <w:noWrap w:val="0"/>
            <w:vAlign w:val="center"/>
          </w:tcPr>
          <w:p w14:paraId="2F47613C">
            <w:pPr>
              <w:jc w:val="center"/>
              <w:rPr>
                <w:color w:val="auto"/>
                <w:sz w:val="20"/>
                <w:szCs w:val="20"/>
                <w:highlight w:val="none"/>
              </w:rPr>
            </w:pPr>
            <w:r>
              <w:rPr>
                <w:rFonts w:hint="eastAsia"/>
                <w:color w:val="auto"/>
                <w:sz w:val="20"/>
                <w:szCs w:val="20"/>
                <w:highlight w:val="none"/>
              </w:rPr>
              <w:t>项目名称</w:t>
            </w:r>
          </w:p>
        </w:tc>
        <w:tc>
          <w:tcPr>
            <w:tcW w:w="1236" w:type="dxa"/>
            <w:gridSpan w:val="3"/>
            <w:tcBorders>
              <w:top w:val="single" w:color="auto" w:sz="6" w:space="0"/>
              <w:left w:val="single" w:color="auto" w:sz="4" w:space="0"/>
              <w:bottom w:val="single" w:color="auto" w:sz="4" w:space="0"/>
              <w:right w:val="single" w:color="auto" w:sz="4" w:space="0"/>
            </w:tcBorders>
            <w:noWrap w:val="0"/>
            <w:vAlign w:val="center"/>
          </w:tcPr>
          <w:p w14:paraId="24D43294">
            <w:pPr>
              <w:jc w:val="center"/>
              <w:rPr>
                <w:color w:val="auto"/>
                <w:sz w:val="20"/>
                <w:szCs w:val="20"/>
                <w:highlight w:val="none"/>
              </w:rPr>
            </w:pPr>
          </w:p>
        </w:tc>
        <w:tc>
          <w:tcPr>
            <w:tcW w:w="1032" w:type="dxa"/>
            <w:gridSpan w:val="2"/>
            <w:tcBorders>
              <w:top w:val="single" w:color="auto" w:sz="6" w:space="0"/>
              <w:left w:val="single" w:color="auto" w:sz="6" w:space="0"/>
              <w:bottom w:val="single" w:color="auto" w:sz="4" w:space="0"/>
              <w:right w:val="single" w:color="auto" w:sz="4" w:space="0"/>
            </w:tcBorders>
            <w:noWrap w:val="0"/>
            <w:vAlign w:val="center"/>
          </w:tcPr>
          <w:p w14:paraId="3EE7183F">
            <w:pPr>
              <w:jc w:val="center"/>
              <w:rPr>
                <w:color w:val="auto"/>
                <w:sz w:val="20"/>
                <w:szCs w:val="20"/>
                <w:highlight w:val="none"/>
              </w:rPr>
            </w:pPr>
            <w:r>
              <w:rPr>
                <w:rFonts w:hint="eastAsia"/>
                <w:color w:val="auto"/>
                <w:sz w:val="20"/>
                <w:szCs w:val="20"/>
                <w:highlight w:val="none"/>
              </w:rPr>
              <w:t>计量</w:t>
            </w:r>
          </w:p>
          <w:p w14:paraId="57B72647">
            <w:pPr>
              <w:jc w:val="center"/>
              <w:rPr>
                <w:color w:val="auto"/>
                <w:sz w:val="20"/>
                <w:szCs w:val="20"/>
                <w:highlight w:val="none"/>
              </w:rPr>
            </w:pPr>
            <w:r>
              <w:rPr>
                <w:rFonts w:hint="eastAsia"/>
                <w:color w:val="auto"/>
                <w:sz w:val="20"/>
                <w:szCs w:val="20"/>
                <w:highlight w:val="none"/>
              </w:rPr>
              <w:t>单位</w:t>
            </w:r>
          </w:p>
        </w:tc>
        <w:tc>
          <w:tcPr>
            <w:tcW w:w="875" w:type="dxa"/>
            <w:tcBorders>
              <w:top w:val="single" w:color="auto" w:sz="6" w:space="0"/>
              <w:left w:val="single" w:color="auto" w:sz="6" w:space="0"/>
              <w:bottom w:val="single" w:color="auto" w:sz="4" w:space="0"/>
              <w:right w:val="single" w:color="auto" w:sz="4" w:space="0"/>
            </w:tcBorders>
            <w:noWrap w:val="0"/>
            <w:vAlign w:val="center"/>
          </w:tcPr>
          <w:p w14:paraId="31F76B69">
            <w:pPr>
              <w:jc w:val="center"/>
              <w:rPr>
                <w:color w:val="auto"/>
                <w:sz w:val="20"/>
                <w:szCs w:val="20"/>
                <w:highlight w:val="none"/>
              </w:rPr>
            </w:pPr>
          </w:p>
        </w:tc>
        <w:tc>
          <w:tcPr>
            <w:tcW w:w="1278" w:type="dxa"/>
            <w:gridSpan w:val="3"/>
            <w:tcBorders>
              <w:top w:val="single" w:color="auto" w:sz="6" w:space="0"/>
              <w:left w:val="single" w:color="auto" w:sz="6" w:space="0"/>
              <w:bottom w:val="single" w:color="auto" w:sz="4" w:space="0"/>
              <w:right w:val="single" w:color="auto" w:sz="4" w:space="0"/>
            </w:tcBorders>
            <w:noWrap w:val="0"/>
            <w:vAlign w:val="center"/>
          </w:tcPr>
          <w:p w14:paraId="08673F21">
            <w:pPr>
              <w:jc w:val="center"/>
              <w:rPr>
                <w:color w:val="auto"/>
                <w:sz w:val="20"/>
                <w:szCs w:val="20"/>
                <w:highlight w:val="none"/>
              </w:rPr>
            </w:pPr>
            <w:r>
              <w:rPr>
                <w:rFonts w:hint="eastAsia"/>
                <w:color w:val="auto"/>
                <w:sz w:val="20"/>
                <w:szCs w:val="20"/>
                <w:highlight w:val="none"/>
              </w:rPr>
              <w:t>工程量</w:t>
            </w:r>
          </w:p>
        </w:tc>
        <w:tc>
          <w:tcPr>
            <w:tcW w:w="1167" w:type="dxa"/>
            <w:gridSpan w:val="2"/>
            <w:tcBorders>
              <w:top w:val="single" w:color="auto" w:sz="6" w:space="0"/>
              <w:left w:val="single" w:color="auto" w:sz="6" w:space="0"/>
              <w:bottom w:val="single" w:color="auto" w:sz="4" w:space="0"/>
              <w:right w:val="single" w:color="auto" w:sz="6" w:space="0"/>
            </w:tcBorders>
            <w:noWrap w:val="0"/>
            <w:vAlign w:val="center"/>
          </w:tcPr>
          <w:p w14:paraId="5874944D">
            <w:pPr>
              <w:jc w:val="center"/>
              <w:rPr>
                <w:color w:val="auto"/>
                <w:sz w:val="20"/>
                <w:szCs w:val="20"/>
                <w:highlight w:val="none"/>
              </w:rPr>
            </w:pPr>
          </w:p>
        </w:tc>
      </w:tr>
      <w:tr w14:paraId="50F5398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0" w:type="dxa"/>
            <w:gridSpan w:val="19"/>
            <w:tcBorders>
              <w:top w:val="single" w:color="auto" w:sz="4" w:space="0"/>
              <w:left w:val="single" w:color="auto" w:sz="6" w:space="0"/>
              <w:bottom w:val="single" w:color="auto" w:sz="4" w:space="0"/>
              <w:right w:val="single" w:color="auto" w:sz="6" w:space="0"/>
            </w:tcBorders>
            <w:noWrap w:val="0"/>
            <w:vAlign w:val="center"/>
          </w:tcPr>
          <w:p w14:paraId="5467C20D">
            <w:pPr>
              <w:jc w:val="center"/>
              <w:rPr>
                <w:color w:val="auto"/>
                <w:szCs w:val="21"/>
                <w:highlight w:val="none"/>
              </w:rPr>
            </w:pPr>
            <w:r>
              <w:rPr>
                <w:rFonts w:hint="eastAsia"/>
                <w:color w:val="auto"/>
                <w:szCs w:val="21"/>
                <w:highlight w:val="none"/>
              </w:rPr>
              <w:t>清单综合单价组成明细</w:t>
            </w:r>
          </w:p>
        </w:tc>
      </w:tr>
      <w:tr w14:paraId="43D17DE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restart"/>
            <w:tcBorders>
              <w:top w:val="single" w:color="auto" w:sz="4" w:space="0"/>
              <w:left w:val="single" w:color="auto" w:sz="6" w:space="0"/>
              <w:bottom w:val="single" w:color="auto" w:sz="4" w:space="0"/>
              <w:right w:val="single" w:color="auto" w:sz="4" w:space="0"/>
            </w:tcBorders>
            <w:noWrap w:val="0"/>
            <w:vAlign w:val="center"/>
          </w:tcPr>
          <w:p w14:paraId="102D944E">
            <w:pPr>
              <w:jc w:val="center"/>
              <w:rPr>
                <w:rFonts w:ascii="宋体" w:hAnsi="宋体"/>
                <w:color w:val="auto"/>
                <w:szCs w:val="21"/>
                <w:highlight w:val="none"/>
              </w:rPr>
            </w:pPr>
            <w:r>
              <w:rPr>
                <w:rFonts w:hint="eastAsia" w:ascii="宋体" w:hAnsi="宋体"/>
                <w:color w:val="auto"/>
                <w:szCs w:val="21"/>
                <w:highlight w:val="none"/>
              </w:rPr>
              <w:t>定额编号</w:t>
            </w:r>
          </w:p>
        </w:tc>
        <w:tc>
          <w:tcPr>
            <w:tcW w:w="683" w:type="dxa"/>
            <w:gridSpan w:val="2"/>
            <w:vMerge w:val="restart"/>
            <w:tcBorders>
              <w:top w:val="single" w:color="auto" w:sz="4" w:space="0"/>
              <w:left w:val="single" w:color="auto" w:sz="4" w:space="0"/>
              <w:bottom w:val="single" w:color="auto" w:sz="4" w:space="0"/>
              <w:right w:val="single" w:color="auto" w:sz="6" w:space="0"/>
            </w:tcBorders>
            <w:noWrap w:val="0"/>
            <w:vAlign w:val="center"/>
          </w:tcPr>
          <w:p w14:paraId="16030AF3">
            <w:pPr>
              <w:jc w:val="center"/>
              <w:rPr>
                <w:color w:val="auto"/>
                <w:szCs w:val="21"/>
                <w:highlight w:val="none"/>
              </w:rPr>
            </w:pPr>
            <w:r>
              <w:rPr>
                <w:rFonts w:hint="eastAsia"/>
                <w:color w:val="auto"/>
                <w:szCs w:val="21"/>
                <w:highlight w:val="none"/>
              </w:rPr>
              <w:t>定额项目名称</w:t>
            </w:r>
          </w:p>
        </w:tc>
        <w:tc>
          <w:tcPr>
            <w:tcW w:w="683" w:type="dxa"/>
            <w:vMerge w:val="restart"/>
            <w:tcBorders>
              <w:top w:val="single" w:color="auto" w:sz="4" w:space="0"/>
              <w:left w:val="single" w:color="auto" w:sz="6" w:space="0"/>
              <w:bottom w:val="single" w:color="auto" w:sz="4" w:space="0"/>
              <w:right w:val="single" w:color="auto" w:sz="4" w:space="0"/>
            </w:tcBorders>
            <w:noWrap w:val="0"/>
            <w:vAlign w:val="center"/>
          </w:tcPr>
          <w:p w14:paraId="633D9B2D">
            <w:pPr>
              <w:jc w:val="center"/>
              <w:rPr>
                <w:color w:val="auto"/>
                <w:szCs w:val="21"/>
                <w:highlight w:val="none"/>
              </w:rPr>
            </w:pPr>
            <w:r>
              <w:rPr>
                <w:rFonts w:hint="eastAsia"/>
                <w:color w:val="auto"/>
                <w:szCs w:val="21"/>
                <w:highlight w:val="none"/>
              </w:rPr>
              <w:t>定额</w:t>
            </w:r>
          </w:p>
          <w:p w14:paraId="27CFCCB1">
            <w:pPr>
              <w:jc w:val="center"/>
              <w:rPr>
                <w:color w:val="auto"/>
                <w:szCs w:val="21"/>
                <w:highlight w:val="none"/>
              </w:rPr>
            </w:pPr>
            <w:r>
              <w:rPr>
                <w:rFonts w:hint="eastAsia"/>
                <w:color w:val="auto"/>
                <w:szCs w:val="21"/>
                <w:highlight w:val="none"/>
              </w:rPr>
              <w:t>单位</w:t>
            </w:r>
          </w:p>
        </w:tc>
        <w:tc>
          <w:tcPr>
            <w:tcW w:w="426" w:type="dxa"/>
            <w:gridSpan w:val="2"/>
            <w:vMerge w:val="restart"/>
            <w:tcBorders>
              <w:top w:val="single" w:color="auto" w:sz="4" w:space="0"/>
              <w:left w:val="single" w:color="auto" w:sz="6" w:space="0"/>
              <w:bottom w:val="single" w:color="auto" w:sz="4" w:space="0"/>
              <w:right w:val="single" w:color="auto" w:sz="4" w:space="0"/>
            </w:tcBorders>
            <w:noWrap w:val="0"/>
            <w:vAlign w:val="center"/>
          </w:tcPr>
          <w:p w14:paraId="2563B20F">
            <w:pPr>
              <w:jc w:val="center"/>
              <w:rPr>
                <w:color w:val="auto"/>
                <w:szCs w:val="21"/>
                <w:highlight w:val="none"/>
              </w:rPr>
            </w:pPr>
            <w:r>
              <w:rPr>
                <w:rFonts w:hint="eastAsia"/>
                <w:color w:val="auto"/>
                <w:szCs w:val="21"/>
                <w:highlight w:val="none"/>
              </w:rPr>
              <w:t>数量</w:t>
            </w:r>
          </w:p>
        </w:tc>
        <w:tc>
          <w:tcPr>
            <w:tcW w:w="2096" w:type="dxa"/>
            <w:gridSpan w:val="5"/>
            <w:tcBorders>
              <w:top w:val="single" w:color="auto" w:sz="4" w:space="0"/>
              <w:left w:val="single" w:color="auto" w:sz="6" w:space="0"/>
              <w:bottom w:val="single" w:color="auto" w:sz="4" w:space="0"/>
              <w:right w:val="single" w:color="auto" w:sz="6" w:space="0"/>
            </w:tcBorders>
            <w:noWrap w:val="0"/>
            <w:vAlign w:val="center"/>
          </w:tcPr>
          <w:p w14:paraId="571F4E27">
            <w:pPr>
              <w:jc w:val="center"/>
              <w:rPr>
                <w:color w:val="auto"/>
                <w:szCs w:val="21"/>
                <w:highlight w:val="none"/>
              </w:rPr>
            </w:pPr>
            <w:r>
              <w:rPr>
                <w:rFonts w:hint="eastAsia"/>
                <w:color w:val="auto"/>
                <w:szCs w:val="21"/>
                <w:highlight w:val="none"/>
              </w:rPr>
              <w:t>单价</w:t>
            </w:r>
          </w:p>
        </w:tc>
        <w:tc>
          <w:tcPr>
            <w:tcW w:w="4352" w:type="dxa"/>
            <w:gridSpan w:val="8"/>
            <w:tcBorders>
              <w:top w:val="single" w:color="auto" w:sz="4" w:space="0"/>
              <w:left w:val="single" w:color="auto" w:sz="6" w:space="0"/>
              <w:bottom w:val="single" w:color="auto" w:sz="4" w:space="0"/>
              <w:right w:val="single" w:color="auto" w:sz="6" w:space="0"/>
            </w:tcBorders>
            <w:noWrap w:val="0"/>
            <w:vAlign w:val="center"/>
          </w:tcPr>
          <w:p w14:paraId="760A1880">
            <w:pPr>
              <w:jc w:val="center"/>
              <w:rPr>
                <w:color w:val="auto"/>
                <w:szCs w:val="21"/>
                <w:highlight w:val="none"/>
              </w:rPr>
            </w:pPr>
            <w:r>
              <w:rPr>
                <w:rFonts w:hint="eastAsia"/>
                <w:color w:val="auto"/>
                <w:szCs w:val="21"/>
                <w:highlight w:val="none"/>
              </w:rPr>
              <w:t>合价</w:t>
            </w:r>
          </w:p>
        </w:tc>
      </w:tr>
      <w:tr w14:paraId="3DF2C71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vMerge w:val="continue"/>
            <w:tcBorders>
              <w:top w:val="single" w:color="auto" w:sz="4" w:space="0"/>
              <w:left w:val="single" w:color="auto" w:sz="6" w:space="0"/>
              <w:bottom w:val="single" w:color="auto" w:sz="4" w:space="0"/>
              <w:right w:val="single" w:color="auto" w:sz="4" w:space="0"/>
            </w:tcBorders>
            <w:noWrap w:val="0"/>
            <w:vAlign w:val="center"/>
          </w:tcPr>
          <w:p w14:paraId="1D20CFE1">
            <w:pPr>
              <w:widowControl/>
              <w:jc w:val="left"/>
              <w:rPr>
                <w:rFonts w:ascii="宋体" w:hAnsi="宋体"/>
                <w:color w:val="auto"/>
                <w:szCs w:val="21"/>
                <w:highlight w:val="none"/>
              </w:rPr>
            </w:pPr>
          </w:p>
        </w:tc>
        <w:tc>
          <w:tcPr>
            <w:tcW w:w="0" w:type="auto"/>
            <w:gridSpan w:val="2"/>
            <w:vMerge w:val="continue"/>
            <w:tcBorders>
              <w:top w:val="single" w:color="auto" w:sz="4" w:space="0"/>
              <w:left w:val="single" w:color="auto" w:sz="4" w:space="0"/>
              <w:bottom w:val="single" w:color="auto" w:sz="4" w:space="0"/>
              <w:right w:val="single" w:color="auto" w:sz="6" w:space="0"/>
            </w:tcBorders>
            <w:noWrap w:val="0"/>
            <w:vAlign w:val="center"/>
          </w:tcPr>
          <w:p w14:paraId="73DC567B">
            <w:pPr>
              <w:widowControl/>
              <w:jc w:val="left"/>
              <w:rPr>
                <w:color w:val="auto"/>
                <w:szCs w:val="21"/>
                <w:highlight w:val="none"/>
              </w:rPr>
            </w:pPr>
          </w:p>
        </w:tc>
        <w:tc>
          <w:tcPr>
            <w:tcW w:w="0" w:type="auto"/>
            <w:vMerge w:val="continue"/>
            <w:tcBorders>
              <w:top w:val="single" w:color="auto" w:sz="4" w:space="0"/>
              <w:left w:val="single" w:color="auto" w:sz="6" w:space="0"/>
              <w:bottom w:val="single" w:color="auto" w:sz="4" w:space="0"/>
              <w:right w:val="single" w:color="auto" w:sz="4" w:space="0"/>
            </w:tcBorders>
            <w:noWrap w:val="0"/>
            <w:vAlign w:val="center"/>
          </w:tcPr>
          <w:p w14:paraId="0779AFA1">
            <w:pPr>
              <w:widowControl/>
              <w:jc w:val="left"/>
              <w:rPr>
                <w:color w:val="auto"/>
                <w:szCs w:val="21"/>
                <w:highlight w:val="none"/>
              </w:rPr>
            </w:pPr>
          </w:p>
        </w:tc>
        <w:tc>
          <w:tcPr>
            <w:tcW w:w="0" w:type="auto"/>
            <w:gridSpan w:val="2"/>
            <w:vMerge w:val="continue"/>
            <w:tcBorders>
              <w:top w:val="single" w:color="auto" w:sz="4" w:space="0"/>
              <w:left w:val="single" w:color="auto" w:sz="6" w:space="0"/>
              <w:bottom w:val="single" w:color="auto" w:sz="4" w:space="0"/>
              <w:right w:val="single" w:color="auto" w:sz="4" w:space="0"/>
            </w:tcBorders>
            <w:noWrap w:val="0"/>
            <w:vAlign w:val="center"/>
          </w:tcPr>
          <w:p w14:paraId="48328450">
            <w:pPr>
              <w:widowControl/>
              <w:jc w:val="left"/>
              <w:rPr>
                <w:color w:val="auto"/>
                <w:szCs w:val="21"/>
                <w:highlight w:val="none"/>
              </w:rPr>
            </w:pPr>
          </w:p>
        </w:tc>
        <w:tc>
          <w:tcPr>
            <w:tcW w:w="426" w:type="dxa"/>
            <w:tcBorders>
              <w:top w:val="single" w:color="auto" w:sz="4" w:space="0"/>
              <w:left w:val="single" w:color="auto" w:sz="6" w:space="0"/>
              <w:bottom w:val="single" w:color="auto" w:sz="4" w:space="0"/>
              <w:right w:val="single" w:color="auto" w:sz="4" w:space="0"/>
            </w:tcBorders>
            <w:noWrap w:val="0"/>
            <w:vAlign w:val="center"/>
          </w:tcPr>
          <w:p w14:paraId="246AFF78">
            <w:pPr>
              <w:jc w:val="center"/>
              <w:rPr>
                <w:color w:val="auto"/>
                <w:szCs w:val="21"/>
                <w:highlight w:val="none"/>
              </w:rPr>
            </w:pPr>
            <w:r>
              <w:rPr>
                <w:rFonts w:hint="eastAsia"/>
                <w:color w:val="auto"/>
                <w:szCs w:val="21"/>
                <w:highlight w:val="none"/>
              </w:rPr>
              <w:t>人工费</w:t>
            </w: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560ADFF2">
            <w:pPr>
              <w:jc w:val="center"/>
              <w:rPr>
                <w:color w:val="auto"/>
                <w:szCs w:val="21"/>
                <w:highlight w:val="none"/>
              </w:rPr>
            </w:pPr>
            <w:r>
              <w:rPr>
                <w:rFonts w:hint="eastAsia"/>
                <w:color w:val="auto"/>
                <w:szCs w:val="21"/>
                <w:highlight w:val="none"/>
              </w:rPr>
              <w:t>材料费</w:t>
            </w:r>
          </w:p>
        </w:tc>
        <w:tc>
          <w:tcPr>
            <w:tcW w:w="522" w:type="dxa"/>
            <w:tcBorders>
              <w:top w:val="single" w:color="auto" w:sz="4" w:space="0"/>
              <w:left w:val="single" w:color="auto" w:sz="4" w:space="0"/>
              <w:bottom w:val="single" w:color="auto" w:sz="4" w:space="0"/>
              <w:right w:val="single" w:color="auto" w:sz="6" w:space="0"/>
            </w:tcBorders>
            <w:noWrap w:val="0"/>
            <w:vAlign w:val="center"/>
          </w:tcPr>
          <w:p w14:paraId="50B4A142">
            <w:pPr>
              <w:jc w:val="center"/>
              <w:rPr>
                <w:color w:val="auto"/>
                <w:szCs w:val="21"/>
                <w:highlight w:val="none"/>
              </w:rPr>
            </w:pPr>
            <w:r>
              <w:rPr>
                <w:rFonts w:hint="eastAsia"/>
                <w:color w:val="auto"/>
                <w:szCs w:val="21"/>
                <w:highlight w:val="none"/>
              </w:rPr>
              <w:t>机械费</w:t>
            </w:r>
          </w:p>
        </w:tc>
        <w:tc>
          <w:tcPr>
            <w:tcW w:w="625" w:type="dxa"/>
            <w:tcBorders>
              <w:top w:val="single" w:color="auto" w:sz="4" w:space="0"/>
              <w:left w:val="single" w:color="auto" w:sz="4" w:space="0"/>
              <w:bottom w:val="single" w:color="auto" w:sz="4" w:space="0"/>
              <w:right w:val="single" w:color="auto" w:sz="6" w:space="0"/>
            </w:tcBorders>
            <w:noWrap w:val="0"/>
            <w:vAlign w:val="center"/>
          </w:tcPr>
          <w:p w14:paraId="02EAFF7B">
            <w:pPr>
              <w:jc w:val="center"/>
              <w:rPr>
                <w:color w:val="auto"/>
                <w:szCs w:val="21"/>
                <w:highlight w:val="none"/>
              </w:rPr>
            </w:pPr>
            <w:r>
              <w:rPr>
                <w:rFonts w:hint="eastAsia"/>
                <w:color w:val="auto"/>
                <w:szCs w:val="21"/>
                <w:highlight w:val="none"/>
              </w:rPr>
              <w:t>管理费和利润</w:t>
            </w:r>
          </w:p>
        </w:tc>
        <w:tc>
          <w:tcPr>
            <w:tcW w:w="943" w:type="dxa"/>
            <w:tcBorders>
              <w:top w:val="single" w:color="auto" w:sz="4" w:space="0"/>
              <w:left w:val="single" w:color="auto" w:sz="6" w:space="0"/>
              <w:bottom w:val="single" w:color="auto" w:sz="4" w:space="0"/>
              <w:right w:val="single" w:color="auto" w:sz="4" w:space="0"/>
            </w:tcBorders>
            <w:noWrap w:val="0"/>
            <w:vAlign w:val="center"/>
          </w:tcPr>
          <w:p w14:paraId="60EDD12C">
            <w:pPr>
              <w:jc w:val="center"/>
              <w:rPr>
                <w:color w:val="auto"/>
                <w:szCs w:val="21"/>
                <w:highlight w:val="none"/>
              </w:rPr>
            </w:pPr>
            <w:r>
              <w:rPr>
                <w:rFonts w:hint="eastAsia"/>
                <w:color w:val="auto"/>
                <w:szCs w:val="21"/>
                <w:highlight w:val="none"/>
              </w:rPr>
              <w:t>人工费</w:t>
            </w:r>
          </w:p>
        </w:tc>
        <w:tc>
          <w:tcPr>
            <w:tcW w:w="1351" w:type="dxa"/>
            <w:gridSpan w:val="4"/>
            <w:tcBorders>
              <w:top w:val="single" w:color="auto" w:sz="4" w:space="0"/>
              <w:left w:val="single" w:color="auto" w:sz="6" w:space="0"/>
              <w:bottom w:val="single" w:color="auto" w:sz="4" w:space="0"/>
              <w:right w:val="single" w:color="auto" w:sz="4" w:space="0"/>
            </w:tcBorders>
            <w:noWrap w:val="0"/>
            <w:vAlign w:val="center"/>
          </w:tcPr>
          <w:p w14:paraId="7C09DBB5">
            <w:pPr>
              <w:jc w:val="center"/>
              <w:rPr>
                <w:color w:val="auto"/>
                <w:szCs w:val="21"/>
                <w:highlight w:val="none"/>
              </w:rPr>
            </w:pPr>
            <w:r>
              <w:rPr>
                <w:rFonts w:hint="eastAsia"/>
                <w:color w:val="auto"/>
                <w:szCs w:val="21"/>
                <w:highlight w:val="none"/>
              </w:rPr>
              <w:t>材料费</w:t>
            </w:r>
          </w:p>
        </w:tc>
        <w:tc>
          <w:tcPr>
            <w:tcW w:w="948" w:type="dxa"/>
            <w:gridSpan w:val="2"/>
            <w:tcBorders>
              <w:top w:val="single" w:color="auto" w:sz="4" w:space="0"/>
              <w:left w:val="single" w:color="auto" w:sz="6" w:space="0"/>
              <w:bottom w:val="single" w:color="auto" w:sz="4" w:space="0"/>
              <w:right w:val="single" w:color="auto" w:sz="6" w:space="0"/>
            </w:tcBorders>
            <w:noWrap w:val="0"/>
            <w:vAlign w:val="center"/>
          </w:tcPr>
          <w:p w14:paraId="65A65C2A">
            <w:pPr>
              <w:jc w:val="center"/>
              <w:rPr>
                <w:color w:val="auto"/>
                <w:szCs w:val="21"/>
                <w:highlight w:val="none"/>
              </w:rPr>
            </w:pPr>
            <w:r>
              <w:rPr>
                <w:rFonts w:hint="eastAsia"/>
                <w:color w:val="auto"/>
                <w:szCs w:val="21"/>
                <w:highlight w:val="none"/>
              </w:rPr>
              <w:t>机械费</w:t>
            </w:r>
          </w:p>
        </w:tc>
        <w:tc>
          <w:tcPr>
            <w:tcW w:w="1110" w:type="dxa"/>
            <w:tcBorders>
              <w:top w:val="single" w:color="auto" w:sz="4" w:space="0"/>
              <w:left w:val="single" w:color="auto" w:sz="6" w:space="0"/>
              <w:bottom w:val="single" w:color="auto" w:sz="4" w:space="0"/>
              <w:right w:val="single" w:color="auto" w:sz="6" w:space="0"/>
            </w:tcBorders>
            <w:noWrap w:val="0"/>
            <w:vAlign w:val="center"/>
          </w:tcPr>
          <w:p w14:paraId="53C39087">
            <w:pPr>
              <w:jc w:val="center"/>
              <w:rPr>
                <w:color w:val="auto"/>
                <w:szCs w:val="21"/>
                <w:highlight w:val="none"/>
              </w:rPr>
            </w:pPr>
            <w:r>
              <w:rPr>
                <w:rFonts w:hint="eastAsia"/>
                <w:color w:val="auto"/>
                <w:szCs w:val="21"/>
                <w:highlight w:val="none"/>
              </w:rPr>
              <w:t>管理</w:t>
            </w:r>
          </w:p>
          <w:p w14:paraId="14DDA055">
            <w:pPr>
              <w:jc w:val="center"/>
              <w:rPr>
                <w:color w:val="auto"/>
                <w:szCs w:val="21"/>
                <w:highlight w:val="none"/>
              </w:rPr>
            </w:pPr>
            <w:r>
              <w:rPr>
                <w:rFonts w:hint="eastAsia"/>
                <w:color w:val="auto"/>
                <w:szCs w:val="21"/>
                <w:highlight w:val="none"/>
              </w:rPr>
              <w:t>费和</w:t>
            </w:r>
          </w:p>
          <w:p w14:paraId="0E1198B0">
            <w:pPr>
              <w:jc w:val="center"/>
              <w:rPr>
                <w:color w:val="auto"/>
                <w:szCs w:val="21"/>
                <w:highlight w:val="none"/>
              </w:rPr>
            </w:pPr>
            <w:r>
              <w:rPr>
                <w:rFonts w:hint="eastAsia"/>
                <w:color w:val="auto"/>
                <w:szCs w:val="21"/>
                <w:highlight w:val="none"/>
              </w:rPr>
              <w:t>利润</w:t>
            </w:r>
          </w:p>
        </w:tc>
      </w:tr>
      <w:tr w14:paraId="6FB34ED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0" w:type="dxa"/>
            <w:tcBorders>
              <w:top w:val="single" w:color="auto" w:sz="4" w:space="0"/>
              <w:left w:val="single" w:color="auto" w:sz="6" w:space="0"/>
              <w:bottom w:val="single" w:color="auto" w:sz="4" w:space="0"/>
              <w:right w:val="single" w:color="auto" w:sz="4" w:space="0"/>
            </w:tcBorders>
            <w:noWrap w:val="0"/>
            <w:vAlign w:val="center"/>
          </w:tcPr>
          <w:p w14:paraId="4AA468C6">
            <w:pPr>
              <w:jc w:val="center"/>
              <w:rPr>
                <w:rFonts w:ascii="黑体" w:eastAsia="黑体"/>
                <w:color w:val="auto"/>
                <w:szCs w:val="21"/>
                <w:highlight w:val="none"/>
              </w:rPr>
            </w:pPr>
          </w:p>
        </w:tc>
        <w:tc>
          <w:tcPr>
            <w:tcW w:w="683" w:type="dxa"/>
            <w:gridSpan w:val="2"/>
            <w:tcBorders>
              <w:top w:val="single" w:color="auto" w:sz="4" w:space="0"/>
              <w:left w:val="single" w:color="auto" w:sz="4" w:space="0"/>
              <w:bottom w:val="single" w:color="auto" w:sz="4" w:space="0"/>
              <w:right w:val="single" w:color="auto" w:sz="6" w:space="0"/>
            </w:tcBorders>
            <w:noWrap w:val="0"/>
            <w:vAlign w:val="center"/>
          </w:tcPr>
          <w:p w14:paraId="05AAEBE0">
            <w:pPr>
              <w:jc w:val="center"/>
              <w:rPr>
                <w:color w:val="auto"/>
                <w:szCs w:val="21"/>
                <w:highlight w:val="none"/>
              </w:rPr>
            </w:pPr>
          </w:p>
        </w:tc>
        <w:tc>
          <w:tcPr>
            <w:tcW w:w="683" w:type="dxa"/>
            <w:tcBorders>
              <w:top w:val="single" w:color="auto" w:sz="4" w:space="0"/>
              <w:left w:val="single" w:color="auto" w:sz="6" w:space="0"/>
              <w:bottom w:val="single" w:color="auto" w:sz="4" w:space="0"/>
              <w:right w:val="single" w:color="auto" w:sz="4" w:space="0"/>
            </w:tcBorders>
            <w:noWrap w:val="0"/>
            <w:vAlign w:val="center"/>
          </w:tcPr>
          <w:p w14:paraId="535F8268">
            <w:pPr>
              <w:jc w:val="center"/>
              <w:rPr>
                <w:color w:val="auto"/>
                <w:szCs w:val="21"/>
                <w:highlight w:val="none"/>
              </w:rPr>
            </w:pPr>
          </w:p>
        </w:tc>
        <w:tc>
          <w:tcPr>
            <w:tcW w:w="426" w:type="dxa"/>
            <w:gridSpan w:val="2"/>
            <w:tcBorders>
              <w:top w:val="single" w:color="auto" w:sz="4" w:space="0"/>
              <w:left w:val="single" w:color="auto" w:sz="6" w:space="0"/>
              <w:bottom w:val="single" w:color="auto" w:sz="4" w:space="0"/>
              <w:right w:val="single" w:color="auto" w:sz="4" w:space="0"/>
            </w:tcBorders>
            <w:noWrap w:val="0"/>
            <w:vAlign w:val="center"/>
          </w:tcPr>
          <w:p w14:paraId="1A5BE874">
            <w:pPr>
              <w:jc w:val="center"/>
              <w:rPr>
                <w:color w:val="auto"/>
                <w:szCs w:val="21"/>
                <w:highlight w:val="none"/>
              </w:rPr>
            </w:pPr>
          </w:p>
        </w:tc>
        <w:tc>
          <w:tcPr>
            <w:tcW w:w="426" w:type="dxa"/>
            <w:tcBorders>
              <w:top w:val="single" w:color="auto" w:sz="4" w:space="0"/>
              <w:left w:val="single" w:color="auto" w:sz="6" w:space="0"/>
              <w:bottom w:val="single" w:color="auto" w:sz="4" w:space="0"/>
              <w:right w:val="single" w:color="auto" w:sz="4" w:space="0"/>
            </w:tcBorders>
            <w:noWrap w:val="0"/>
            <w:vAlign w:val="center"/>
          </w:tcPr>
          <w:p w14:paraId="2317E953">
            <w:pPr>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5DD95A97">
            <w:pPr>
              <w:jc w:val="center"/>
              <w:rPr>
                <w:color w:val="auto"/>
                <w:szCs w:val="21"/>
                <w:highlight w:val="none"/>
              </w:rPr>
            </w:pPr>
          </w:p>
        </w:tc>
        <w:tc>
          <w:tcPr>
            <w:tcW w:w="522" w:type="dxa"/>
            <w:tcBorders>
              <w:top w:val="single" w:color="auto" w:sz="4" w:space="0"/>
              <w:left w:val="single" w:color="auto" w:sz="4" w:space="0"/>
              <w:bottom w:val="single" w:color="auto" w:sz="4" w:space="0"/>
              <w:right w:val="single" w:color="auto" w:sz="6" w:space="0"/>
            </w:tcBorders>
            <w:noWrap w:val="0"/>
            <w:vAlign w:val="center"/>
          </w:tcPr>
          <w:p w14:paraId="11FC7C95">
            <w:pPr>
              <w:jc w:val="center"/>
              <w:rPr>
                <w:color w:val="auto"/>
                <w:szCs w:val="21"/>
                <w:highlight w:val="none"/>
              </w:rPr>
            </w:pPr>
          </w:p>
        </w:tc>
        <w:tc>
          <w:tcPr>
            <w:tcW w:w="625" w:type="dxa"/>
            <w:tcBorders>
              <w:top w:val="single" w:color="auto" w:sz="4" w:space="0"/>
              <w:left w:val="single" w:color="auto" w:sz="4" w:space="0"/>
              <w:bottom w:val="single" w:color="auto" w:sz="4" w:space="0"/>
              <w:right w:val="single" w:color="auto" w:sz="6" w:space="0"/>
            </w:tcBorders>
            <w:noWrap w:val="0"/>
            <w:vAlign w:val="center"/>
          </w:tcPr>
          <w:p w14:paraId="7FE608C9">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6EAA9121">
            <w:pPr>
              <w:jc w:val="center"/>
              <w:rPr>
                <w:color w:val="auto"/>
                <w:szCs w:val="21"/>
                <w:highlight w:val="none"/>
              </w:rPr>
            </w:pPr>
          </w:p>
        </w:tc>
        <w:tc>
          <w:tcPr>
            <w:tcW w:w="1351" w:type="dxa"/>
            <w:gridSpan w:val="4"/>
            <w:tcBorders>
              <w:top w:val="single" w:color="auto" w:sz="4" w:space="0"/>
              <w:left w:val="single" w:color="auto" w:sz="6" w:space="0"/>
              <w:bottom w:val="single" w:color="auto" w:sz="4" w:space="0"/>
              <w:right w:val="single" w:color="auto" w:sz="4" w:space="0"/>
            </w:tcBorders>
            <w:noWrap w:val="0"/>
            <w:vAlign w:val="center"/>
          </w:tcPr>
          <w:p w14:paraId="48F31536">
            <w:pPr>
              <w:jc w:val="center"/>
              <w:rPr>
                <w:color w:val="auto"/>
                <w:szCs w:val="21"/>
                <w:highlight w:val="none"/>
              </w:rPr>
            </w:pPr>
          </w:p>
        </w:tc>
        <w:tc>
          <w:tcPr>
            <w:tcW w:w="948" w:type="dxa"/>
            <w:gridSpan w:val="2"/>
            <w:tcBorders>
              <w:top w:val="single" w:color="auto" w:sz="4" w:space="0"/>
              <w:left w:val="single" w:color="auto" w:sz="6" w:space="0"/>
              <w:bottom w:val="single" w:color="auto" w:sz="4" w:space="0"/>
              <w:right w:val="single" w:color="auto" w:sz="6" w:space="0"/>
            </w:tcBorders>
            <w:noWrap w:val="0"/>
            <w:vAlign w:val="center"/>
          </w:tcPr>
          <w:p w14:paraId="504ACC45">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56F2B735">
            <w:pPr>
              <w:jc w:val="center"/>
              <w:rPr>
                <w:color w:val="auto"/>
                <w:szCs w:val="21"/>
                <w:highlight w:val="none"/>
              </w:rPr>
            </w:pPr>
          </w:p>
        </w:tc>
      </w:tr>
      <w:tr w14:paraId="60AAB02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tcBorders>
              <w:top w:val="single" w:color="auto" w:sz="4" w:space="0"/>
              <w:left w:val="single" w:color="auto" w:sz="6" w:space="0"/>
              <w:bottom w:val="single" w:color="auto" w:sz="4" w:space="0"/>
              <w:right w:val="single" w:color="auto" w:sz="4" w:space="0"/>
            </w:tcBorders>
            <w:noWrap w:val="0"/>
            <w:vAlign w:val="center"/>
          </w:tcPr>
          <w:p w14:paraId="6A4ECED0">
            <w:pPr>
              <w:jc w:val="center"/>
              <w:rPr>
                <w:rFonts w:ascii="黑体" w:eastAsia="黑体"/>
                <w:color w:val="auto"/>
                <w:szCs w:val="21"/>
                <w:highlight w:val="none"/>
              </w:rPr>
            </w:pPr>
          </w:p>
        </w:tc>
        <w:tc>
          <w:tcPr>
            <w:tcW w:w="683" w:type="dxa"/>
            <w:gridSpan w:val="2"/>
            <w:tcBorders>
              <w:top w:val="single" w:color="auto" w:sz="4" w:space="0"/>
              <w:left w:val="single" w:color="auto" w:sz="4" w:space="0"/>
              <w:bottom w:val="single" w:color="auto" w:sz="4" w:space="0"/>
              <w:right w:val="single" w:color="auto" w:sz="6" w:space="0"/>
            </w:tcBorders>
            <w:noWrap w:val="0"/>
            <w:vAlign w:val="center"/>
          </w:tcPr>
          <w:p w14:paraId="4910A313">
            <w:pPr>
              <w:jc w:val="center"/>
              <w:rPr>
                <w:color w:val="auto"/>
                <w:szCs w:val="21"/>
                <w:highlight w:val="none"/>
              </w:rPr>
            </w:pPr>
          </w:p>
        </w:tc>
        <w:tc>
          <w:tcPr>
            <w:tcW w:w="683" w:type="dxa"/>
            <w:tcBorders>
              <w:top w:val="single" w:color="auto" w:sz="4" w:space="0"/>
              <w:left w:val="single" w:color="auto" w:sz="6" w:space="0"/>
              <w:bottom w:val="single" w:color="auto" w:sz="4" w:space="0"/>
              <w:right w:val="single" w:color="auto" w:sz="4" w:space="0"/>
            </w:tcBorders>
            <w:noWrap w:val="0"/>
            <w:vAlign w:val="center"/>
          </w:tcPr>
          <w:p w14:paraId="19DDBF1D">
            <w:pPr>
              <w:jc w:val="center"/>
              <w:rPr>
                <w:color w:val="auto"/>
                <w:szCs w:val="21"/>
                <w:highlight w:val="none"/>
              </w:rPr>
            </w:pPr>
          </w:p>
        </w:tc>
        <w:tc>
          <w:tcPr>
            <w:tcW w:w="426" w:type="dxa"/>
            <w:gridSpan w:val="2"/>
            <w:tcBorders>
              <w:top w:val="single" w:color="auto" w:sz="4" w:space="0"/>
              <w:left w:val="single" w:color="auto" w:sz="6" w:space="0"/>
              <w:bottom w:val="single" w:color="auto" w:sz="4" w:space="0"/>
              <w:right w:val="single" w:color="auto" w:sz="4" w:space="0"/>
            </w:tcBorders>
            <w:noWrap w:val="0"/>
            <w:vAlign w:val="center"/>
          </w:tcPr>
          <w:p w14:paraId="163E2B3E">
            <w:pPr>
              <w:jc w:val="center"/>
              <w:rPr>
                <w:color w:val="auto"/>
                <w:szCs w:val="21"/>
                <w:highlight w:val="none"/>
              </w:rPr>
            </w:pPr>
          </w:p>
        </w:tc>
        <w:tc>
          <w:tcPr>
            <w:tcW w:w="426" w:type="dxa"/>
            <w:tcBorders>
              <w:top w:val="single" w:color="auto" w:sz="4" w:space="0"/>
              <w:left w:val="single" w:color="auto" w:sz="6" w:space="0"/>
              <w:bottom w:val="single" w:color="auto" w:sz="4" w:space="0"/>
              <w:right w:val="single" w:color="auto" w:sz="4" w:space="0"/>
            </w:tcBorders>
            <w:noWrap w:val="0"/>
            <w:vAlign w:val="center"/>
          </w:tcPr>
          <w:p w14:paraId="38687967">
            <w:pPr>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4C8D32DB">
            <w:pPr>
              <w:jc w:val="center"/>
              <w:rPr>
                <w:color w:val="auto"/>
                <w:szCs w:val="21"/>
                <w:highlight w:val="none"/>
              </w:rPr>
            </w:pPr>
          </w:p>
        </w:tc>
        <w:tc>
          <w:tcPr>
            <w:tcW w:w="522" w:type="dxa"/>
            <w:tcBorders>
              <w:top w:val="single" w:color="auto" w:sz="4" w:space="0"/>
              <w:left w:val="single" w:color="auto" w:sz="4" w:space="0"/>
              <w:bottom w:val="single" w:color="auto" w:sz="4" w:space="0"/>
              <w:right w:val="single" w:color="auto" w:sz="6" w:space="0"/>
            </w:tcBorders>
            <w:noWrap w:val="0"/>
            <w:vAlign w:val="center"/>
          </w:tcPr>
          <w:p w14:paraId="7A9A0C84">
            <w:pPr>
              <w:jc w:val="center"/>
              <w:rPr>
                <w:color w:val="auto"/>
                <w:szCs w:val="21"/>
                <w:highlight w:val="none"/>
              </w:rPr>
            </w:pPr>
          </w:p>
        </w:tc>
        <w:tc>
          <w:tcPr>
            <w:tcW w:w="625" w:type="dxa"/>
            <w:tcBorders>
              <w:top w:val="single" w:color="auto" w:sz="4" w:space="0"/>
              <w:left w:val="single" w:color="auto" w:sz="4" w:space="0"/>
              <w:bottom w:val="single" w:color="auto" w:sz="4" w:space="0"/>
              <w:right w:val="single" w:color="auto" w:sz="6" w:space="0"/>
            </w:tcBorders>
            <w:noWrap w:val="0"/>
            <w:vAlign w:val="center"/>
          </w:tcPr>
          <w:p w14:paraId="4AAB8F0C">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56C2F048">
            <w:pPr>
              <w:jc w:val="center"/>
              <w:rPr>
                <w:color w:val="auto"/>
                <w:szCs w:val="21"/>
                <w:highlight w:val="none"/>
              </w:rPr>
            </w:pPr>
          </w:p>
        </w:tc>
        <w:tc>
          <w:tcPr>
            <w:tcW w:w="1351" w:type="dxa"/>
            <w:gridSpan w:val="4"/>
            <w:tcBorders>
              <w:top w:val="single" w:color="auto" w:sz="4" w:space="0"/>
              <w:left w:val="single" w:color="auto" w:sz="6" w:space="0"/>
              <w:bottom w:val="single" w:color="auto" w:sz="4" w:space="0"/>
              <w:right w:val="single" w:color="auto" w:sz="4" w:space="0"/>
            </w:tcBorders>
            <w:noWrap w:val="0"/>
            <w:vAlign w:val="center"/>
          </w:tcPr>
          <w:p w14:paraId="3B2522CB">
            <w:pPr>
              <w:jc w:val="center"/>
              <w:rPr>
                <w:color w:val="auto"/>
                <w:szCs w:val="21"/>
                <w:highlight w:val="none"/>
              </w:rPr>
            </w:pPr>
          </w:p>
        </w:tc>
        <w:tc>
          <w:tcPr>
            <w:tcW w:w="948" w:type="dxa"/>
            <w:gridSpan w:val="2"/>
            <w:tcBorders>
              <w:top w:val="single" w:color="auto" w:sz="4" w:space="0"/>
              <w:left w:val="single" w:color="auto" w:sz="6" w:space="0"/>
              <w:bottom w:val="single" w:color="auto" w:sz="4" w:space="0"/>
              <w:right w:val="single" w:color="auto" w:sz="6" w:space="0"/>
            </w:tcBorders>
            <w:noWrap w:val="0"/>
            <w:vAlign w:val="center"/>
          </w:tcPr>
          <w:p w14:paraId="768C29FC">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2BC1E480">
            <w:pPr>
              <w:jc w:val="center"/>
              <w:rPr>
                <w:color w:val="auto"/>
                <w:szCs w:val="21"/>
                <w:highlight w:val="none"/>
              </w:rPr>
            </w:pPr>
          </w:p>
        </w:tc>
      </w:tr>
      <w:tr w14:paraId="531AF28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tcBorders>
              <w:top w:val="single" w:color="auto" w:sz="4" w:space="0"/>
              <w:left w:val="single" w:color="auto" w:sz="6" w:space="0"/>
              <w:bottom w:val="single" w:color="auto" w:sz="4" w:space="0"/>
              <w:right w:val="single" w:color="auto" w:sz="4" w:space="0"/>
            </w:tcBorders>
            <w:noWrap w:val="0"/>
            <w:vAlign w:val="center"/>
          </w:tcPr>
          <w:p w14:paraId="7A7306F0">
            <w:pPr>
              <w:jc w:val="center"/>
              <w:rPr>
                <w:rFonts w:ascii="黑体" w:eastAsia="黑体"/>
                <w:color w:val="auto"/>
                <w:szCs w:val="21"/>
                <w:highlight w:val="none"/>
              </w:rPr>
            </w:pPr>
          </w:p>
        </w:tc>
        <w:tc>
          <w:tcPr>
            <w:tcW w:w="683" w:type="dxa"/>
            <w:gridSpan w:val="2"/>
            <w:tcBorders>
              <w:top w:val="single" w:color="auto" w:sz="4" w:space="0"/>
              <w:left w:val="single" w:color="auto" w:sz="4" w:space="0"/>
              <w:bottom w:val="single" w:color="auto" w:sz="4" w:space="0"/>
              <w:right w:val="single" w:color="auto" w:sz="6" w:space="0"/>
            </w:tcBorders>
            <w:noWrap w:val="0"/>
            <w:vAlign w:val="center"/>
          </w:tcPr>
          <w:p w14:paraId="72459412">
            <w:pPr>
              <w:jc w:val="center"/>
              <w:rPr>
                <w:color w:val="auto"/>
                <w:szCs w:val="21"/>
                <w:highlight w:val="none"/>
              </w:rPr>
            </w:pPr>
          </w:p>
        </w:tc>
        <w:tc>
          <w:tcPr>
            <w:tcW w:w="683" w:type="dxa"/>
            <w:tcBorders>
              <w:top w:val="single" w:color="auto" w:sz="4" w:space="0"/>
              <w:left w:val="single" w:color="auto" w:sz="6" w:space="0"/>
              <w:bottom w:val="single" w:color="auto" w:sz="4" w:space="0"/>
              <w:right w:val="single" w:color="auto" w:sz="4" w:space="0"/>
            </w:tcBorders>
            <w:noWrap w:val="0"/>
            <w:vAlign w:val="center"/>
          </w:tcPr>
          <w:p w14:paraId="5EAC0AAD">
            <w:pPr>
              <w:jc w:val="center"/>
              <w:rPr>
                <w:color w:val="auto"/>
                <w:szCs w:val="21"/>
                <w:highlight w:val="none"/>
              </w:rPr>
            </w:pPr>
          </w:p>
        </w:tc>
        <w:tc>
          <w:tcPr>
            <w:tcW w:w="426" w:type="dxa"/>
            <w:gridSpan w:val="2"/>
            <w:tcBorders>
              <w:top w:val="single" w:color="auto" w:sz="4" w:space="0"/>
              <w:left w:val="single" w:color="auto" w:sz="6" w:space="0"/>
              <w:bottom w:val="single" w:color="auto" w:sz="4" w:space="0"/>
              <w:right w:val="single" w:color="auto" w:sz="4" w:space="0"/>
            </w:tcBorders>
            <w:noWrap w:val="0"/>
            <w:vAlign w:val="center"/>
          </w:tcPr>
          <w:p w14:paraId="7133F500">
            <w:pPr>
              <w:jc w:val="center"/>
              <w:rPr>
                <w:color w:val="auto"/>
                <w:szCs w:val="21"/>
                <w:highlight w:val="none"/>
              </w:rPr>
            </w:pPr>
          </w:p>
        </w:tc>
        <w:tc>
          <w:tcPr>
            <w:tcW w:w="426" w:type="dxa"/>
            <w:tcBorders>
              <w:top w:val="single" w:color="auto" w:sz="4" w:space="0"/>
              <w:left w:val="single" w:color="auto" w:sz="6" w:space="0"/>
              <w:bottom w:val="single" w:color="auto" w:sz="4" w:space="0"/>
              <w:right w:val="single" w:color="auto" w:sz="4" w:space="0"/>
            </w:tcBorders>
            <w:noWrap w:val="0"/>
            <w:vAlign w:val="center"/>
          </w:tcPr>
          <w:p w14:paraId="37CDCB3B">
            <w:pPr>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7779802B">
            <w:pPr>
              <w:jc w:val="center"/>
              <w:rPr>
                <w:color w:val="auto"/>
                <w:szCs w:val="21"/>
                <w:highlight w:val="none"/>
              </w:rPr>
            </w:pPr>
          </w:p>
        </w:tc>
        <w:tc>
          <w:tcPr>
            <w:tcW w:w="522" w:type="dxa"/>
            <w:tcBorders>
              <w:top w:val="single" w:color="auto" w:sz="4" w:space="0"/>
              <w:left w:val="single" w:color="auto" w:sz="4" w:space="0"/>
              <w:bottom w:val="single" w:color="auto" w:sz="4" w:space="0"/>
              <w:right w:val="single" w:color="auto" w:sz="6" w:space="0"/>
            </w:tcBorders>
            <w:noWrap w:val="0"/>
            <w:vAlign w:val="center"/>
          </w:tcPr>
          <w:p w14:paraId="132B4240">
            <w:pPr>
              <w:jc w:val="center"/>
              <w:rPr>
                <w:color w:val="auto"/>
                <w:szCs w:val="21"/>
                <w:highlight w:val="none"/>
              </w:rPr>
            </w:pPr>
          </w:p>
        </w:tc>
        <w:tc>
          <w:tcPr>
            <w:tcW w:w="625" w:type="dxa"/>
            <w:tcBorders>
              <w:top w:val="single" w:color="auto" w:sz="4" w:space="0"/>
              <w:left w:val="single" w:color="auto" w:sz="4" w:space="0"/>
              <w:bottom w:val="single" w:color="auto" w:sz="4" w:space="0"/>
              <w:right w:val="single" w:color="auto" w:sz="6" w:space="0"/>
            </w:tcBorders>
            <w:noWrap w:val="0"/>
            <w:vAlign w:val="center"/>
          </w:tcPr>
          <w:p w14:paraId="46F768F5">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7B7C70A8">
            <w:pPr>
              <w:jc w:val="center"/>
              <w:rPr>
                <w:color w:val="auto"/>
                <w:szCs w:val="21"/>
                <w:highlight w:val="none"/>
              </w:rPr>
            </w:pPr>
          </w:p>
        </w:tc>
        <w:tc>
          <w:tcPr>
            <w:tcW w:w="1351" w:type="dxa"/>
            <w:gridSpan w:val="4"/>
            <w:tcBorders>
              <w:top w:val="single" w:color="auto" w:sz="4" w:space="0"/>
              <w:left w:val="single" w:color="auto" w:sz="6" w:space="0"/>
              <w:bottom w:val="single" w:color="auto" w:sz="4" w:space="0"/>
              <w:right w:val="single" w:color="auto" w:sz="4" w:space="0"/>
            </w:tcBorders>
            <w:noWrap w:val="0"/>
            <w:vAlign w:val="center"/>
          </w:tcPr>
          <w:p w14:paraId="1F05B36C">
            <w:pPr>
              <w:jc w:val="center"/>
              <w:rPr>
                <w:color w:val="auto"/>
                <w:szCs w:val="21"/>
                <w:highlight w:val="none"/>
              </w:rPr>
            </w:pPr>
          </w:p>
        </w:tc>
        <w:tc>
          <w:tcPr>
            <w:tcW w:w="948" w:type="dxa"/>
            <w:gridSpan w:val="2"/>
            <w:tcBorders>
              <w:top w:val="single" w:color="auto" w:sz="4" w:space="0"/>
              <w:left w:val="single" w:color="auto" w:sz="6" w:space="0"/>
              <w:bottom w:val="single" w:color="auto" w:sz="4" w:space="0"/>
              <w:right w:val="single" w:color="auto" w:sz="6" w:space="0"/>
            </w:tcBorders>
            <w:noWrap w:val="0"/>
            <w:vAlign w:val="center"/>
          </w:tcPr>
          <w:p w14:paraId="3FEBC6AD">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24FF3C78">
            <w:pPr>
              <w:jc w:val="center"/>
              <w:rPr>
                <w:color w:val="auto"/>
                <w:szCs w:val="21"/>
                <w:highlight w:val="none"/>
              </w:rPr>
            </w:pPr>
          </w:p>
        </w:tc>
      </w:tr>
      <w:tr w14:paraId="4A15BCF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tcBorders>
              <w:top w:val="single" w:color="auto" w:sz="4" w:space="0"/>
              <w:left w:val="single" w:color="auto" w:sz="6" w:space="0"/>
              <w:bottom w:val="single" w:color="auto" w:sz="4" w:space="0"/>
              <w:right w:val="single" w:color="auto" w:sz="4" w:space="0"/>
            </w:tcBorders>
            <w:noWrap w:val="0"/>
            <w:vAlign w:val="center"/>
          </w:tcPr>
          <w:p w14:paraId="388AA396">
            <w:pPr>
              <w:jc w:val="center"/>
              <w:rPr>
                <w:rFonts w:ascii="黑体" w:eastAsia="黑体"/>
                <w:color w:val="auto"/>
                <w:szCs w:val="21"/>
                <w:highlight w:val="none"/>
              </w:rPr>
            </w:pPr>
          </w:p>
        </w:tc>
        <w:tc>
          <w:tcPr>
            <w:tcW w:w="683" w:type="dxa"/>
            <w:gridSpan w:val="2"/>
            <w:tcBorders>
              <w:top w:val="single" w:color="auto" w:sz="4" w:space="0"/>
              <w:left w:val="single" w:color="auto" w:sz="4" w:space="0"/>
              <w:bottom w:val="single" w:color="auto" w:sz="4" w:space="0"/>
              <w:right w:val="single" w:color="auto" w:sz="6" w:space="0"/>
            </w:tcBorders>
            <w:noWrap w:val="0"/>
            <w:vAlign w:val="center"/>
          </w:tcPr>
          <w:p w14:paraId="57081AF7">
            <w:pPr>
              <w:jc w:val="center"/>
              <w:rPr>
                <w:color w:val="auto"/>
                <w:szCs w:val="21"/>
                <w:highlight w:val="none"/>
              </w:rPr>
            </w:pPr>
          </w:p>
        </w:tc>
        <w:tc>
          <w:tcPr>
            <w:tcW w:w="683" w:type="dxa"/>
            <w:tcBorders>
              <w:top w:val="single" w:color="auto" w:sz="4" w:space="0"/>
              <w:left w:val="single" w:color="auto" w:sz="6" w:space="0"/>
              <w:bottom w:val="single" w:color="auto" w:sz="4" w:space="0"/>
              <w:right w:val="single" w:color="auto" w:sz="4" w:space="0"/>
            </w:tcBorders>
            <w:noWrap w:val="0"/>
            <w:vAlign w:val="center"/>
          </w:tcPr>
          <w:p w14:paraId="09CC7A6F">
            <w:pPr>
              <w:jc w:val="center"/>
              <w:rPr>
                <w:color w:val="auto"/>
                <w:szCs w:val="21"/>
                <w:highlight w:val="none"/>
              </w:rPr>
            </w:pPr>
          </w:p>
        </w:tc>
        <w:tc>
          <w:tcPr>
            <w:tcW w:w="426" w:type="dxa"/>
            <w:gridSpan w:val="2"/>
            <w:tcBorders>
              <w:top w:val="single" w:color="auto" w:sz="4" w:space="0"/>
              <w:left w:val="single" w:color="auto" w:sz="6" w:space="0"/>
              <w:bottom w:val="single" w:color="auto" w:sz="4" w:space="0"/>
              <w:right w:val="single" w:color="auto" w:sz="4" w:space="0"/>
            </w:tcBorders>
            <w:noWrap w:val="0"/>
            <w:vAlign w:val="center"/>
          </w:tcPr>
          <w:p w14:paraId="33E1E308">
            <w:pPr>
              <w:jc w:val="center"/>
              <w:rPr>
                <w:color w:val="auto"/>
                <w:szCs w:val="21"/>
                <w:highlight w:val="none"/>
              </w:rPr>
            </w:pPr>
          </w:p>
        </w:tc>
        <w:tc>
          <w:tcPr>
            <w:tcW w:w="426" w:type="dxa"/>
            <w:tcBorders>
              <w:top w:val="single" w:color="auto" w:sz="4" w:space="0"/>
              <w:left w:val="single" w:color="auto" w:sz="6" w:space="0"/>
              <w:bottom w:val="single" w:color="auto" w:sz="4" w:space="0"/>
              <w:right w:val="single" w:color="auto" w:sz="4" w:space="0"/>
            </w:tcBorders>
            <w:noWrap w:val="0"/>
            <w:vAlign w:val="center"/>
          </w:tcPr>
          <w:p w14:paraId="000A81F9">
            <w:pPr>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1E94BF2F">
            <w:pPr>
              <w:jc w:val="center"/>
              <w:rPr>
                <w:color w:val="auto"/>
                <w:szCs w:val="21"/>
                <w:highlight w:val="none"/>
              </w:rPr>
            </w:pPr>
          </w:p>
        </w:tc>
        <w:tc>
          <w:tcPr>
            <w:tcW w:w="522" w:type="dxa"/>
            <w:tcBorders>
              <w:top w:val="single" w:color="auto" w:sz="4" w:space="0"/>
              <w:left w:val="single" w:color="auto" w:sz="4" w:space="0"/>
              <w:bottom w:val="single" w:color="auto" w:sz="4" w:space="0"/>
              <w:right w:val="single" w:color="auto" w:sz="6" w:space="0"/>
            </w:tcBorders>
            <w:noWrap w:val="0"/>
            <w:vAlign w:val="center"/>
          </w:tcPr>
          <w:p w14:paraId="133E526A">
            <w:pPr>
              <w:jc w:val="center"/>
              <w:rPr>
                <w:color w:val="auto"/>
                <w:szCs w:val="21"/>
                <w:highlight w:val="none"/>
              </w:rPr>
            </w:pPr>
          </w:p>
        </w:tc>
        <w:tc>
          <w:tcPr>
            <w:tcW w:w="625" w:type="dxa"/>
            <w:tcBorders>
              <w:top w:val="single" w:color="auto" w:sz="4" w:space="0"/>
              <w:left w:val="single" w:color="auto" w:sz="4" w:space="0"/>
              <w:bottom w:val="single" w:color="auto" w:sz="4" w:space="0"/>
              <w:right w:val="single" w:color="auto" w:sz="6" w:space="0"/>
            </w:tcBorders>
            <w:noWrap w:val="0"/>
            <w:vAlign w:val="center"/>
          </w:tcPr>
          <w:p w14:paraId="7DC9D380">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36FC2434">
            <w:pPr>
              <w:jc w:val="center"/>
              <w:rPr>
                <w:color w:val="auto"/>
                <w:szCs w:val="21"/>
                <w:highlight w:val="none"/>
              </w:rPr>
            </w:pPr>
          </w:p>
        </w:tc>
        <w:tc>
          <w:tcPr>
            <w:tcW w:w="1351" w:type="dxa"/>
            <w:gridSpan w:val="4"/>
            <w:tcBorders>
              <w:top w:val="single" w:color="auto" w:sz="4" w:space="0"/>
              <w:left w:val="single" w:color="auto" w:sz="6" w:space="0"/>
              <w:bottom w:val="single" w:color="auto" w:sz="4" w:space="0"/>
              <w:right w:val="single" w:color="auto" w:sz="4" w:space="0"/>
            </w:tcBorders>
            <w:noWrap w:val="0"/>
            <w:vAlign w:val="center"/>
          </w:tcPr>
          <w:p w14:paraId="1E4790D6">
            <w:pPr>
              <w:jc w:val="center"/>
              <w:rPr>
                <w:color w:val="auto"/>
                <w:szCs w:val="21"/>
                <w:highlight w:val="none"/>
              </w:rPr>
            </w:pPr>
          </w:p>
        </w:tc>
        <w:tc>
          <w:tcPr>
            <w:tcW w:w="948" w:type="dxa"/>
            <w:gridSpan w:val="2"/>
            <w:tcBorders>
              <w:top w:val="single" w:color="auto" w:sz="4" w:space="0"/>
              <w:left w:val="single" w:color="auto" w:sz="6" w:space="0"/>
              <w:bottom w:val="single" w:color="auto" w:sz="4" w:space="0"/>
              <w:right w:val="single" w:color="auto" w:sz="6" w:space="0"/>
            </w:tcBorders>
            <w:noWrap w:val="0"/>
            <w:vAlign w:val="center"/>
          </w:tcPr>
          <w:p w14:paraId="1D3B3A3A">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742D4D29">
            <w:pPr>
              <w:jc w:val="center"/>
              <w:rPr>
                <w:color w:val="auto"/>
                <w:szCs w:val="21"/>
                <w:highlight w:val="none"/>
              </w:rPr>
            </w:pPr>
          </w:p>
        </w:tc>
      </w:tr>
      <w:tr w14:paraId="4624307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383" w:type="dxa"/>
            <w:gridSpan w:val="3"/>
            <w:tcBorders>
              <w:top w:val="single" w:color="auto" w:sz="4" w:space="0"/>
              <w:left w:val="single" w:color="auto" w:sz="6" w:space="0"/>
              <w:bottom w:val="single" w:color="auto" w:sz="4" w:space="0"/>
              <w:right w:val="single" w:color="auto" w:sz="6" w:space="0"/>
            </w:tcBorders>
            <w:noWrap w:val="0"/>
            <w:vAlign w:val="center"/>
          </w:tcPr>
          <w:p w14:paraId="12278E34">
            <w:pPr>
              <w:jc w:val="center"/>
              <w:rPr>
                <w:rFonts w:ascii="宋体" w:hAnsi="宋体"/>
                <w:color w:val="auto"/>
                <w:szCs w:val="21"/>
                <w:highlight w:val="none"/>
              </w:rPr>
            </w:pPr>
            <w:r>
              <w:rPr>
                <w:rFonts w:hint="eastAsia" w:ascii="宋体" w:hAnsi="宋体"/>
                <w:color w:val="auto"/>
                <w:szCs w:val="21"/>
                <w:highlight w:val="none"/>
              </w:rPr>
              <w:t>人工单价</w:t>
            </w:r>
          </w:p>
        </w:tc>
        <w:tc>
          <w:tcPr>
            <w:tcW w:w="3205" w:type="dxa"/>
            <w:gridSpan w:val="8"/>
            <w:tcBorders>
              <w:top w:val="single" w:color="auto" w:sz="4" w:space="0"/>
              <w:left w:val="single" w:color="auto" w:sz="6" w:space="0"/>
              <w:bottom w:val="single" w:color="auto" w:sz="4" w:space="0"/>
              <w:right w:val="single" w:color="auto" w:sz="6" w:space="0"/>
            </w:tcBorders>
            <w:noWrap w:val="0"/>
            <w:vAlign w:val="center"/>
          </w:tcPr>
          <w:p w14:paraId="6F2FE6BB">
            <w:pPr>
              <w:jc w:val="center"/>
              <w:rPr>
                <w:color w:val="auto"/>
                <w:szCs w:val="21"/>
                <w:highlight w:val="none"/>
              </w:rPr>
            </w:pPr>
            <w:r>
              <w:rPr>
                <w:rFonts w:hint="eastAsia"/>
                <w:color w:val="auto"/>
                <w:szCs w:val="21"/>
                <w:highlight w:val="none"/>
              </w:rPr>
              <w:t>小计</w:t>
            </w:r>
          </w:p>
        </w:tc>
        <w:tc>
          <w:tcPr>
            <w:tcW w:w="943" w:type="dxa"/>
            <w:tcBorders>
              <w:top w:val="single" w:color="auto" w:sz="4" w:space="0"/>
              <w:left w:val="single" w:color="auto" w:sz="6" w:space="0"/>
              <w:bottom w:val="single" w:color="auto" w:sz="4" w:space="0"/>
              <w:right w:val="single" w:color="auto" w:sz="4" w:space="0"/>
            </w:tcBorders>
            <w:noWrap w:val="0"/>
            <w:vAlign w:val="center"/>
          </w:tcPr>
          <w:p w14:paraId="3606BA97">
            <w:pPr>
              <w:jc w:val="center"/>
              <w:rPr>
                <w:color w:val="auto"/>
                <w:szCs w:val="21"/>
                <w:highlight w:val="none"/>
              </w:rPr>
            </w:pPr>
          </w:p>
        </w:tc>
        <w:tc>
          <w:tcPr>
            <w:tcW w:w="1351" w:type="dxa"/>
            <w:gridSpan w:val="4"/>
            <w:tcBorders>
              <w:top w:val="single" w:color="auto" w:sz="4" w:space="0"/>
              <w:left w:val="single" w:color="auto" w:sz="6" w:space="0"/>
              <w:bottom w:val="single" w:color="auto" w:sz="4" w:space="0"/>
              <w:right w:val="single" w:color="auto" w:sz="4" w:space="0"/>
            </w:tcBorders>
            <w:noWrap w:val="0"/>
            <w:vAlign w:val="center"/>
          </w:tcPr>
          <w:p w14:paraId="4B767891">
            <w:pPr>
              <w:jc w:val="center"/>
              <w:rPr>
                <w:color w:val="auto"/>
                <w:szCs w:val="21"/>
                <w:highlight w:val="none"/>
              </w:rPr>
            </w:pPr>
          </w:p>
        </w:tc>
        <w:tc>
          <w:tcPr>
            <w:tcW w:w="948" w:type="dxa"/>
            <w:gridSpan w:val="2"/>
            <w:tcBorders>
              <w:top w:val="single" w:color="auto" w:sz="4" w:space="0"/>
              <w:left w:val="single" w:color="auto" w:sz="6" w:space="0"/>
              <w:bottom w:val="single" w:color="auto" w:sz="4" w:space="0"/>
              <w:right w:val="single" w:color="auto" w:sz="4" w:space="0"/>
            </w:tcBorders>
            <w:noWrap w:val="0"/>
            <w:vAlign w:val="center"/>
          </w:tcPr>
          <w:p w14:paraId="2848C48E">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28757618">
            <w:pPr>
              <w:jc w:val="center"/>
              <w:rPr>
                <w:color w:val="auto"/>
                <w:szCs w:val="21"/>
                <w:highlight w:val="none"/>
              </w:rPr>
            </w:pPr>
          </w:p>
        </w:tc>
      </w:tr>
      <w:tr w14:paraId="1E33D7D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383" w:type="dxa"/>
            <w:gridSpan w:val="3"/>
            <w:tcBorders>
              <w:top w:val="single" w:color="auto" w:sz="4" w:space="0"/>
              <w:left w:val="single" w:color="auto" w:sz="6" w:space="0"/>
              <w:bottom w:val="single" w:color="auto" w:sz="4" w:space="0"/>
              <w:right w:val="single" w:color="auto" w:sz="6" w:space="0"/>
            </w:tcBorders>
            <w:noWrap w:val="0"/>
            <w:vAlign w:val="center"/>
          </w:tcPr>
          <w:p w14:paraId="092D8DD1">
            <w:pPr>
              <w:jc w:val="center"/>
              <w:rPr>
                <w:color w:val="auto"/>
                <w:szCs w:val="21"/>
                <w:highlight w:val="none"/>
              </w:rPr>
            </w:pPr>
            <w:r>
              <w:rPr>
                <w:color w:val="auto"/>
                <w:szCs w:val="21"/>
                <w:highlight w:val="none"/>
              </w:rPr>
              <w:t xml:space="preserve">    </w:t>
            </w:r>
            <w:r>
              <w:rPr>
                <w:rFonts w:hint="eastAsia"/>
                <w:color w:val="auto"/>
                <w:szCs w:val="21"/>
                <w:highlight w:val="none"/>
              </w:rPr>
              <w:t>元</w:t>
            </w:r>
            <w:r>
              <w:rPr>
                <w:color w:val="auto"/>
                <w:szCs w:val="21"/>
                <w:highlight w:val="none"/>
              </w:rPr>
              <w:t>/</w:t>
            </w:r>
            <w:r>
              <w:rPr>
                <w:rFonts w:hint="eastAsia"/>
                <w:color w:val="auto"/>
                <w:szCs w:val="21"/>
                <w:highlight w:val="none"/>
              </w:rPr>
              <w:t>工日</w:t>
            </w:r>
          </w:p>
        </w:tc>
        <w:tc>
          <w:tcPr>
            <w:tcW w:w="3205" w:type="dxa"/>
            <w:gridSpan w:val="8"/>
            <w:tcBorders>
              <w:top w:val="single" w:color="auto" w:sz="4" w:space="0"/>
              <w:left w:val="single" w:color="auto" w:sz="6" w:space="0"/>
              <w:bottom w:val="single" w:color="auto" w:sz="4" w:space="0"/>
              <w:right w:val="single" w:color="auto" w:sz="6" w:space="0"/>
            </w:tcBorders>
            <w:noWrap w:val="0"/>
            <w:vAlign w:val="center"/>
          </w:tcPr>
          <w:p w14:paraId="551C3D61">
            <w:pPr>
              <w:jc w:val="center"/>
              <w:rPr>
                <w:color w:val="auto"/>
                <w:szCs w:val="21"/>
                <w:highlight w:val="none"/>
              </w:rPr>
            </w:pPr>
            <w:r>
              <w:rPr>
                <w:rFonts w:hint="eastAsia"/>
                <w:color w:val="auto"/>
                <w:szCs w:val="21"/>
                <w:highlight w:val="none"/>
              </w:rPr>
              <w:t>未计价材料费</w:t>
            </w:r>
          </w:p>
        </w:tc>
        <w:tc>
          <w:tcPr>
            <w:tcW w:w="4352" w:type="dxa"/>
            <w:gridSpan w:val="8"/>
            <w:tcBorders>
              <w:top w:val="single" w:color="auto" w:sz="4" w:space="0"/>
              <w:left w:val="single" w:color="auto" w:sz="6" w:space="0"/>
              <w:bottom w:val="single" w:color="auto" w:sz="4" w:space="0"/>
              <w:right w:val="single" w:color="auto" w:sz="6" w:space="0"/>
            </w:tcBorders>
            <w:noWrap w:val="0"/>
            <w:vAlign w:val="center"/>
          </w:tcPr>
          <w:p w14:paraId="2F282488">
            <w:pPr>
              <w:jc w:val="center"/>
              <w:rPr>
                <w:color w:val="auto"/>
                <w:szCs w:val="21"/>
                <w:highlight w:val="none"/>
              </w:rPr>
            </w:pPr>
          </w:p>
        </w:tc>
      </w:tr>
      <w:tr w14:paraId="230EA99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588" w:type="dxa"/>
            <w:gridSpan w:val="11"/>
            <w:tcBorders>
              <w:top w:val="single" w:color="auto" w:sz="4" w:space="0"/>
              <w:left w:val="single" w:color="auto" w:sz="6" w:space="0"/>
              <w:bottom w:val="single" w:color="auto" w:sz="4" w:space="0"/>
              <w:right w:val="single" w:color="auto" w:sz="6" w:space="0"/>
            </w:tcBorders>
            <w:noWrap w:val="0"/>
            <w:vAlign w:val="center"/>
          </w:tcPr>
          <w:p w14:paraId="3A6982D4">
            <w:pPr>
              <w:jc w:val="center"/>
              <w:rPr>
                <w:color w:val="auto"/>
                <w:szCs w:val="21"/>
                <w:highlight w:val="none"/>
              </w:rPr>
            </w:pPr>
            <w:r>
              <w:rPr>
                <w:rFonts w:hint="eastAsia"/>
                <w:color w:val="auto"/>
                <w:szCs w:val="21"/>
                <w:highlight w:val="none"/>
              </w:rPr>
              <w:t>清单项目综合单价</w:t>
            </w:r>
          </w:p>
        </w:tc>
        <w:tc>
          <w:tcPr>
            <w:tcW w:w="4352" w:type="dxa"/>
            <w:gridSpan w:val="8"/>
            <w:tcBorders>
              <w:top w:val="single" w:color="auto" w:sz="4" w:space="0"/>
              <w:left w:val="single" w:color="auto" w:sz="6" w:space="0"/>
              <w:bottom w:val="single" w:color="auto" w:sz="4" w:space="0"/>
              <w:right w:val="single" w:color="auto" w:sz="6" w:space="0"/>
            </w:tcBorders>
            <w:noWrap w:val="0"/>
            <w:vAlign w:val="center"/>
          </w:tcPr>
          <w:p w14:paraId="6F36EACC">
            <w:pPr>
              <w:jc w:val="center"/>
              <w:rPr>
                <w:color w:val="auto"/>
                <w:szCs w:val="21"/>
                <w:highlight w:val="none"/>
              </w:rPr>
            </w:pPr>
          </w:p>
        </w:tc>
      </w:tr>
      <w:tr w14:paraId="7F30C80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0" w:type="dxa"/>
            <w:vMerge w:val="restart"/>
            <w:tcBorders>
              <w:top w:val="single" w:color="auto" w:sz="4" w:space="0"/>
              <w:left w:val="single" w:color="auto" w:sz="6" w:space="0"/>
              <w:bottom w:val="single" w:color="auto" w:sz="6" w:space="0"/>
              <w:right w:val="single" w:color="auto" w:sz="4" w:space="0"/>
            </w:tcBorders>
            <w:noWrap w:val="0"/>
            <w:vAlign w:val="center"/>
          </w:tcPr>
          <w:p w14:paraId="2FFD5FD2">
            <w:pPr>
              <w:jc w:val="center"/>
              <w:rPr>
                <w:rFonts w:ascii="宋体" w:hAnsi="宋体"/>
                <w:color w:val="auto"/>
                <w:szCs w:val="21"/>
                <w:highlight w:val="none"/>
              </w:rPr>
            </w:pPr>
            <w:r>
              <w:rPr>
                <w:rFonts w:hint="eastAsia" w:ascii="宋体" w:hAnsi="宋体"/>
                <w:color w:val="auto"/>
                <w:szCs w:val="21"/>
                <w:highlight w:val="none"/>
              </w:rPr>
              <w:t>材</w:t>
            </w:r>
          </w:p>
          <w:p w14:paraId="32B48F41">
            <w:pPr>
              <w:jc w:val="center"/>
              <w:rPr>
                <w:rFonts w:hint="eastAsia" w:ascii="宋体" w:hAnsi="宋体"/>
                <w:color w:val="auto"/>
                <w:szCs w:val="21"/>
                <w:highlight w:val="none"/>
              </w:rPr>
            </w:pPr>
            <w:r>
              <w:rPr>
                <w:rFonts w:hint="eastAsia" w:ascii="宋体" w:hAnsi="宋体"/>
                <w:color w:val="auto"/>
                <w:szCs w:val="21"/>
                <w:highlight w:val="none"/>
              </w:rPr>
              <w:t>料</w:t>
            </w:r>
          </w:p>
          <w:p w14:paraId="53D6B1D0">
            <w:pPr>
              <w:jc w:val="center"/>
              <w:rPr>
                <w:rFonts w:hint="eastAsia" w:ascii="宋体" w:hAnsi="宋体"/>
                <w:color w:val="auto"/>
                <w:szCs w:val="21"/>
                <w:highlight w:val="none"/>
              </w:rPr>
            </w:pPr>
            <w:r>
              <w:rPr>
                <w:rFonts w:hint="eastAsia" w:ascii="宋体" w:hAnsi="宋体"/>
                <w:color w:val="auto"/>
                <w:szCs w:val="21"/>
                <w:highlight w:val="none"/>
              </w:rPr>
              <w:t>费</w:t>
            </w:r>
          </w:p>
          <w:p w14:paraId="49C7DB3B">
            <w:pPr>
              <w:jc w:val="center"/>
              <w:rPr>
                <w:rFonts w:hint="eastAsia" w:ascii="宋体" w:hAnsi="宋体"/>
                <w:color w:val="auto"/>
                <w:szCs w:val="21"/>
                <w:highlight w:val="none"/>
              </w:rPr>
            </w:pPr>
            <w:r>
              <w:rPr>
                <w:rFonts w:hint="eastAsia" w:ascii="宋体" w:hAnsi="宋体"/>
                <w:color w:val="auto"/>
                <w:szCs w:val="21"/>
                <w:highlight w:val="none"/>
              </w:rPr>
              <w:t>明</w:t>
            </w:r>
          </w:p>
          <w:p w14:paraId="717CA899">
            <w:pPr>
              <w:jc w:val="center"/>
              <w:rPr>
                <w:rFonts w:ascii="黑体" w:eastAsia="黑体"/>
                <w:color w:val="auto"/>
                <w:szCs w:val="21"/>
                <w:highlight w:val="none"/>
              </w:rPr>
            </w:pPr>
            <w:r>
              <w:rPr>
                <w:rFonts w:hint="eastAsia" w:ascii="宋体" w:hAnsi="宋体"/>
                <w:color w:val="auto"/>
                <w:szCs w:val="21"/>
                <w:highlight w:val="none"/>
              </w:rPr>
              <w:t>细</w:t>
            </w:r>
          </w:p>
        </w:tc>
        <w:tc>
          <w:tcPr>
            <w:tcW w:w="2218" w:type="dxa"/>
            <w:gridSpan w:val="6"/>
            <w:tcBorders>
              <w:top w:val="single" w:color="auto" w:sz="4" w:space="0"/>
              <w:left w:val="single" w:color="auto" w:sz="4" w:space="0"/>
              <w:bottom w:val="single" w:color="auto" w:sz="4" w:space="0"/>
              <w:right w:val="single" w:color="auto" w:sz="4" w:space="0"/>
            </w:tcBorders>
            <w:noWrap w:val="0"/>
            <w:vAlign w:val="center"/>
          </w:tcPr>
          <w:p w14:paraId="4D2F5855">
            <w:pPr>
              <w:jc w:val="center"/>
              <w:rPr>
                <w:color w:val="auto"/>
                <w:szCs w:val="21"/>
                <w:highlight w:val="none"/>
              </w:rPr>
            </w:pPr>
            <w:r>
              <w:rPr>
                <w:rFonts w:hint="eastAsia"/>
                <w:color w:val="auto"/>
                <w:szCs w:val="21"/>
                <w:highlight w:val="none"/>
              </w:rPr>
              <w:t>主要材料名称、规格、型号</w:t>
            </w: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2EF0AF40">
            <w:pPr>
              <w:jc w:val="center"/>
              <w:rPr>
                <w:color w:val="auto"/>
                <w:szCs w:val="21"/>
                <w:highlight w:val="none"/>
              </w:rPr>
            </w:pPr>
            <w:r>
              <w:rPr>
                <w:rFonts w:hint="eastAsia"/>
                <w:color w:val="auto"/>
                <w:szCs w:val="21"/>
                <w:highlight w:val="none"/>
              </w:rPr>
              <w:t>单位</w:t>
            </w:r>
          </w:p>
        </w:tc>
        <w:tc>
          <w:tcPr>
            <w:tcW w:w="1147" w:type="dxa"/>
            <w:gridSpan w:val="2"/>
            <w:tcBorders>
              <w:top w:val="single" w:color="auto" w:sz="4" w:space="0"/>
              <w:left w:val="single" w:color="auto" w:sz="4" w:space="0"/>
              <w:bottom w:val="single" w:color="auto" w:sz="4" w:space="0"/>
              <w:right w:val="single" w:color="auto" w:sz="6" w:space="0"/>
            </w:tcBorders>
            <w:noWrap w:val="0"/>
            <w:vAlign w:val="center"/>
          </w:tcPr>
          <w:p w14:paraId="403D8641">
            <w:pPr>
              <w:jc w:val="center"/>
              <w:rPr>
                <w:color w:val="auto"/>
                <w:szCs w:val="21"/>
                <w:highlight w:val="none"/>
              </w:rPr>
            </w:pPr>
            <w:r>
              <w:rPr>
                <w:rFonts w:hint="eastAsia"/>
                <w:color w:val="auto"/>
                <w:szCs w:val="21"/>
                <w:highlight w:val="none"/>
              </w:rPr>
              <w:t>数量</w:t>
            </w:r>
          </w:p>
        </w:tc>
        <w:tc>
          <w:tcPr>
            <w:tcW w:w="943" w:type="dxa"/>
            <w:tcBorders>
              <w:top w:val="single" w:color="auto" w:sz="4" w:space="0"/>
              <w:left w:val="single" w:color="auto" w:sz="6" w:space="0"/>
              <w:bottom w:val="single" w:color="auto" w:sz="4" w:space="0"/>
              <w:right w:val="single" w:color="auto" w:sz="4" w:space="0"/>
            </w:tcBorders>
            <w:noWrap w:val="0"/>
            <w:vAlign w:val="center"/>
          </w:tcPr>
          <w:p w14:paraId="76C66A4A">
            <w:pPr>
              <w:jc w:val="center"/>
              <w:rPr>
                <w:color w:val="auto"/>
                <w:szCs w:val="21"/>
                <w:highlight w:val="none"/>
              </w:rPr>
            </w:pPr>
            <w:r>
              <w:rPr>
                <w:rFonts w:hint="eastAsia"/>
                <w:color w:val="auto"/>
                <w:szCs w:val="21"/>
                <w:highlight w:val="none"/>
              </w:rPr>
              <w:t>单价（元）</w:t>
            </w:r>
          </w:p>
        </w:tc>
        <w:tc>
          <w:tcPr>
            <w:tcW w:w="1009" w:type="dxa"/>
            <w:gridSpan w:val="3"/>
            <w:tcBorders>
              <w:top w:val="single" w:color="auto" w:sz="4" w:space="0"/>
              <w:left w:val="single" w:color="auto" w:sz="6" w:space="0"/>
              <w:bottom w:val="single" w:color="auto" w:sz="4" w:space="0"/>
              <w:right w:val="single" w:color="auto" w:sz="4" w:space="0"/>
            </w:tcBorders>
            <w:noWrap w:val="0"/>
            <w:vAlign w:val="center"/>
          </w:tcPr>
          <w:p w14:paraId="13B08DD5">
            <w:pPr>
              <w:jc w:val="center"/>
              <w:rPr>
                <w:color w:val="auto"/>
                <w:szCs w:val="21"/>
                <w:highlight w:val="none"/>
              </w:rPr>
            </w:pPr>
            <w:r>
              <w:rPr>
                <w:rFonts w:hint="eastAsia"/>
                <w:color w:val="auto"/>
                <w:szCs w:val="21"/>
                <w:highlight w:val="none"/>
              </w:rPr>
              <w:t>合价（元）</w:t>
            </w:r>
          </w:p>
        </w:tc>
        <w:tc>
          <w:tcPr>
            <w:tcW w:w="1290" w:type="dxa"/>
            <w:gridSpan w:val="3"/>
            <w:tcBorders>
              <w:top w:val="single" w:color="auto" w:sz="4" w:space="0"/>
              <w:left w:val="single" w:color="auto" w:sz="4" w:space="0"/>
              <w:bottom w:val="single" w:color="auto" w:sz="4" w:space="0"/>
              <w:right w:val="single" w:color="auto" w:sz="6" w:space="0"/>
            </w:tcBorders>
            <w:noWrap w:val="0"/>
            <w:vAlign w:val="center"/>
          </w:tcPr>
          <w:p w14:paraId="04B42DD9">
            <w:pPr>
              <w:jc w:val="center"/>
              <w:rPr>
                <w:color w:val="auto"/>
                <w:szCs w:val="21"/>
                <w:highlight w:val="none"/>
              </w:rPr>
            </w:pPr>
            <w:r>
              <w:rPr>
                <w:rFonts w:hint="eastAsia"/>
                <w:color w:val="auto"/>
                <w:szCs w:val="21"/>
                <w:highlight w:val="none"/>
              </w:rPr>
              <w:t>暂估单价（元）</w:t>
            </w:r>
          </w:p>
        </w:tc>
        <w:tc>
          <w:tcPr>
            <w:tcW w:w="1110" w:type="dxa"/>
            <w:tcBorders>
              <w:top w:val="single" w:color="auto" w:sz="4" w:space="0"/>
              <w:left w:val="single" w:color="auto" w:sz="6" w:space="0"/>
              <w:bottom w:val="single" w:color="auto" w:sz="4" w:space="0"/>
              <w:right w:val="single" w:color="auto" w:sz="6" w:space="0"/>
            </w:tcBorders>
            <w:noWrap w:val="0"/>
            <w:vAlign w:val="center"/>
          </w:tcPr>
          <w:p w14:paraId="2B737EF5">
            <w:pPr>
              <w:jc w:val="center"/>
              <w:rPr>
                <w:color w:val="auto"/>
                <w:szCs w:val="21"/>
                <w:highlight w:val="none"/>
              </w:rPr>
            </w:pPr>
            <w:r>
              <w:rPr>
                <w:rFonts w:hint="eastAsia"/>
                <w:color w:val="auto"/>
                <w:szCs w:val="21"/>
                <w:highlight w:val="none"/>
              </w:rPr>
              <w:t>暂估合价（元）</w:t>
            </w:r>
          </w:p>
        </w:tc>
      </w:tr>
      <w:tr w14:paraId="15D08DF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vMerge w:val="continue"/>
            <w:tcBorders>
              <w:top w:val="single" w:color="auto" w:sz="4" w:space="0"/>
              <w:left w:val="single" w:color="auto" w:sz="6" w:space="0"/>
              <w:bottom w:val="single" w:color="auto" w:sz="6" w:space="0"/>
              <w:right w:val="single" w:color="auto" w:sz="4" w:space="0"/>
            </w:tcBorders>
            <w:noWrap w:val="0"/>
            <w:vAlign w:val="center"/>
          </w:tcPr>
          <w:p w14:paraId="26504689">
            <w:pPr>
              <w:widowControl/>
              <w:jc w:val="left"/>
              <w:rPr>
                <w:rFonts w:ascii="黑体" w:eastAsia="黑体"/>
                <w:color w:val="auto"/>
                <w:szCs w:val="21"/>
                <w:highlight w:val="none"/>
              </w:rPr>
            </w:pPr>
          </w:p>
        </w:tc>
        <w:tc>
          <w:tcPr>
            <w:tcW w:w="2218" w:type="dxa"/>
            <w:gridSpan w:val="6"/>
            <w:tcBorders>
              <w:top w:val="single" w:color="auto" w:sz="4" w:space="0"/>
              <w:left w:val="single" w:color="auto" w:sz="4" w:space="0"/>
              <w:bottom w:val="single" w:color="auto" w:sz="4" w:space="0"/>
              <w:right w:val="single" w:color="auto" w:sz="4" w:space="0"/>
            </w:tcBorders>
            <w:noWrap w:val="0"/>
            <w:vAlign w:val="center"/>
          </w:tcPr>
          <w:p w14:paraId="316A754B">
            <w:pPr>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14D46A42">
            <w:pPr>
              <w:jc w:val="center"/>
              <w:rPr>
                <w:color w:val="auto"/>
                <w:szCs w:val="21"/>
                <w:highlight w:val="none"/>
              </w:rPr>
            </w:pPr>
          </w:p>
        </w:tc>
        <w:tc>
          <w:tcPr>
            <w:tcW w:w="1147" w:type="dxa"/>
            <w:gridSpan w:val="2"/>
            <w:tcBorders>
              <w:top w:val="single" w:color="auto" w:sz="4" w:space="0"/>
              <w:left w:val="single" w:color="auto" w:sz="4" w:space="0"/>
              <w:bottom w:val="single" w:color="auto" w:sz="4" w:space="0"/>
              <w:right w:val="single" w:color="auto" w:sz="6" w:space="0"/>
            </w:tcBorders>
            <w:noWrap w:val="0"/>
            <w:vAlign w:val="center"/>
          </w:tcPr>
          <w:p w14:paraId="7E3589D5">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2AB7C443">
            <w:pPr>
              <w:jc w:val="center"/>
              <w:rPr>
                <w:color w:val="auto"/>
                <w:szCs w:val="21"/>
                <w:highlight w:val="none"/>
              </w:rPr>
            </w:pPr>
          </w:p>
        </w:tc>
        <w:tc>
          <w:tcPr>
            <w:tcW w:w="1009" w:type="dxa"/>
            <w:gridSpan w:val="3"/>
            <w:tcBorders>
              <w:top w:val="single" w:color="auto" w:sz="4" w:space="0"/>
              <w:left w:val="single" w:color="auto" w:sz="6" w:space="0"/>
              <w:bottom w:val="single" w:color="auto" w:sz="4" w:space="0"/>
              <w:right w:val="single" w:color="auto" w:sz="4" w:space="0"/>
            </w:tcBorders>
            <w:noWrap w:val="0"/>
            <w:vAlign w:val="center"/>
          </w:tcPr>
          <w:p w14:paraId="6B830894">
            <w:pPr>
              <w:jc w:val="center"/>
              <w:rPr>
                <w:color w:val="auto"/>
                <w:szCs w:val="21"/>
                <w:highlight w:val="none"/>
              </w:rPr>
            </w:pPr>
          </w:p>
        </w:tc>
        <w:tc>
          <w:tcPr>
            <w:tcW w:w="1290" w:type="dxa"/>
            <w:gridSpan w:val="3"/>
            <w:tcBorders>
              <w:top w:val="single" w:color="auto" w:sz="4" w:space="0"/>
              <w:left w:val="single" w:color="auto" w:sz="4" w:space="0"/>
              <w:bottom w:val="single" w:color="auto" w:sz="4" w:space="0"/>
              <w:right w:val="single" w:color="auto" w:sz="6" w:space="0"/>
            </w:tcBorders>
            <w:noWrap w:val="0"/>
            <w:vAlign w:val="center"/>
          </w:tcPr>
          <w:p w14:paraId="4E56AC7F">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357787B1">
            <w:pPr>
              <w:jc w:val="center"/>
              <w:rPr>
                <w:color w:val="auto"/>
                <w:szCs w:val="21"/>
                <w:highlight w:val="none"/>
              </w:rPr>
            </w:pPr>
          </w:p>
        </w:tc>
      </w:tr>
      <w:tr w14:paraId="4BC1FB2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vMerge w:val="continue"/>
            <w:tcBorders>
              <w:top w:val="single" w:color="auto" w:sz="4" w:space="0"/>
              <w:left w:val="single" w:color="auto" w:sz="6" w:space="0"/>
              <w:bottom w:val="single" w:color="auto" w:sz="6" w:space="0"/>
              <w:right w:val="single" w:color="auto" w:sz="4" w:space="0"/>
            </w:tcBorders>
            <w:noWrap w:val="0"/>
            <w:vAlign w:val="center"/>
          </w:tcPr>
          <w:p w14:paraId="42A84928">
            <w:pPr>
              <w:widowControl/>
              <w:jc w:val="left"/>
              <w:rPr>
                <w:rFonts w:ascii="黑体" w:eastAsia="黑体"/>
                <w:color w:val="auto"/>
                <w:szCs w:val="21"/>
                <w:highlight w:val="none"/>
              </w:rPr>
            </w:pPr>
          </w:p>
        </w:tc>
        <w:tc>
          <w:tcPr>
            <w:tcW w:w="2218" w:type="dxa"/>
            <w:gridSpan w:val="6"/>
            <w:tcBorders>
              <w:top w:val="single" w:color="auto" w:sz="4" w:space="0"/>
              <w:left w:val="single" w:color="auto" w:sz="4" w:space="0"/>
              <w:bottom w:val="single" w:color="auto" w:sz="4" w:space="0"/>
              <w:right w:val="single" w:color="auto" w:sz="4" w:space="0"/>
            </w:tcBorders>
            <w:noWrap w:val="0"/>
            <w:vAlign w:val="center"/>
          </w:tcPr>
          <w:p w14:paraId="42AFED74">
            <w:pPr>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6378A7E3">
            <w:pPr>
              <w:jc w:val="center"/>
              <w:rPr>
                <w:color w:val="auto"/>
                <w:szCs w:val="21"/>
                <w:highlight w:val="none"/>
              </w:rPr>
            </w:pPr>
          </w:p>
        </w:tc>
        <w:tc>
          <w:tcPr>
            <w:tcW w:w="1147" w:type="dxa"/>
            <w:gridSpan w:val="2"/>
            <w:tcBorders>
              <w:top w:val="single" w:color="auto" w:sz="4" w:space="0"/>
              <w:left w:val="single" w:color="auto" w:sz="4" w:space="0"/>
              <w:bottom w:val="single" w:color="auto" w:sz="4" w:space="0"/>
              <w:right w:val="single" w:color="auto" w:sz="6" w:space="0"/>
            </w:tcBorders>
            <w:noWrap w:val="0"/>
            <w:vAlign w:val="center"/>
          </w:tcPr>
          <w:p w14:paraId="30366AEE">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7F9378C9">
            <w:pPr>
              <w:jc w:val="center"/>
              <w:rPr>
                <w:color w:val="auto"/>
                <w:szCs w:val="21"/>
                <w:highlight w:val="none"/>
              </w:rPr>
            </w:pPr>
          </w:p>
        </w:tc>
        <w:tc>
          <w:tcPr>
            <w:tcW w:w="1009" w:type="dxa"/>
            <w:gridSpan w:val="3"/>
            <w:tcBorders>
              <w:top w:val="single" w:color="auto" w:sz="4" w:space="0"/>
              <w:left w:val="single" w:color="auto" w:sz="6" w:space="0"/>
              <w:bottom w:val="single" w:color="auto" w:sz="4" w:space="0"/>
              <w:right w:val="single" w:color="auto" w:sz="4" w:space="0"/>
            </w:tcBorders>
            <w:noWrap w:val="0"/>
            <w:vAlign w:val="center"/>
          </w:tcPr>
          <w:p w14:paraId="532E5CC7">
            <w:pPr>
              <w:jc w:val="center"/>
              <w:rPr>
                <w:color w:val="auto"/>
                <w:szCs w:val="21"/>
                <w:highlight w:val="none"/>
              </w:rPr>
            </w:pPr>
          </w:p>
        </w:tc>
        <w:tc>
          <w:tcPr>
            <w:tcW w:w="1290" w:type="dxa"/>
            <w:gridSpan w:val="3"/>
            <w:tcBorders>
              <w:top w:val="single" w:color="auto" w:sz="4" w:space="0"/>
              <w:left w:val="single" w:color="auto" w:sz="4" w:space="0"/>
              <w:bottom w:val="single" w:color="auto" w:sz="4" w:space="0"/>
              <w:right w:val="single" w:color="auto" w:sz="6" w:space="0"/>
            </w:tcBorders>
            <w:noWrap w:val="0"/>
            <w:vAlign w:val="center"/>
          </w:tcPr>
          <w:p w14:paraId="37186C76">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72E5B1B5">
            <w:pPr>
              <w:jc w:val="center"/>
              <w:rPr>
                <w:color w:val="auto"/>
                <w:szCs w:val="21"/>
                <w:highlight w:val="none"/>
              </w:rPr>
            </w:pPr>
          </w:p>
        </w:tc>
      </w:tr>
      <w:tr w14:paraId="4A0FC0A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vMerge w:val="continue"/>
            <w:tcBorders>
              <w:top w:val="single" w:color="auto" w:sz="4" w:space="0"/>
              <w:left w:val="single" w:color="auto" w:sz="6" w:space="0"/>
              <w:bottom w:val="single" w:color="auto" w:sz="6" w:space="0"/>
              <w:right w:val="single" w:color="auto" w:sz="4" w:space="0"/>
            </w:tcBorders>
            <w:noWrap w:val="0"/>
            <w:vAlign w:val="center"/>
          </w:tcPr>
          <w:p w14:paraId="1FAC4D87">
            <w:pPr>
              <w:widowControl/>
              <w:jc w:val="left"/>
              <w:rPr>
                <w:rFonts w:ascii="黑体" w:eastAsia="黑体"/>
                <w:color w:val="auto"/>
                <w:szCs w:val="21"/>
                <w:highlight w:val="none"/>
              </w:rPr>
            </w:pPr>
          </w:p>
        </w:tc>
        <w:tc>
          <w:tcPr>
            <w:tcW w:w="2218" w:type="dxa"/>
            <w:gridSpan w:val="6"/>
            <w:tcBorders>
              <w:top w:val="single" w:color="auto" w:sz="4" w:space="0"/>
              <w:left w:val="single" w:color="auto" w:sz="4" w:space="0"/>
              <w:bottom w:val="single" w:color="auto" w:sz="4" w:space="0"/>
              <w:right w:val="single" w:color="auto" w:sz="4" w:space="0"/>
            </w:tcBorders>
            <w:noWrap w:val="0"/>
            <w:vAlign w:val="center"/>
          </w:tcPr>
          <w:p w14:paraId="51BB3E73">
            <w:pPr>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6D1A33FD">
            <w:pPr>
              <w:jc w:val="center"/>
              <w:rPr>
                <w:color w:val="auto"/>
                <w:szCs w:val="21"/>
                <w:highlight w:val="none"/>
              </w:rPr>
            </w:pPr>
          </w:p>
        </w:tc>
        <w:tc>
          <w:tcPr>
            <w:tcW w:w="1147" w:type="dxa"/>
            <w:gridSpan w:val="2"/>
            <w:tcBorders>
              <w:top w:val="single" w:color="auto" w:sz="4" w:space="0"/>
              <w:left w:val="single" w:color="auto" w:sz="4" w:space="0"/>
              <w:bottom w:val="single" w:color="auto" w:sz="4" w:space="0"/>
              <w:right w:val="single" w:color="auto" w:sz="6" w:space="0"/>
            </w:tcBorders>
            <w:noWrap w:val="0"/>
            <w:vAlign w:val="center"/>
          </w:tcPr>
          <w:p w14:paraId="17800AEE">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2D2FC4D3">
            <w:pPr>
              <w:jc w:val="center"/>
              <w:rPr>
                <w:color w:val="auto"/>
                <w:szCs w:val="21"/>
                <w:highlight w:val="none"/>
              </w:rPr>
            </w:pPr>
          </w:p>
        </w:tc>
        <w:tc>
          <w:tcPr>
            <w:tcW w:w="1009" w:type="dxa"/>
            <w:gridSpan w:val="3"/>
            <w:tcBorders>
              <w:top w:val="single" w:color="auto" w:sz="4" w:space="0"/>
              <w:left w:val="single" w:color="auto" w:sz="6" w:space="0"/>
              <w:bottom w:val="single" w:color="auto" w:sz="4" w:space="0"/>
              <w:right w:val="single" w:color="auto" w:sz="4" w:space="0"/>
            </w:tcBorders>
            <w:noWrap w:val="0"/>
            <w:vAlign w:val="center"/>
          </w:tcPr>
          <w:p w14:paraId="00D56992">
            <w:pPr>
              <w:jc w:val="center"/>
              <w:rPr>
                <w:color w:val="auto"/>
                <w:szCs w:val="21"/>
                <w:highlight w:val="none"/>
              </w:rPr>
            </w:pPr>
          </w:p>
        </w:tc>
        <w:tc>
          <w:tcPr>
            <w:tcW w:w="1290" w:type="dxa"/>
            <w:gridSpan w:val="3"/>
            <w:tcBorders>
              <w:top w:val="single" w:color="auto" w:sz="4" w:space="0"/>
              <w:left w:val="single" w:color="auto" w:sz="4" w:space="0"/>
              <w:bottom w:val="single" w:color="auto" w:sz="4" w:space="0"/>
              <w:right w:val="single" w:color="auto" w:sz="6" w:space="0"/>
            </w:tcBorders>
            <w:noWrap w:val="0"/>
            <w:vAlign w:val="center"/>
          </w:tcPr>
          <w:p w14:paraId="61B06C61">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31D72824">
            <w:pPr>
              <w:jc w:val="center"/>
              <w:rPr>
                <w:color w:val="auto"/>
                <w:szCs w:val="21"/>
                <w:highlight w:val="none"/>
              </w:rPr>
            </w:pPr>
          </w:p>
        </w:tc>
      </w:tr>
      <w:tr w14:paraId="0332CF1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vMerge w:val="continue"/>
            <w:tcBorders>
              <w:top w:val="single" w:color="auto" w:sz="4" w:space="0"/>
              <w:left w:val="single" w:color="auto" w:sz="6" w:space="0"/>
              <w:bottom w:val="single" w:color="auto" w:sz="6" w:space="0"/>
              <w:right w:val="single" w:color="auto" w:sz="4" w:space="0"/>
            </w:tcBorders>
            <w:noWrap w:val="0"/>
            <w:vAlign w:val="center"/>
          </w:tcPr>
          <w:p w14:paraId="5C2011EE">
            <w:pPr>
              <w:widowControl/>
              <w:jc w:val="left"/>
              <w:rPr>
                <w:rFonts w:ascii="黑体" w:eastAsia="黑体"/>
                <w:color w:val="auto"/>
                <w:szCs w:val="21"/>
                <w:highlight w:val="none"/>
              </w:rPr>
            </w:pPr>
          </w:p>
        </w:tc>
        <w:tc>
          <w:tcPr>
            <w:tcW w:w="2218" w:type="dxa"/>
            <w:gridSpan w:val="6"/>
            <w:tcBorders>
              <w:top w:val="single" w:color="auto" w:sz="4" w:space="0"/>
              <w:left w:val="single" w:color="auto" w:sz="4" w:space="0"/>
              <w:bottom w:val="single" w:color="auto" w:sz="4" w:space="0"/>
              <w:right w:val="single" w:color="auto" w:sz="4" w:space="0"/>
            </w:tcBorders>
            <w:noWrap w:val="0"/>
            <w:vAlign w:val="center"/>
          </w:tcPr>
          <w:p w14:paraId="30BF60E3">
            <w:pPr>
              <w:ind w:firstLine="210" w:firstLineChars="100"/>
              <w:jc w:val="center"/>
              <w:rPr>
                <w:color w:val="auto"/>
                <w:szCs w:val="21"/>
                <w:highlight w:val="none"/>
              </w:rPr>
            </w:pPr>
          </w:p>
        </w:tc>
        <w:tc>
          <w:tcPr>
            <w:tcW w:w="523" w:type="dxa"/>
            <w:gridSpan w:val="2"/>
            <w:tcBorders>
              <w:top w:val="single" w:color="auto" w:sz="4" w:space="0"/>
              <w:left w:val="single" w:color="auto" w:sz="6" w:space="0"/>
              <w:bottom w:val="single" w:color="auto" w:sz="4" w:space="0"/>
              <w:right w:val="single" w:color="auto" w:sz="4" w:space="0"/>
            </w:tcBorders>
            <w:noWrap w:val="0"/>
            <w:vAlign w:val="center"/>
          </w:tcPr>
          <w:p w14:paraId="12F083F8">
            <w:pPr>
              <w:ind w:firstLine="210" w:firstLineChars="100"/>
              <w:jc w:val="center"/>
              <w:rPr>
                <w:color w:val="auto"/>
                <w:szCs w:val="21"/>
                <w:highlight w:val="none"/>
              </w:rPr>
            </w:pPr>
          </w:p>
        </w:tc>
        <w:tc>
          <w:tcPr>
            <w:tcW w:w="1147" w:type="dxa"/>
            <w:gridSpan w:val="2"/>
            <w:tcBorders>
              <w:top w:val="single" w:color="auto" w:sz="4" w:space="0"/>
              <w:left w:val="single" w:color="auto" w:sz="4" w:space="0"/>
              <w:bottom w:val="single" w:color="auto" w:sz="4" w:space="0"/>
              <w:right w:val="single" w:color="auto" w:sz="6" w:space="0"/>
            </w:tcBorders>
            <w:noWrap w:val="0"/>
            <w:vAlign w:val="center"/>
          </w:tcPr>
          <w:p w14:paraId="5F8BA978">
            <w:pPr>
              <w:jc w:val="center"/>
              <w:rPr>
                <w:color w:val="auto"/>
                <w:szCs w:val="21"/>
                <w:highlight w:val="none"/>
              </w:rPr>
            </w:pPr>
          </w:p>
        </w:tc>
        <w:tc>
          <w:tcPr>
            <w:tcW w:w="943" w:type="dxa"/>
            <w:tcBorders>
              <w:top w:val="single" w:color="auto" w:sz="4" w:space="0"/>
              <w:left w:val="single" w:color="auto" w:sz="6" w:space="0"/>
              <w:bottom w:val="single" w:color="auto" w:sz="4" w:space="0"/>
              <w:right w:val="single" w:color="auto" w:sz="4" w:space="0"/>
            </w:tcBorders>
            <w:noWrap w:val="0"/>
            <w:vAlign w:val="center"/>
          </w:tcPr>
          <w:p w14:paraId="51111D7A">
            <w:pPr>
              <w:jc w:val="center"/>
              <w:rPr>
                <w:color w:val="auto"/>
                <w:szCs w:val="21"/>
                <w:highlight w:val="none"/>
              </w:rPr>
            </w:pPr>
          </w:p>
        </w:tc>
        <w:tc>
          <w:tcPr>
            <w:tcW w:w="1009" w:type="dxa"/>
            <w:gridSpan w:val="3"/>
            <w:tcBorders>
              <w:top w:val="single" w:color="auto" w:sz="4" w:space="0"/>
              <w:left w:val="single" w:color="auto" w:sz="6" w:space="0"/>
              <w:bottom w:val="single" w:color="auto" w:sz="4" w:space="0"/>
              <w:right w:val="single" w:color="auto" w:sz="4" w:space="0"/>
            </w:tcBorders>
            <w:noWrap w:val="0"/>
            <w:vAlign w:val="center"/>
          </w:tcPr>
          <w:p w14:paraId="08383A63">
            <w:pPr>
              <w:jc w:val="center"/>
              <w:rPr>
                <w:color w:val="auto"/>
                <w:szCs w:val="21"/>
                <w:highlight w:val="none"/>
              </w:rPr>
            </w:pPr>
          </w:p>
        </w:tc>
        <w:tc>
          <w:tcPr>
            <w:tcW w:w="1290" w:type="dxa"/>
            <w:gridSpan w:val="3"/>
            <w:tcBorders>
              <w:top w:val="single" w:color="auto" w:sz="4" w:space="0"/>
              <w:left w:val="single" w:color="auto" w:sz="4" w:space="0"/>
              <w:bottom w:val="single" w:color="auto" w:sz="4" w:space="0"/>
              <w:right w:val="single" w:color="auto" w:sz="6" w:space="0"/>
            </w:tcBorders>
            <w:noWrap w:val="0"/>
            <w:vAlign w:val="center"/>
          </w:tcPr>
          <w:p w14:paraId="2FCFAC2D">
            <w:pPr>
              <w:jc w:val="center"/>
              <w:rPr>
                <w:color w:val="auto"/>
                <w:szCs w:val="21"/>
                <w:highlight w:val="none"/>
              </w:rPr>
            </w:pPr>
          </w:p>
        </w:tc>
        <w:tc>
          <w:tcPr>
            <w:tcW w:w="1110" w:type="dxa"/>
            <w:tcBorders>
              <w:top w:val="single" w:color="auto" w:sz="4" w:space="0"/>
              <w:left w:val="single" w:color="auto" w:sz="6" w:space="0"/>
              <w:bottom w:val="single" w:color="auto" w:sz="4" w:space="0"/>
              <w:right w:val="single" w:color="auto" w:sz="6" w:space="0"/>
            </w:tcBorders>
            <w:noWrap w:val="0"/>
            <w:vAlign w:val="center"/>
          </w:tcPr>
          <w:p w14:paraId="42D52458">
            <w:pPr>
              <w:jc w:val="center"/>
              <w:rPr>
                <w:color w:val="auto"/>
                <w:szCs w:val="21"/>
                <w:highlight w:val="none"/>
              </w:rPr>
            </w:pPr>
          </w:p>
        </w:tc>
      </w:tr>
      <w:tr w14:paraId="2898AED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vMerge w:val="continue"/>
            <w:tcBorders>
              <w:top w:val="single" w:color="auto" w:sz="4" w:space="0"/>
              <w:left w:val="single" w:color="auto" w:sz="6" w:space="0"/>
              <w:bottom w:val="single" w:color="auto" w:sz="6" w:space="0"/>
              <w:right w:val="single" w:color="auto" w:sz="4" w:space="0"/>
            </w:tcBorders>
            <w:noWrap w:val="0"/>
            <w:vAlign w:val="center"/>
          </w:tcPr>
          <w:p w14:paraId="23BAF91A">
            <w:pPr>
              <w:widowControl/>
              <w:jc w:val="left"/>
              <w:rPr>
                <w:rFonts w:ascii="黑体" w:eastAsia="黑体"/>
                <w:color w:val="auto"/>
                <w:szCs w:val="21"/>
                <w:highlight w:val="none"/>
              </w:rPr>
            </w:pPr>
          </w:p>
        </w:tc>
        <w:tc>
          <w:tcPr>
            <w:tcW w:w="3888" w:type="dxa"/>
            <w:gridSpan w:val="10"/>
            <w:tcBorders>
              <w:top w:val="single" w:color="auto" w:sz="4" w:space="0"/>
              <w:left w:val="single" w:color="auto" w:sz="4" w:space="0"/>
              <w:bottom w:val="single" w:color="auto" w:sz="4" w:space="0"/>
              <w:right w:val="single" w:color="auto" w:sz="6" w:space="0"/>
            </w:tcBorders>
            <w:noWrap w:val="0"/>
            <w:vAlign w:val="center"/>
          </w:tcPr>
          <w:p w14:paraId="45502D8C">
            <w:pPr>
              <w:jc w:val="center"/>
              <w:rPr>
                <w:color w:val="auto"/>
                <w:szCs w:val="21"/>
                <w:highlight w:val="none"/>
              </w:rPr>
            </w:pPr>
            <w:r>
              <w:rPr>
                <w:rFonts w:hint="eastAsia"/>
                <w:color w:val="auto"/>
                <w:szCs w:val="21"/>
                <w:highlight w:val="none"/>
              </w:rPr>
              <w:t>其他材料费</w:t>
            </w:r>
          </w:p>
        </w:tc>
        <w:tc>
          <w:tcPr>
            <w:tcW w:w="943" w:type="dxa"/>
            <w:tcBorders>
              <w:top w:val="single" w:color="auto" w:sz="4" w:space="0"/>
              <w:left w:val="single" w:color="auto" w:sz="6" w:space="0"/>
              <w:bottom w:val="single" w:color="auto" w:sz="4" w:space="0"/>
              <w:right w:val="single" w:color="auto" w:sz="4" w:space="0"/>
            </w:tcBorders>
            <w:noWrap w:val="0"/>
            <w:vAlign w:val="center"/>
          </w:tcPr>
          <w:p w14:paraId="78151F66">
            <w:pPr>
              <w:jc w:val="center"/>
              <w:rPr>
                <w:color w:val="auto"/>
                <w:szCs w:val="21"/>
                <w:highlight w:val="none"/>
              </w:rPr>
            </w:pPr>
            <w:r>
              <w:rPr>
                <w:rFonts w:hint="eastAsia"/>
                <w:color w:val="auto"/>
                <w:szCs w:val="21"/>
                <w:highlight w:val="none"/>
              </w:rPr>
              <w:t>—</w:t>
            </w:r>
          </w:p>
        </w:tc>
        <w:tc>
          <w:tcPr>
            <w:tcW w:w="1009" w:type="dxa"/>
            <w:gridSpan w:val="3"/>
            <w:tcBorders>
              <w:top w:val="single" w:color="auto" w:sz="4" w:space="0"/>
              <w:left w:val="single" w:color="auto" w:sz="6" w:space="0"/>
              <w:bottom w:val="single" w:color="auto" w:sz="4" w:space="0"/>
              <w:right w:val="single" w:color="auto" w:sz="4" w:space="0"/>
            </w:tcBorders>
            <w:noWrap w:val="0"/>
            <w:vAlign w:val="center"/>
          </w:tcPr>
          <w:p w14:paraId="0BB1E326">
            <w:pPr>
              <w:jc w:val="center"/>
              <w:rPr>
                <w:color w:val="auto"/>
                <w:szCs w:val="21"/>
                <w:highlight w:val="none"/>
              </w:rPr>
            </w:pPr>
          </w:p>
        </w:tc>
        <w:tc>
          <w:tcPr>
            <w:tcW w:w="1290" w:type="dxa"/>
            <w:gridSpan w:val="3"/>
            <w:tcBorders>
              <w:top w:val="single" w:color="auto" w:sz="4" w:space="0"/>
              <w:left w:val="single" w:color="auto" w:sz="4" w:space="0"/>
              <w:bottom w:val="single" w:color="auto" w:sz="4" w:space="0"/>
              <w:right w:val="single" w:color="auto" w:sz="6" w:space="0"/>
            </w:tcBorders>
            <w:noWrap w:val="0"/>
            <w:vAlign w:val="center"/>
          </w:tcPr>
          <w:p w14:paraId="7F6169EE">
            <w:pPr>
              <w:jc w:val="center"/>
              <w:rPr>
                <w:color w:val="auto"/>
                <w:szCs w:val="21"/>
                <w:highlight w:val="none"/>
              </w:rPr>
            </w:pPr>
            <w:r>
              <w:rPr>
                <w:rFonts w:hint="eastAsia"/>
                <w:color w:val="auto"/>
                <w:szCs w:val="21"/>
                <w:highlight w:val="none"/>
              </w:rPr>
              <w:t>—</w:t>
            </w:r>
          </w:p>
        </w:tc>
        <w:tc>
          <w:tcPr>
            <w:tcW w:w="1110" w:type="dxa"/>
            <w:tcBorders>
              <w:top w:val="single" w:color="auto" w:sz="4" w:space="0"/>
              <w:left w:val="single" w:color="auto" w:sz="6" w:space="0"/>
              <w:bottom w:val="single" w:color="auto" w:sz="4" w:space="0"/>
              <w:right w:val="single" w:color="auto" w:sz="6" w:space="0"/>
            </w:tcBorders>
            <w:noWrap w:val="0"/>
            <w:vAlign w:val="center"/>
          </w:tcPr>
          <w:p w14:paraId="65913BBA">
            <w:pPr>
              <w:jc w:val="center"/>
              <w:rPr>
                <w:color w:val="auto"/>
                <w:szCs w:val="21"/>
                <w:highlight w:val="none"/>
              </w:rPr>
            </w:pPr>
          </w:p>
        </w:tc>
      </w:tr>
      <w:tr w14:paraId="7002B32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vMerge w:val="continue"/>
            <w:tcBorders>
              <w:top w:val="single" w:color="auto" w:sz="4" w:space="0"/>
              <w:left w:val="single" w:color="auto" w:sz="6" w:space="0"/>
              <w:bottom w:val="single" w:color="auto" w:sz="6" w:space="0"/>
              <w:right w:val="single" w:color="auto" w:sz="4" w:space="0"/>
            </w:tcBorders>
            <w:noWrap w:val="0"/>
            <w:vAlign w:val="center"/>
          </w:tcPr>
          <w:p w14:paraId="75928C28">
            <w:pPr>
              <w:widowControl/>
              <w:jc w:val="left"/>
              <w:rPr>
                <w:rFonts w:ascii="黑体" w:eastAsia="黑体"/>
                <w:color w:val="auto"/>
                <w:szCs w:val="21"/>
                <w:highlight w:val="none"/>
              </w:rPr>
            </w:pPr>
          </w:p>
        </w:tc>
        <w:tc>
          <w:tcPr>
            <w:tcW w:w="3888" w:type="dxa"/>
            <w:gridSpan w:val="10"/>
            <w:tcBorders>
              <w:top w:val="single" w:color="auto" w:sz="4" w:space="0"/>
              <w:left w:val="single" w:color="auto" w:sz="4" w:space="0"/>
              <w:bottom w:val="single" w:color="auto" w:sz="6" w:space="0"/>
              <w:right w:val="single" w:color="auto" w:sz="6" w:space="0"/>
            </w:tcBorders>
            <w:noWrap w:val="0"/>
            <w:vAlign w:val="center"/>
          </w:tcPr>
          <w:p w14:paraId="4B6F5767">
            <w:pPr>
              <w:jc w:val="center"/>
              <w:rPr>
                <w:color w:val="auto"/>
                <w:szCs w:val="21"/>
                <w:highlight w:val="none"/>
              </w:rPr>
            </w:pPr>
            <w:r>
              <w:rPr>
                <w:rFonts w:hint="eastAsia"/>
                <w:color w:val="auto"/>
                <w:szCs w:val="21"/>
                <w:highlight w:val="none"/>
              </w:rPr>
              <w:t>材料费小计</w:t>
            </w:r>
          </w:p>
        </w:tc>
        <w:tc>
          <w:tcPr>
            <w:tcW w:w="943" w:type="dxa"/>
            <w:tcBorders>
              <w:top w:val="single" w:color="auto" w:sz="4" w:space="0"/>
              <w:left w:val="single" w:color="auto" w:sz="6" w:space="0"/>
              <w:bottom w:val="single" w:color="auto" w:sz="6" w:space="0"/>
              <w:right w:val="single" w:color="auto" w:sz="4" w:space="0"/>
            </w:tcBorders>
            <w:noWrap w:val="0"/>
            <w:vAlign w:val="center"/>
          </w:tcPr>
          <w:p w14:paraId="53381DB5">
            <w:pPr>
              <w:jc w:val="center"/>
              <w:rPr>
                <w:color w:val="auto"/>
                <w:szCs w:val="21"/>
                <w:highlight w:val="none"/>
              </w:rPr>
            </w:pPr>
            <w:r>
              <w:rPr>
                <w:rFonts w:hint="eastAsia"/>
                <w:color w:val="auto"/>
                <w:szCs w:val="21"/>
                <w:highlight w:val="none"/>
              </w:rPr>
              <w:t>—</w:t>
            </w:r>
          </w:p>
        </w:tc>
        <w:tc>
          <w:tcPr>
            <w:tcW w:w="1009" w:type="dxa"/>
            <w:gridSpan w:val="3"/>
            <w:tcBorders>
              <w:top w:val="single" w:color="auto" w:sz="4" w:space="0"/>
              <w:left w:val="single" w:color="auto" w:sz="6" w:space="0"/>
              <w:bottom w:val="single" w:color="auto" w:sz="6" w:space="0"/>
              <w:right w:val="single" w:color="auto" w:sz="4" w:space="0"/>
            </w:tcBorders>
            <w:noWrap w:val="0"/>
            <w:vAlign w:val="center"/>
          </w:tcPr>
          <w:p w14:paraId="27E9D072">
            <w:pPr>
              <w:jc w:val="center"/>
              <w:rPr>
                <w:color w:val="auto"/>
                <w:szCs w:val="21"/>
                <w:highlight w:val="none"/>
              </w:rPr>
            </w:pPr>
          </w:p>
        </w:tc>
        <w:tc>
          <w:tcPr>
            <w:tcW w:w="1290" w:type="dxa"/>
            <w:gridSpan w:val="3"/>
            <w:tcBorders>
              <w:top w:val="single" w:color="auto" w:sz="4" w:space="0"/>
              <w:left w:val="single" w:color="auto" w:sz="4" w:space="0"/>
              <w:bottom w:val="single" w:color="auto" w:sz="6" w:space="0"/>
              <w:right w:val="single" w:color="auto" w:sz="6" w:space="0"/>
            </w:tcBorders>
            <w:noWrap w:val="0"/>
            <w:vAlign w:val="center"/>
          </w:tcPr>
          <w:p w14:paraId="2A05E773">
            <w:pPr>
              <w:jc w:val="center"/>
              <w:rPr>
                <w:color w:val="auto"/>
                <w:szCs w:val="21"/>
                <w:highlight w:val="none"/>
              </w:rPr>
            </w:pPr>
            <w:r>
              <w:rPr>
                <w:rFonts w:hint="eastAsia"/>
                <w:color w:val="auto"/>
                <w:szCs w:val="21"/>
                <w:highlight w:val="none"/>
              </w:rPr>
              <w:t>—</w:t>
            </w:r>
          </w:p>
        </w:tc>
        <w:tc>
          <w:tcPr>
            <w:tcW w:w="1110" w:type="dxa"/>
            <w:tcBorders>
              <w:top w:val="single" w:color="auto" w:sz="4" w:space="0"/>
              <w:left w:val="single" w:color="auto" w:sz="6" w:space="0"/>
              <w:bottom w:val="single" w:color="auto" w:sz="6" w:space="0"/>
              <w:right w:val="single" w:color="auto" w:sz="6" w:space="0"/>
            </w:tcBorders>
            <w:noWrap w:val="0"/>
            <w:vAlign w:val="center"/>
          </w:tcPr>
          <w:p w14:paraId="732A01CD">
            <w:pPr>
              <w:jc w:val="center"/>
              <w:rPr>
                <w:color w:val="auto"/>
                <w:szCs w:val="21"/>
                <w:highlight w:val="none"/>
              </w:rPr>
            </w:pPr>
          </w:p>
        </w:tc>
      </w:tr>
    </w:tbl>
    <w:p w14:paraId="12FDF408">
      <w:pPr>
        <w:rPr>
          <w:rFonts w:ascii="黑体" w:hAnsi="Times New Roman" w:eastAsia="黑体"/>
          <w:color w:val="auto"/>
          <w:highlight w:val="none"/>
        </w:rPr>
      </w:pPr>
    </w:p>
    <w:p w14:paraId="1651024D">
      <w:pPr>
        <w:rPr>
          <w:rFonts w:hint="eastAsia" w:ascii="Times New Roman"/>
          <w:color w:val="auto"/>
          <w:highlight w:val="none"/>
        </w:rPr>
      </w:pPr>
      <w:r>
        <w:rPr>
          <w:rFonts w:hint="eastAsia" w:ascii="宋体" w:hAnsi="宋体"/>
          <w:color w:val="auto"/>
          <w:highlight w:val="none"/>
        </w:rPr>
        <w:t>注</w:t>
      </w:r>
      <w:r>
        <w:rPr>
          <w:rFonts w:hint="eastAsia" w:ascii="黑体" w:eastAsia="黑体"/>
          <w:color w:val="auto"/>
          <w:highlight w:val="none"/>
        </w:rPr>
        <w:t>：1.</w:t>
      </w:r>
      <w:r>
        <w:rPr>
          <w:rFonts w:hint="eastAsia"/>
          <w:color w:val="auto"/>
          <w:highlight w:val="none"/>
        </w:rPr>
        <w:t>如不使用省级或行业建设主管部门发布的计价依据，可不填定额编号、名称等。</w:t>
      </w:r>
    </w:p>
    <w:p w14:paraId="7EBEDFBF">
      <w:pPr>
        <w:ind w:firstLine="420" w:firstLineChars="200"/>
        <w:rPr>
          <w:color w:val="auto"/>
          <w:highlight w:val="none"/>
        </w:rPr>
      </w:pPr>
      <w:r>
        <w:rPr>
          <w:color w:val="auto"/>
          <w:highlight w:val="none"/>
        </w:rPr>
        <w:t>2.</w:t>
      </w:r>
      <w:r>
        <w:rPr>
          <w:rFonts w:hint="eastAsia"/>
          <w:color w:val="auto"/>
          <w:highlight w:val="none"/>
        </w:rPr>
        <w:t>招标文件提供了暂估单价的材料，按暂估的单价填入表内“暂估单价”栏及“暂估合价”栏。</w:t>
      </w:r>
    </w:p>
    <w:p w14:paraId="2CDB8F54">
      <w:pPr>
        <w:rPr>
          <w:color w:val="auto"/>
          <w:highlight w:val="none"/>
        </w:rPr>
      </w:pPr>
    </w:p>
    <w:p w14:paraId="4ABB0E21">
      <w:pPr>
        <w:rPr>
          <w:color w:val="auto"/>
          <w:highlight w:val="none"/>
        </w:rPr>
      </w:pPr>
    </w:p>
    <w:p w14:paraId="5E81E2E1">
      <w:pPr>
        <w:pStyle w:val="33"/>
        <w:rPr>
          <w:color w:val="auto"/>
          <w:highlight w:val="none"/>
        </w:rPr>
      </w:pPr>
      <w:bookmarkStart w:id="2331" w:name="_Toc4224"/>
      <w:bookmarkStart w:id="2332" w:name="_Toc521075248"/>
      <w:bookmarkStart w:id="2333" w:name="_Toc521075673"/>
      <w:r>
        <w:rPr>
          <w:color w:val="auto"/>
          <w:highlight w:val="none"/>
        </w:rPr>
        <w:t>4.11</w:t>
      </w:r>
      <w:r>
        <w:rPr>
          <w:rFonts w:hint="eastAsia"/>
          <w:color w:val="auto"/>
          <w:highlight w:val="none"/>
        </w:rPr>
        <w:t>总价措施项目清单与计价表</w:t>
      </w:r>
      <w:bookmarkEnd w:id="2331"/>
      <w:bookmarkEnd w:id="2332"/>
      <w:bookmarkEnd w:id="2333"/>
    </w:p>
    <w:p w14:paraId="77DD2D8A">
      <w:pPr>
        <w:spacing w:before="120" w:beforeLines="50" w:after="120" w:afterLines="50"/>
        <w:jc w:val="center"/>
        <w:rPr>
          <w:rFonts w:ascii="黑体" w:eastAsia="黑体"/>
          <w:color w:val="auto"/>
          <w:sz w:val="28"/>
          <w:szCs w:val="28"/>
          <w:highlight w:val="none"/>
        </w:rPr>
      </w:pPr>
      <w:r>
        <w:rPr>
          <w:rFonts w:hint="eastAsia" w:ascii="黑体" w:eastAsia="黑体"/>
          <w:color w:val="auto"/>
          <w:sz w:val="28"/>
          <w:szCs w:val="28"/>
          <w:highlight w:val="none"/>
        </w:rPr>
        <w:t>总价措施项目清单与计价表</w:t>
      </w:r>
    </w:p>
    <w:p w14:paraId="1BDA7706">
      <w:pPr>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813"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1152"/>
        <w:gridCol w:w="2368"/>
        <w:gridCol w:w="1260"/>
        <w:gridCol w:w="1260"/>
        <w:gridCol w:w="1260"/>
        <w:gridCol w:w="937"/>
      </w:tblGrid>
      <w:tr w14:paraId="2D2873B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576" w:type="dxa"/>
            <w:tcBorders>
              <w:top w:val="single" w:color="auto" w:sz="6" w:space="0"/>
              <w:left w:val="single" w:color="auto" w:sz="6" w:space="0"/>
              <w:bottom w:val="single" w:color="auto" w:sz="4" w:space="0"/>
              <w:right w:val="single" w:color="auto" w:sz="4" w:space="0"/>
            </w:tcBorders>
            <w:noWrap w:val="0"/>
            <w:vAlign w:val="center"/>
          </w:tcPr>
          <w:p w14:paraId="6E7CBE3B">
            <w:pPr>
              <w:jc w:val="center"/>
              <w:rPr>
                <w:color w:val="auto"/>
                <w:szCs w:val="24"/>
                <w:highlight w:val="none"/>
              </w:rPr>
            </w:pPr>
            <w:r>
              <w:rPr>
                <w:rFonts w:hint="eastAsia"/>
                <w:color w:val="auto"/>
                <w:highlight w:val="none"/>
              </w:rPr>
              <w:t>序号</w:t>
            </w:r>
          </w:p>
        </w:tc>
        <w:tc>
          <w:tcPr>
            <w:tcW w:w="1152" w:type="dxa"/>
            <w:tcBorders>
              <w:top w:val="single" w:color="auto" w:sz="6" w:space="0"/>
              <w:left w:val="single" w:color="auto" w:sz="4" w:space="0"/>
              <w:bottom w:val="single" w:color="auto" w:sz="4" w:space="0"/>
              <w:right w:val="single" w:color="auto" w:sz="4" w:space="0"/>
            </w:tcBorders>
            <w:noWrap w:val="0"/>
            <w:vAlign w:val="center"/>
          </w:tcPr>
          <w:p w14:paraId="615F2EF0">
            <w:pPr>
              <w:jc w:val="center"/>
              <w:rPr>
                <w:color w:val="auto"/>
                <w:szCs w:val="24"/>
                <w:highlight w:val="none"/>
              </w:rPr>
            </w:pPr>
            <w:r>
              <w:rPr>
                <w:rFonts w:hint="eastAsia"/>
                <w:color w:val="auto"/>
                <w:highlight w:val="none"/>
              </w:rPr>
              <w:t>项目编码</w:t>
            </w:r>
          </w:p>
        </w:tc>
        <w:tc>
          <w:tcPr>
            <w:tcW w:w="2368" w:type="dxa"/>
            <w:tcBorders>
              <w:top w:val="single" w:color="auto" w:sz="6" w:space="0"/>
              <w:left w:val="single" w:color="auto" w:sz="4" w:space="0"/>
              <w:bottom w:val="single" w:color="auto" w:sz="4" w:space="0"/>
              <w:right w:val="single" w:color="auto" w:sz="4" w:space="0"/>
            </w:tcBorders>
            <w:noWrap w:val="0"/>
            <w:vAlign w:val="center"/>
          </w:tcPr>
          <w:p w14:paraId="639C3524">
            <w:pPr>
              <w:jc w:val="center"/>
              <w:rPr>
                <w:color w:val="auto"/>
                <w:szCs w:val="24"/>
                <w:highlight w:val="none"/>
              </w:rPr>
            </w:pPr>
            <w:r>
              <w:rPr>
                <w:rFonts w:hint="eastAsia"/>
                <w:color w:val="auto"/>
                <w:highlight w:val="none"/>
              </w:rPr>
              <w:t>项目名称</w:t>
            </w:r>
          </w:p>
        </w:tc>
        <w:tc>
          <w:tcPr>
            <w:tcW w:w="1260" w:type="dxa"/>
            <w:tcBorders>
              <w:top w:val="single" w:color="auto" w:sz="6" w:space="0"/>
              <w:left w:val="single" w:color="auto" w:sz="4" w:space="0"/>
              <w:bottom w:val="single" w:color="auto" w:sz="4" w:space="0"/>
              <w:right w:val="single" w:color="auto" w:sz="4" w:space="0"/>
            </w:tcBorders>
            <w:noWrap w:val="0"/>
            <w:vAlign w:val="center"/>
          </w:tcPr>
          <w:p w14:paraId="0C4798C7">
            <w:pPr>
              <w:jc w:val="center"/>
              <w:rPr>
                <w:color w:val="auto"/>
                <w:szCs w:val="24"/>
                <w:highlight w:val="none"/>
              </w:rPr>
            </w:pPr>
            <w:r>
              <w:rPr>
                <w:rFonts w:hint="eastAsia"/>
                <w:color w:val="auto"/>
                <w:highlight w:val="none"/>
              </w:rPr>
              <w:t>计算基础</w:t>
            </w:r>
          </w:p>
        </w:tc>
        <w:tc>
          <w:tcPr>
            <w:tcW w:w="1260" w:type="dxa"/>
            <w:tcBorders>
              <w:top w:val="single" w:color="auto" w:sz="6" w:space="0"/>
              <w:left w:val="single" w:color="auto" w:sz="4" w:space="0"/>
              <w:bottom w:val="single" w:color="auto" w:sz="4" w:space="0"/>
              <w:right w:val="single" w:color="auto" w:sz="4" w:space="0"/>
            </w:tcBorders>
            <w:noWrap w:val="0"/>
            <w:vAlign w:val="center"/>
          </w:tcPr>
          <w:p w14:paraId="5AE0CD50">
            <w:pPr>
              <w:jc w:val="center"/>
              <w:rPr>
                <w:color w:val="auto"/>
                <w:szCs w:val="24"/>
                <w:highlight w:val="none"/>
              </w:rPr>
            </w:pPr>
            <w:r>
              <w:rPr>
                <w:rFonts w:hint="eastAsia"/>
                <w:color w:val="auto"/>
                <w:highlight w:val="none"/>
              </w:rPr>
              <w:t>费率</w:t>
            </w:r>
            <w:r>
              <w:rPr>
                <w:color w:val="auto"/>
                <w:highlight w:val="none"/>
              </w:rPr>
              <w:t>(</w:t>
            </w:r>
            <w:r>
              <w:rPr>
                <w:rFonts w:hint="eastAsia"/>
                <w:color w:val="auto"/>
                <w:highlight w:val="none"/>
              </w:rPr>
              <w:t>％</w:t>
            </w:r>
            <w:r>
              <w:rPr>
                <w:color w:val="auto"/>
                <w:highlight w:val="none"/>
              </w:rPr>
              <w:t>)</w:t>
            </w:r>
          </w:p>
        </w:tc>
        <w:tc>
          <w:tcPr>
            <w:tcW w:w="1260" w:type="dxa"/>
            <w:tcBorders>
              <w:top w:val="single" w:color="auto" w:sz="6" w:space="0"/>
              <w:left w:val="single" w:color="auto" w:sz="4" w:space="0"/>
              <w:bottom w:val="single" w:color="auto" w:sz="4" w:space="0"/>
              <w:right w:val="single" w:color="auto" w:sz="4" w:space="0"/>
            </w:tcBorders>
            <w:noWrap w:val="0"/>
            <w:vAlign w:val="center"/>
          </w:tcPr>
          <w:p w14:paraId="5D59CE59">
            <w:pPr>
              <w:jc w:val="center"/>
              <w:rPr>
                <w:color w:val="auto"/>
                <w:szCs w:val="24"/>
                <w:highlight w:val="none"/>
              </w:rPr>
            </w:pPr>
            <w:r>
              <w:rPr>
                <w:rFonts w:hint="eastAsia"/>
                <w:color w:val="auto"/>
                <w:highlight w:val="none"/>
              </w:rPr>
              <w:t>金额</w:t>
            </w:r>
            <w:r>
              <w:rPr>
                <w:color w:val="auto"/>
                <w:highlight w:val="none"/>
              </w:rPr>
              <w:t>(</w:t>
            </w:r>
            <w:r>
              <w:rPr>
                <w:rFonts w:hint="eastAsia"/>
                <w:color w:val="auto"/>
                <w:highlight w:val="none"/>
              </w:rPr>
              <w:t>元</w:t>
            </w:r>
            <w:r>
              <w:rPr>
                <w:color w:val="auto"/>
                <w:highlight w:val="none"/>
              </w:rPr>
              <w:t>)</w:t>
            </w:r>
          </w:p>
        </w:tc>
        <w:tc>
          <w:tcPr>
            <w:tcW w:w="937" w:type="dxa"/>
            <w:tcBorders>
              <w:top w:val="single" w:color="auto" w:sz="6" w:space="0"/>
              <w:left w:val="single" w:color="auto" w:sz="4" w:space="0"/>
              <w:bottom w:val="single" w:color="auto" w:sz="4" w:space="0"/>
              <w:right w:val="single" w:color="auto" w:sz="6" w:space="0"/>
            </w:tcBorders>
            <w:noWrap w:val="0"/>
            <w:vAlign w:val="center"/>
          </w:tcPr>
          <w:p w14:paraId="4CE3A787">
            <w:pPr>
              <w:jc w:val="center"/>
              <w:rPr>
                <w:color w:val="auto"/>
                <w:szCs w:val="24"/>
                <w:highlight w:val="none"/>
              </w:rPr>
            </w:pPr>
            <w:r>
              <w:rPr>
                <w:rFonts w:hint="eastAsia"/>
                <w:color w:val="auto"/>
                <w:highlight w:val="none"/>
              </w:rPr>
              <w:t>备注</w:t>
            </w:r>
          </w:p>
        </w:tc>
      </w:tr>
      <w:tr w14:paraId="010B155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4" w:space="0"/>
              <w:left w:val="single" w:color="auto" w:sz="6" w:space="0"/>
              <w:bottom w:val="single" w:color="auto" w:sz="4" w:space="0"/>
              <w:right w:val="single" w:color="auto" w:sz="4" w:space="0"/>
            </w:tcBorders>
            <w:noWrap w:val="0"/>
            <w:vAlign w:val="center"/>
          </w:tcPr>
          <w:p w14:paraId="53043162">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1F93D46E">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15AB68DA">
            <w:pPr>
              <w:rPr>
                <w:color w:val="auto"/>
                <w:szCs w:val="24"/>
                <w:highlight w:val="none"/>
              </w:rPr>
            </w:pPr>
            <w:r>
              <w:rPr>
                <w:rFonts w:hint="eastAsia"/>
                <w:color w:val="auto"/>
                <w:highlight w:val="none"/>
              </w:rPr>
              <w:t>安全文明施工费</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1D7591F">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0A5E776">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D3B9715">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5952D422">
            <w:pPr>
              <w:jc w:val="center"/>
              <w:rPr>
                <w:color w:val="auto"/>
                <w:szCs w:val="24"/>
                <w:highlight w:val="none"/>
              </w:rPr>
            </w:pPr>
          </w:p>
        </w:tc>
      </w:tr>
      <w:tr w14:paraId="539B7FC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4" w:space="0"/>
              <w:left w:val="single" w:color="auto" w:sz="6" w:space="0"/>
              <w:bottom w:val="single" w:color="auto" w:sz="6" w:space="0"/>
              <w:right w:val="single" w:color="auto" w:sz="4" w:space="0"/>
            </w:tcBorders>
            <w:noWrap w:val="0"/>
            <w:vAlign w:val="center"/>
          </w:tcPr>
          <w:p w14:paraId="7E9DC59E">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13F91083">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2CD4823B">
            <w:pPr>
              <w:rPr>
                <w:color w:val="auto"/>
                <w:szCs w:val="24"/>
                <w:highlight w:val="none"/>
              </w:rPr>
            </w:pPr>
            <w:r>
              <w:rPr>
                <w:rFonts w:hint="eastAsia"/>
                <w:color w:val="auto"/>
                <w:highlight w:val="none"/>
              </w:rPr>
              <w:t>夜间施工增加费</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34900E0">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EB12520">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82A5878">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447E4EC0">
            <w:pPr>
              <w:jc w:val="center"/>
              <w:rPr>
                <w:color w:val="auto"/>
                <w:szCs w:val="24"/>
                <w:highlight w:val="none"/>
              </w:rPr>
            </w:pPr>
          </w:p>
        </w:tc>
      </w:tr>
      <w:tr w14:paraId="2BCFC37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6" w:space="0"/>
              <w:left w:val="single" w:color="auto" w:sz="6" w:space="0"/>
              <w:bottom w:val="single" w:color="auto" w:sz="4" w:space="0"/>
              <w:right w:val="single" w:color="auto" w:sz="4" w:space="0"/>
            </w:tcBorders>
            <w:noWrap w:val="0"/>
            <w:vAlign w:val="center"/>
          </w:tcPr>
          <w:p w14:paraId="1855D7DA">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4452F329">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2C9D2320">
            <w:pPr>
              <w:rPr>
                <w:color w:val="auto"/>
                <w:szCs w:val="24"/>
                <w:highlight w:val="none"/>
              </w:rPr>
            </w:pPr>
            <w:r>
              <w:rPr>
                <w:rFonts w:hint="eastAsia"/>
                <w:color w:val="auto"/>
                <w:highlight w:val="none"/>
              </w:rPr>
              <w:t>二次搬运费</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670EB7B">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F7D9B86">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65605DA">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00B7914D">
            <w:pPr>
              <w:jc w:val="center"/>
              <w:rPr>
                <w:color w:val="auto"/>
                <w:szCs w:val="24"/>
                <w:highlight w:val="none"/>
              </w:rPr>
            </w:pPr>
          </w:p>
        </w:tc>
      </w:tr>
      <w:tr w14:paraId="1ECFB8F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576" w:type="dxa"/>
            <w:tcBorders>
              <w:top w:val="single" w:color="auto" w:sz="4" w:space="0"/>
              <w:left w:val="single" w:color="auto" w:sz="6" w:space="0"/>
              <w:bottom w:val="single" w:color="auto" w:sz="4" w:space="0"/>
              <w:right w:val="single" w:color="auto" w:sz="4" w:space="0"/>
            </w:tcBorders>
            <w:noWrap w:val="0"/>
            <w:vAlign w:val="center"/>
          </w:tcPr>
          <w:p w14:paraId="335BE3B7">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25BC1E2E">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41018A40">
            <w:pPr>
              <w:rPr>
                <w:color w:val="auto"/>
                <w:szCs w:val="24"/>
                <w:highlight w:val="none"/>
              </w:rPr>
            </w:pPr>
            <w:r>
              <w:rPr>
                <w:rFonts w:hint="eastAsia"/>
                <w:color w:val="auto"/>
                <w:highlight w:val="none"/>
              </w:rPr>
              <w:t>冬雨季施工增加费</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F3A0439">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E768F1">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381FF1F">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300254C8">
            <w:pPr>
              <w:jc w:val="center"/>
              <w:rPr>
                <w:color w:val="auto"/>
                <w:szCs w:val="24"/>
                <w:highlight w:val="none"/>
              </w:rPr>
            </w:pPr>
          </w:p>
        </w:tc>
      </w:tr>
      <w:tr w14:paraId="37D704D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4" w:space="0"/>
              <w:left w:val="single" w:color="auto" w:sz="6" w:space="0"/>
              <w:bottom w:val="single" w:color="auto" w:sz="4" w:space="0"/>
              <w:right w:val="single" w:color="auto" w:sz="4" w:space="0"/>
            </w:tcBorders>
            <w:noWrap w:val="0"/>
            <w:vAlign w:val="center"/>
          </w:tcPr>
          <w:p w14:paraId="40A61F02">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2FE64EDB">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057B2A9D">
            <w:pPr>
              <w:rPr>
                <w:color w:val="auto"/>
                <w:szCs w:val="24"/>
                <w:highlight w:val="none"/>
              </w:rPr>
            </w:pPr>
            <w:r>
              <w:rPr>
                <w:rFonts w:hint="eastAsia"/>
                <w:color w:val="auto"/>
                <w:highlight w:val="none"/>
              </w:rPr>
              <w:t>已完工程及设备保护费</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C432676">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F83B2FA">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DE4E9AA">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5C00D635">
            <w:pPr>
              <w:jc w:val="center"/>
              <w:rPr>
                <w:color w:val="auto"/>
                <w:szCs w:val="24"/>
                <w:highlight w:val="none"/>
              </w:rPr>
            </w:pPr>
          </w:p>
        </w:tc>
      </w:tr>
      <w:tr w14:paraId="047691A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4" w:space="0"/>
              <w:left w:val="single" w:color="auto" w:sz="6" w:space="0"/>
              <w:bottom w:val="single" w:color="auto" w:sz="4" w:space="0"/>
              <w:right w:val="single" w:color="auto" w:sz="4" w:space="0"/>
            </w:tcBorders>
            <w:noWrap w:val="0"/>
            <w:vAlign w:val="center"/>
          </w:tcPr>
          <w:p w14:paraId="44D454D9">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199C5352">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582022CE">
            <w:pP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44A08AD">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97F4AA2">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4E43A53">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31F23C8D">
            <w:pPr>
              <w:jc w:val="center"/>
              <w:rPr>
                <w:color w:val="auto"/>
                <w:szCs w:val="24"/>
                <w:highlight w:val="none"/>
              </w:rPr>
            </w:pPr>
          </w:p>
        </w:tc>
      </w:tr>
      <w:tr w14:paraId="2840D20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4" w:space="0"/>
              <w:left w:val="single" w:color="auto" w:sz="6" w:space="0"/>
              <w:bottom w:val="single" w:color="auto" w:sz="4" w:space="0"/>
              <w:right w:val="single" w:color="auto" w:sz="4" w:space="0"/>
            </w:tcBorders>
            <w:noWrap w:val="0"/>
            <w:vAlign w:val="center"/>
          </w:tcPr>
          <w:p w14:paraId="731FC4E1">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7B15C0F4">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3888D87F">
            <w:pP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FE2EA61">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97EF3ED">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08E499D">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734B3F08">
            <w:pPr>
              <w:jc w:val="center"/>
              <w:rPr>
                <w:color w:val="auto"/>
                <w:szCs w:val="24"/>
                <w:highlight w:val="none"/>
              </w:rPr>
            </w:pPr>
          </w:p>
        </w:tc>
      </w:tr>
      <w:tr w14:paraId="3419B6A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576" w:type="dxa"/>
            <w:tcBorders>
              <w:top w:val="single" w:color="auto" w:sz="4" w:space="0"/>
              <w:left w:val="single" w:color="auto" w:sz="6" w:space="0"/>
              <w:bottom w:val="single" w:color="auto" w:sz="4" w:space="0"/>
              <w:right w:val="single" w:color="auto" w:sz="4" w:space="0"/>
            </w:tcBorders>
            <w:noWrap w:val="0"/>
            <w:vAlign w:val="center"/>
          </w:tcPr>
          <w:p w14:paraId="2FE6BA95">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2757337B">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33315544">
            <w:pP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DC02317">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B71DB2E">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BFDF59">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5ED5F6F1">
            <w:pPr>
              <w:jc w:val="center"/>
              <w:rPr>
                <w:color w:val="auto"/>
                <w:szCs w:val="24"/>
                <w:highlight w:val="none"/>
              </w:rPr>
            </w:pPr>
          </w:p>
        </w:tc>
      </w:tr>
      <w:tr w14:paraId="21A2BD2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4" w:space="0"/>
              <w:left w:val="single" w:color="auto" w:sz="6" w:space="0"/>
              <w:bottom w:val="single" w:color="auto" w:sz="4" w:space="0"/>
              <w:right w:val="single" w:color="auto" w:sz="4" w:space="0"/>
            </w:tcBorders>
            <w:noWrap w:val="0"/>
            <w:vAlign w:val="center"/>
          </w:tcPr>
          <w:p w14:paraId="421A0A64">
            <w:pPr>
              <w:jc w:val="center"/>
              <w:rPr>
                <w:rFonts w:ascii="黑体" w:eastAsia="黑体"/>
                <w:color w:val="auto"/>
                <w:szCs w:val="24"/>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522B7BDC">
            <w:pPr>
              <w:rPr>
                <w:color w:val="auto"/>
                <w:szCs w:val="24"/>
                <w:highlight w:val="none"/>
              </w:rPr>
            </w:pPr>
          </w:p>
        </w:tc>
        <w:tc>
          <w:tcPr>
            <w:tcW w:w="2368" w:type="dxa"/>
            <w:tcBorders>
              <w:top w:val="single" w:color="auto" w:sz="4" w:space="0"/>
              <w:left w:val="single" w:color="auto" w:sz="4" w:space="0"/>
              <w:bottom w:val="single" w:color="auto" w:sz="4" w:space="0"/>
              <w:right w:val="single" w:color="auto" w:sz="4" w:space="0"/>
            </w:tcBorders>
            <w:noWrap w:val="0"/>
            <w:vAlign w:val="center"/>
          </w:tcPr>
          <w:p w14:paraId="698160B3">
            <w:pP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E2F76AE">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2418646">
            <w:pPr>
              <w:jc w:val="center"/>
              <w:rPr>
                <w:color w:val="auto"/>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C3EEA85">
            <w:pPr>
              <w:jc w:val="center"/>
              <w:rPr>
                <w:color w:val="auto"/>
                <w:szCs w:val="24"/>
                <w:highlight w:val="none"/>
              </w:rPr>
            </w:pPr>
          </w:p>
        </w:tc>
        <w:tc>
          <w:tcPr>
            <w:tcW w:w="937" w:type="dxa"/>
            <w:tcBorders>
              <w:top w:val="single" w:color="auto" w:sz="4" w:space="0"/>
              <w:left w:val="single" w:color="auto" w:sz="4" w:space="0"/>
              <w:bottom w:val="single" w:color="auto" w:sz="4" w:space="0"/>
              <w:right w:val="single" w:color="auto" w:sz="6" w:space="0"/>
            </w:tcBorders>
            <w:noWrap w:val="0"/>
            <w:vAlign w:val="center"/>
          </w:tcPr>
          <w:p w14:paraId="157FDAFD">
            <w:pPr>
              <w:jc w:val="center"/>
              <w:rPr>
                <w:color w:val="auto"/>
                <w:szCs w:val="24"/>
                <w:highlight w:val="none"/>
              </w:rPr>
            </w:pPr>
          </w:p>
        </w:tc>
      </w:tr>
      <w:tr w14:paraId="7ACEC4B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6616" w:type="dxa"/>
            <w:gridSpan w:val="5"/>
            <w:tcBorders>
              <w:top w:val="single" w:color="auto" w:sz="4" w:space="0"/>
              <w:left w:val="single" w:color="auto" w:sz="6" w:space="0"/>
              <w:bottom w:val="single" w:color="auto" w:sz="6" w:space="0"/>
              <w:right w:val="single" w:color="auto" w:sz="4" w:space="0"/>
            </w:tcBorders>
            <w:noWrap w:val="0"/>
            <w:vAlign w:val="center"/>
          </w:tcPr>
          <w:p w14:paraId="18D8490F">
            <w:pPr>
              <w:jc w:val="center"/>
              <w:rPr>
                <w:color w:val="auto"/>
                <w:szCs w:val="24"/>
                <w:highlight w:val="none"/>
              </w:rPr>
            </w:pPr>
            <w:r>
              <w:rPr>
                <w:rFonts w:hint="eastAsia" w:ascii="黑体" w:eastAsia="黑体"/>
                <w:color w:val="auto"/>
                <w:highlight w:val="none"/>
              </w:rPr>
              <w:t>合计</w:t>
            </w:r>
          </w:p>
        </w:tc>
        <w:tc>
          <w:tcPr>
            <w:tcW w:w="1260" w:type="dxa"/>
            <w:tcBorders>
              <w:top w:val="single" w:color="auto" w:sz="4" w:space="0"/>
              <w:left w:val="single" w:color="auto" w:sz="4" w:space="0"/>
              <w:bottom w:val="single" w:color="auto" w:sz="6" w:space="0"/>
              <w:right w:val="single" w:color="auto" w:sz="4" w:space="0"/>
            </w:tcBorders>
            <w:noWrap w:val="0"/>
            <w:vAlign w:val="center"/>
          </w:tcPr>
          <w:p w14:paraId="11DAC899">
            <w:pPr>
              <w:jc w:val="center"/>
              <w:rPr>
                <w:color w:val="auto"/>
                <w:szCs w:val="24"/>
                <w:highlight w:val="none"/>
              </w:rPr>
            </w:pPr>
          </w:p>
        </w:tc>
        <w:tc>
          <w:tcPr>
            <w:tcW w:w="937" w:type="dxa"/>
            <w:tcBorders>
              <w:top w:val="single" w:color="auto" w:sz="4" w:space="0"/>
              <w:left w:val="single" w:color="auto" w:sz="4" w:space="0"/>
              <w:bottom w:val="single" w:color="auto" w:sz="6" w:space="0"/>
              <w:right w:val="single" w:color="auto" w:sz="6" w:space="0"/>
            </w:tcBorders>
            <w:noWrap w:val="0"/>
            <w:vAlign w:val="center"/>
          </w:tcPr>
          <w:p w14:paraId="1819BFE9">
            <w:pPr>
              <w:jc w:val="center"/>
              <w:rPr>
                <w:color w:val="auto"/>
                <w:szCs w:val="24"/>
                <w:highlight w:val="none"/>
              </w:rPr>
            </w:pPr>
          </w:p>
        </w:tc>
      </w:tr>
    </w:tbl>
    <w:p w14:paraId="77270F25">
      <w:pPr>
        <w:autoSpaceDE w:val="0"/>
        <w:autoSpaceDN w:val="0"/>
        <w:adjustRightInd w:val="0"/>
        <w:snapToGrid w:val="0"/>
        <w:jc w:val="left"/>
        <w:rPr>
          <w:rFonts w:ascii="宋体" w:hAnsi="宋体" w:cs="宋体"/>
          <w:color w:val="auto"/>
          <w:kern w:val="0"/>
          <w:sz w:val="19"/>
          <w:szCs w:val="19"/>
          <w:highlight w:val="none"/>
        </w:rPr>
      </w:pPr>
    </w:p>
    <w:p w14:paraId="0DF80E09">
      <w:pPr>
        <w:rPr>
          <w:rFonts w:hint="eastAsia" w:ascii="Times New Roman" w:hAnsi="Times New Roman"/>
          <w:color w:val="auto"/>
          <w:szCs w:val="24"/>
          <w:highlight w:val="none"/>
        </w:rPr>
      </w:pPr>
      <w:r>
        <w:rPr>
          <w:rFonts w:hint="eastAsia"/>
          <w:color w:val="auto"/>
          <w:highlight w:val="none"/>
        </w:rPr>
        <w:t>编制人（造价人员）：</w:t>
      </w:r>
      <w:r>
        <w:rPr>
          <w:color w:val="auto"/>
          <w:highlight w:val="none"/>
        </w:rPr>
        <w:t xml:space="preserve">                           </w:t>
      </w:r>
      <w:r>
        <w:rPr>
          <w:rFonts w:hint="eastAsia"/>
          <w:color w:val="auto"/>
          <w:highlight w:val="none"/>
        </w:rPr>
        <w:t>复核人（造价工程师）：</w:t>
      </w:r>
    </w:p>
    <w:p w14:paraId="772D0393">
      <w:pPr>
        <w:autoSpaceDE w:val="0"/>
        <w:autoSpaceDN w:val="0"/>
        <w:adjustRightInd w:val="0"/>
        <w:snapToGrid w:val="0"/>
        <w:jc w:val="left"/>
        <w:rPr>
          <w:color w:val="auto"/>
          <w:kern w:val="0"/>
          <w:sz w:val="24"/>
          <w:highlight w:val="none"/>
        </w:rPr>
      </w:pPr>
    </w:p>
    <w:p w14:paraId="03B395D8">
      <w:pPr>
        <w:ind w:left="735" w:hanging="735" w:hangingChars="350"/>
        <w:rPr>
          <w:color w:val="auto"/>
          <w:highlight w:val="none"/>
        </w:rPr>
      </w:pPr>
      <w:r>
        <w:rPr>
          <w:rFonts w:hint="eastAsia" w:ascii="宋体" w:hAnsi="宋体"/>
          <w:color w:val="auto"/>
          <w:highlight w:val="none"/>
        </w:rPr>
        <w:t>注：1．“计价基础”中安全文明施工费可为“定额人工费+定额机械费”，其他项目可为“定额人工费+定额机械费</w:t>
      </w:r>
      <w:r>
        <w:rPr>
          <w:color w:val="auto"/>
          <w:highlight w:val="none"/>
        </w:rPr>
        <w:t>”</w:t>
      </w:r>
      <w:r>
        <w:rPr>
          <w:rFonts w:hint="eastAsia"/>
          <w:color w:val="auto"/>
          <w:highlight w:val="none"/>
        </w:rPr>
        <w:t>。</w:t>
      </w:r>
    </w:p>
    <w:p w14:paraId="352113D3">
      <w:pPr>
        <w:ind w:left="735" w:leftChars="200" w:hanging="315" w:hangingChars="150"/>
        <w:rPr>
          <w:color w:val="auto"/>
          <w:highlight w:val="none"/>
        </w:rPr>
      </w:pPr>
      <w:r>
        <w:rPr>
          <w:color w:val="auto"/>
          <w:highlight w:val="none"/>
        </w:rPr>
        <w:t>2</w:t>
      </w:r>
      <w:r>
        <w:rPr>
          <w:rFonts w:hint="eastAsia"/>
          <w:color w:val="auto"/>
          <w:highlight w:val="none"/>
        </w:rPr>
        <w:t>．按施工方案计算的措施费，若无</w:t>
      </w:r>
      <w:r>
        <w:rPr>
          <w:color w:val="auto"/>
          <w:highlight w:val="none"/>
        </w:rPr>
        <w:t>“</w:t>
      </w:r>
      <w:r>
        <w:rPr>
          <w:rFonts w:hint="eastAsia"/>
          <w:color w:val="auto"/>
          <w:highlight w:val="none"/>
        </w:rPr>
        <w:t>计算基础</w:t>
      </w:r>
      <w:r>
        <w:rPr>
          <w:color w:val="auto"/>
          <w:highlight w:val="none"/>
        </w:rPr>
        <w:t>”</w:t>
      </w:r>
      <w:r>
        <w:rPr>
          <w:rFonts w:hint="eastAsia"/>
          <w:color w:val="auto"/>
          <w:highlight w:val="none"/>
        </w:rPr>
        <w:t>和</w:t>
      </w:r>
      <w:r>
        <w:rPr>
          <w:color w:val="auto"/>
          <w:highlight w:val="none"/>
        </w:rPr>
        <w:t>“</w:t>
      </w:r>
      <w:r>
        <w:rPr>
          <w:rFonts w:hint="eastAsia"/>
          <w:color w:val="auto"/>
          <w:highlight w:val="none"/>
        </w:rPr>
        <w:t>费率</w:t>
      </w:r>
      <w:r>
        <w:rPr>
          <w:color w:val="auto"/>
          <w:highlight w:val="none"/>
        </w:rPr>
        <w:t>”</w:t>
      </w:r>
      <w:r>
        <w:rPr>
          <w:rFonts w:hint="eastAsia"/>
          <w:color w:val="auto"/>
          <w:highlight w:val="none"/>
        </w:rPr>
        <w:t>的数值，也可只填</w:t>
      </w:r>
      <w:r>
        <w:rPr>
          <w:color w:val="auto"/>
          <w:highlight w:val="none"/>
        </w:rPr>
        <w:t>“</w:t>
      </w:r>
      <w:r>
        <w:rPr>
          <w:rFonts w:hint="eastAsia"/>
          <w:color w:val="auto"/>
          <w:highlight w:val="none"/>
        </w:rPr>
        <w:t>金额</w:t>
      </w:r>
      <w:r>
        <w:rPr>
          <w:color w:val="auto"/>
          <w:highlight w:val="none"/>
        </w:rPr>
        <w:t>”</w:t>
      </w:r>
      <w:r>
        <w:rPr>
          <w:rFonts w:hint="eastAsia"/>
          <w:color w:val="auto"/>
          <w:highlight w:val="none"/>
        </w:rPr>
        <w:t>数值，但应在备注栏说明施工方案出处或计算方法。</w:t>
      </w:r>
    </w:p>
    <w:p w14:paraId="6518CDA3">
      <w:pPr>
        <w:rPr>
          <w:color w:val="auto"/>
          <w:highlight w:val="none"/>
        </w:rPr>
      </w:pPr>
    </w:p>
    <w:p w14:paraId="3AC7AD59">
      <w:pPr>
        <w:rPr>
          <w:color w:val="auto"/>
          <w:highlight w:val="none"/>
        </w:rPr>
      </w:pPr>
    </w:p>
    <w:p w14:paraId="1079DDAC">
      <w:pPr>
        <w:rPr>
          <w:color w:val="auto"/>
          <w:highlight w:val="none"/>
        </w:rPr>
      </w:pPr>
    </w:p>
    <w:p w14:paraId="54610B10">
      <w:pPr>
        <w:pStyle w:val="33"/>
        <w:rPr>
          <w:color w:val="auto"/>
          <w:highlight w:val="none"/>
        </w:rPr>
      </w:pPr>
      <w:bookmarkStart w:id="2334" w:name="_Toc27267"/>
      <w:bookmarkStart w:id="2335" w:name="_Toc521075674"/>
      <w:bookmarkStart w:id="2336" w:name="_Toc521075249"/>
      <w:r>
        <w:rPr>
          <w:color w:val="auto"/>
          <w:highlight w:val="none"/>
        </w:rPr>
        <w:t>4.12</w:t>
      </w:r>
      <w:r>
        <w:rPr>
          <w:rFonts w:hint="eastAsia"/>
          <w:color w:val="auto"/>
          <w:highlight w:val="none"/>
        </w:rPr>
        <w:t>其他项目清单与计价汇总表</w:t>
      </w:r>
      <w:bookmarkEnd w:id="2334"/>
      <w:bookmarkEnd w:id="2335"/>
      <w:bookmarkEnd w:id="2336"/>
    </w:p>
    <w:p w14:paraId="795532BF">
      <w:pPr>
        <w:spacing w:before="120" w:beforeLines="50" w:after="120" w:afterLines="50"/>
        <w:jc w:val="center"/>
        <w:rPr>
          <w:rFonts w:ascii="黑体" w:eastAsia="黑体"/>
          <w:color w:val="auto"/>
          <w:sz w:val="28"/>
          <w:szCs w:val="28"/>
          <w:highlight w:val="none"/>
        </w:rPr>
      </w:pPr>
      <w:r>
        <w:rPr>
          <w:rFonts w:hint="eastAsia" w:ascii="黑体" w:eastAsia="黑体"/>
          <w:color w:val="auto"/>
          <w:sz w:val="28"/>
          <w:szCs w:val="28"/>
          <w:highlight w:val="none"/>
        </w:rPr>
        <w:t>其他项目清单与计价汇总表</w:t>
      </w:r>
    </w:p>
    <w:p w14:paraId="421D6513">
      <w:pPr>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463"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2924"/>
        <w:gridCol w:w="1573"/>
        <w:gridCol w:w="1573"/>
        <w:gridCol w:w="1574"/>
      </w:tblGrid>
      <w:tr w14:paraId="31EBC9F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tcBorders>
              <w:top w:val="single" w:color="auto" w:sz="6" w:space="0"/>
              <w:left w:val="single" w:color="auto" w:sz="6" w:space="0"/>
              <w:bottom w:val="single" w:color="auto" w:sz="4" w:space="0"/>
              <w:right w:val="single" w:color="auto" w:sz="4" w:space="0"/>
            </w:tcBorders>
            <w:noWrap w:val="0"/>
            <w:vAlign w:val="center"/>
          </w:tcPr>
          <w:p w14:paraId="28B46E68">
            <w:pPr>
              <w:jc w:val="center"/>
              <w:rPr>
                <w:color w:val="auto"/>
                <w:szCs w:val="24"/>
                <w:highlight w:val="none"/>
              </w:rPr>
            </w:pPr>
            <w:r>
              <w:rPr>
                <w:rFonts w:hint="eastAsia"/>
                <w:color w:val="auto"/>
                <w:highlight w:val="none"/>
              </w:rPr>
              <w:t>序号</w:t>
            </w:r>
          </w:p>
        </w:tc>
        <w:tc>
          <w:tcPr>
            <w:tcW w:w="2924" w:type="dxa"/>
            <w:tcBorders>
              <w:top w:val="single" w:color="auto" w:sz="6" w:space="0"/>
              <w:left w:val="single" w:color="auto" w:sz="4" w:space="0"/>
              <w:bottom w:val="single" w:color="auto" w:sz="4" w:space="0"/>
              <w:right w:val="single" w:color="auto" w:sz="4" w:space="0"/>
            </w:tcBorders>
            <w:noWrap w:val="0"/>
            <w:vAlign w:val="center"/>
          </w:tcPr>
          <w:p w14:paraId="5F6A09C1">
            <w:pPr>
              <w:jc w:val="center"/>
              <w:rPr>
                <w:color w:val="auto"/>
                <w:szCs w:val="24"/>
                <w:highlight w:val="none"/>
              </w:rPr>
            </w:pPr>
            <w:r>
              <w:rPr>
                <w:rFonts w:hint="eastAsia"/>
                <w:color w:val="auto"/>
                <w:highlight w:val="none"/>
              </w:rPr>
              <w:t>项目名称</w:t>
            </w:r>
          </w:p>
        </w:tc>
        <w:tc>
          <w:tcPr>
            <w:tcW w:w="1573" w:type="dxa"/>
            <w:tcBorders>
              <w:top w:val="single" w:color="auto" w:sz="6" w:space="0"/>
              <w:left w:val="single" w:color="auto" w:sz="4" w:space="0"/>
              <w:bottom w:val="single" w:color="auto" w:sz="4" w:space="0"/>
              <w:right w:val="single" w:color="auto" w:sz="4" w:space="0"/>
            </w:tcBorders>
            <w:noWrap w:val="0"/>
            <w:vAlign w:val="center"/>
          </w:tcPr>
          <w:p w14:paraId="2AE7D7B4">
            <w:pPr>
              <w:jc w:val="center"/>
              <w:rPr>
                <w:color w:val="auto"/>
                <w:szCs w:val="24"/>
                <w:highlight w:val="none"/>
              </w:rPr>
            </w:pPr>
            <w:r>
              <w:rPr>
                <w:rFonts w:hint="eastAsia"/>
                <w:color w:val="auto"/>
                <w:highlight w:val="none"/>
              </w:rPr>
              <w:t>金额</w:t>
            </w:r>
            <w:r>
              <w:rPr>
                <w:color w:val="auto"/>
                <w:highlight w:val="none"/>
              </w:rPr>
              <w:t>(</w:t>
            </w:r>
            <w:r>
              <w:rPr>
                <w:rFonts w:hint="eastAsia"/>
                <w:color w:val="auto"/>
                <w:highlight w:val="none"/>
              </w:rPr>
              <w:t>元</w:t>
            </w:r>
            <w:r>
              <w:rPr>
                <w:color w:val="auto"/>
                <w:highlight w:val="none"/>
              </w:rPr>
              <w:t>)</w:t>
            </w:r>
          </w:p>
        </w:tc>
        <w:tc>
          <w:tcPr>
            <w:tcW w:w="1573" w:type="dxa"/>
            <w:tcBorders>
              <w:top w:val="single" w:color="auto" w:sz="6" w:space="0"/>
              <w:left w:val="single" w:color="auto" w:sz="4" w:space="0"/>
              <w:bottom w:val="single" w:color="auto" w:sz="4" w:space="0"/>
              <w:right w:val="single" w:color="auto" w:sz="4" w:space="0"/>
            </w:tcBorders>
            <w:noWrap w:val="0"/>
            <w:vAlign w:val="center"/>
          </w:tcPr>
          <w:p w14:paraId="53359848">
            <w:pPr>
              <w:jc w:val="center"/>
              <w:rPr>
                <w:color w:val="auto"/>
                <w:szCs w:val="24"/>
                <w:highlight w:val="none"/>
              </w:rPr>
            </w:pPr>
            <w:r>
              <w:rPr>
                <w:rFonts w:hint="eastAsia"/>
                <w:color w:val="auto"/>
                <w:highlight w:val="none"/>
              </w:rPr>
              <w:t>结算金额</w:t>
            </w:r>
            <w:r>
              <w:rPr>
                <w:color w:val="auto"/>
                <w:highlight w:val="none"/>
              </w:rPr>
              <w:t>(</w:t>
            </w:r>
            <w:r>
              <w:rPr>
                <w:rFonts w:hint="eastAsia"/>
                <w:color w:val="auto"/>
                <w:highlight w:val="none"/>
              </w:rPr>
              <w:t>元</w:t>
            </w:r>
            <w:r>
              <w:rPr>
                <w:color w:val="auto"/>
                <w:highlight w:val="none"/>
              </w:rPr>
              <w:t>)</w:t>
            </w:r>
          </w:p>
        </w:tc>
        <w:tc>
          <w:tcPr>
            <w:tcW w:w="1574" w:type="dxa"/>
            <w:tcBorders>
              <w:top w:val="single" w:color="auto" w:sz="6" w:space="0"/>
              <w:left w:val="single" w:color="auto" w:sz="4" w:space="0"/>
              <w:bottom w:val="single" w:color="auto" w:sz="4" w:space="0"/>
              <w:right w:val="single" w:color="auto" w:sz="6" w:space="0"/>
            </w:tcBorders>
            <w:noWrap w:val="0"/>
            <w:vAlign w:val="center"/>
          </w:tcPr>
          <w:p w14:paraId="1DEA33C7">
            <w:pPr>
              <w:jc w:val="center"/>
              <w:rPr>
                <w:color w:val="auto"/>
                <w:szCs w:val="24"/>
                <w:highlight w:val="none"/>
              </w:rPr>
            </w:pPr>
            <w:r>
              <w:rPr>
                <w:rFonts w:hint="eastAsia"/>
                <w:color w:val="auto"/>
                <w:highlight w:val="none"/>
              </w:rPr>
              <w:t>备注</w:t>
            </w:r>
          </w:p>
        </w:tc>
      </w:tr>
      <w:tr w14:paraId="65A30ED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4" w:space="0"/>
              <w:left w:val="single" w:color="auto" w:sz="6" w:space="0"/>
              <w:bottom w:val="single" w:color="auto" w:sz="4" w:space="0"/>
              <w:right w:val="single" w:color="auto" w:sz="4" w:space="0"/>
            </w:tcBorders>
            <w:noWrap w:val="0"/>
            <w:vAlign w:val="center"/>
          </w:tcPr>
          <w:p w14:paraId="28C44D19">
            <w:pPr>
              <w:jc w:val="center"/>
              <w:rPr>
                <w:rFonts w:ascii="黑体" w:eastAsia="黑体"/>
                <w:color w:val="auto"/>
                <w:szCs w:val="24"/>
                <w:highlight w:val="none"/>
              </w:rPr>
            </w:pPr>
            <w:r>
              <w:rPr>
                <w:rFonts w:hint="eastAsia" w:ascii="黑体" w:eastAsia="黑体"/>
                <w:color w:val="auto"/>
                <w:highlight w:val="none"/>
              </w:rPr>
              <w:t>1</w:t>
            </w:r>
          </w:p>
        </w:tc>
        <w:tc>
          <w:tcPr>
            <w:tcW w:w="2924" w:type="dxa"/>
            <w:tcBorders>
              <w:top w:val="single" w:color="auto" w:sz="4" w:space="0"/>
              <w:left w:val="single" w:color="auto" w:sz="4" w:space="0"/>
              <w:bottom w:val="single" w:color="auto" w:sz="4" w:space="0"/>
              <w:right w:val="single" w:color="auto" w:sz="4" w:space="0"/>
            </w:tcBorders>
            <w:noWrap w:val="0"/>
            <w:vAlign w:val="center"/>
          </w:tcPr>
          <w:p w14:paraId="3E339B93">
            <w:pPr>
              <w:rPr>
                <w:color w:val="auto"/>
                <w:szCs w:val="24"/>
                <w:highlight w:val="none"/>
              </w:rPr>
            </w:pPr>
            <w:r>
              <w:rPr>
                <w:rFonts w:hint="eastAsia"/>
                <w:color w:val="auto"/>
                <w:highlight w:val="none"/>
              </w:rPr>
              <w:t>暂列金额</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4AF92320">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08EA36FF">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16F0FE61">
            <w:pPr>
              <w:jc w:val="center"/>
              <w:rPr>
                <w:color w:val="auto"/>
                <w:szCs w:val="24"/>
                <w:highlight w:val="none"/>
              </w:rPr>
            </w:pPr>
            <w:r>
              <w:rPr>
                <w:rFonts w:hint="eastAsia"/>
                <w:color w:val="auto"/>
                <w:highlight w:val="none"/>
              </w:rPr>
              <w:t>明细详见</w:t>
            </w:r>
          </w:p>
          <w:p w14:paraId="56109677">
            <w:pPr>
              <w:jc w:val="center"/>
              <w:rPr>
                <w:color w:val="auto"/>
                <w:szCs w:val="24"/>
                <w:highlight w:val="none"/>
              </w:rPr>
            </w:pPr>
            <w:r>
              <w:rPr>
                <w:rFonts w:hint="eastAsia"/>
                <w:color w:val="auto"/>
                <w:highlight w:val="none"/>
              </w:rPr>
              <w:t>表</w:t>
            </w:r>
            <w:r>
              <w:rPr>
                <w:color w:val="auto"/>
                <w:highlight w:val="none"/>
              </w:rPr>
              <w:t>4.12-1</w:t>
            </w:r>
          </w:p>
        </w:tc>
      </w:tr>
      <w:tr w14:paraId="16F61D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4" w:space="0"/>
              <w:left w:val="single" w:color="auto" w:sz="6" w:space="0"/>
              <w:bottom w:val="single" w:color="auto" w:sz="6" w:space="0"/>
              <w:right w:val="single" w:color="auto" w:sz="4" w:space="0"/>
            </w:tcBorders>
            <w:noWrap w:val="0"/>
            <w:vAlign w:val="center"/>
          </w:tcPr>
          <w:p w14:paraId="4CF1E7E5">
            <w:pPr>
              <w:jc w:val="center"/>
              <w:rPr>
                <w:rFonts w:ascii="黑体" w:eastAsia="黑体"/>
                <w:color w:val="auto"/>
                <w:szCs w:val="24"/>
                <w:highlight w:val="none"/>
              </w:rPr>
            </w:pPr>
            <w:r>
              <w:rPr>
                <w:rFonts w:hint="eastAsia" w:ascii="黑体" w:eastAsia="黑体"/>
                <w:color w:val="auto"/>
                <w:highlight w:val="none"/>
              </w:rPr>
              <w:t>2</w:t>
            </w:r>
          </w:p>
        </w:tc>
        <w:tc>
          <w:tcPr>
            <w:tcW w:w="2924" w:type="dxa"/>
            <w:tcBorders>
              <w:top w:val="single" w:color="auto" w:sz="4" w:space="0"/>
              <w:left w:val="single" w:color="auto" w:sz="4" w:space="0"/>
              <w:bottom w:val="single" w:color="auto" w:sz="4" w:space="0"/>
              <w:right w:val="single" w:color="auto" w:sz="4" w:space="0"/>
            </w:tcBorders>
            <w:noWrap w:val="0"/>
            <w:vAlign w:val="center"/>
          </w:tcPr>
          <w:p w14:paraId="244A549E">
            <w:pPr>
              <w:rPr>
                <w:color w:val="auto"/>
                <w:szCs w:val="24"/>
                <w:highlight w:val="none"/>
              </w:rPr>
            </w:pPr>
            <w:r>
              <w:rPr>
                <w:rFonts w:hint="eastAsia"/>
                <w:color w:val="auto"/>
                <w:highlight w:val="none"/>
              </w:rPr>
              <w:t>暂估价</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B6EE05A">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260AF14C">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0DF9637B">
            <w:pPr>
              <w:jc w:val="center"/>
              <w:rPr>
                <w:color w:val="auto"/>
                <w:szCs w:val="24"/>
                <w:highlight w:val="none"/>
              </w:rPr>
            </w:pPr>
          </w:p>
        </w:tc>
      </w:tr>
      <w:tr w14:paraId="6DD5720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6" w:space="0"/>
              <w:left w:val="single" w:color="auto" w:sz="6" w:space="0"/>
              <w:bottom w:val="single" w:color="auto" w:sz="4" w:space="0"/>
              <w:right w:val="single" w:color="auto" w:sz="4" w:space="0"/>
            </w:tcBorders>
            <w:noWrap w:val="0"/>
            <w:vAlign w:val="center"/>
          </w:tcPr>
          <w:p w14:paraId="424D3C38">
            <w:pPr>
              <w:jc w:val="center"/>
              <w:rPr>
                <w:rFonts w:ascii="黑体" w:eastAsia="黑体"/>
                <w:color w:val="auto"/>
                <w:szCs w:val="24"/>
                <w:highlight w:val="none"/>
              </w:rPr>
            </w:pPr>
            <w:r>
              <w:rPr>
                <w:rFonts w:hint="eastAsia" w:ascii="黑体" w:eastAsia="黑体"/>
                <w:color w:val="auto"/>
                <w:highlight w:val="none"/>
              </w:rPr>
              <w:t>2.1</w:t>
            </w:r>
          </w:p>
        </w:tc>
        <w:tc>
          <w:tcPr>
            <w:tcW w:w="2924" w:type="dxa"/>
            <w:tcBorders>
              <w:top w:val="single" w:color="auto" w:sz="4" w:space="0"/>
              <w:left w:val="single" w:color="auto" w:sz="4" w:space="0"/>
              <w:bottom w:val="single" w:color="auto" w:sz="4" w:space="0"/>
              <w:right w:val="single" w:color="auto" w:sz="4" w:space="0"/>
            </w:tcBorders>
            <w:noWrap w:val="0"/>
            <w:vAlign w:val="center"/>
          </w:tcPr>
          <w:p w14:paraId="48D17DC1">
            <w:pPr>
              <w:rPr>
                <w:color w:val="auto"/>
                <w:szCs w:val="24"/>
                <w:highlight w:val="none"/>
              </w:rPr>
            </w:pPr>
            <w:r>
              <w:rPr>
                <w:rFonts w:hint="eastAsia"/>
                <w:color w:val="auto"/>
                <w:highlight w:val="none"/>
              </w:rPr>
              <w:t>材料（工程设备）暂估价</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5B0D76B">
            <w:pPr>
              <w:jc w:val="center"/>
              <w:rPr>
                <w:color w:val="auto"/>
                <w:szCs w:val="24"/>
                <w:highlight w:val="none"/>
              </w:rPr>
            </w:pPr>
            <w:r>
              <w:rPr>
                <w:rFonts w:hint="eastAsia"/>
                <w:color w:val="auto"/>
                <w:szCs w:val="21"/>
                <w:highlight w:val="none"/>
              </w:rPr>
              <w:t>—</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B88C420">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714A32AF">
            <w:pPr>
              <w:jc w:val="center"/>
              <w:rPr>
                <w:color w:val="auto"/>
                <w:szCs w:val="24"/>
                <w:highlight w:val="none"/>
              </w:rPr>
            </w:pPr>
            <w:r>
              <w:rPr>
                <w:rFonts w:hint="eastAsia"/>
                <w:color w:val="auto"/>
                <w:highlight w:val="none"/>
              </w:rPr>
              <w:t>明细详见</w:t>
            </w:r>
          </w:p>
          <w:p w14:paraId="14F5A6D3">
            <w:pPr>
              <w:jc w:val="center"/>
              <w:rPr>
                <w:color w:val="auto"/>
                <w:szCs w:val="24"/>
                <w:highlight w:val="none"/>
              </w:rPr>
            </w:pPr>
            <w:r>
              <w:rPr>
                <w:rFonts w:hint="eastAsia"/>
                <w:color w:val="auto"/>
                <w:highlight w:val="none"/>
              </w:rPr>
              <w:t>表</w:t>
            </w:r>
            <w:r>
              <w:rPr>
                <w:color w:val="auto"/>
                <w:highlight w:val="none"/>
              </w:rPr>
              <w:t>4.12-2</w:t>
            </w:r>
          </w:p>
        </w:tc>
      </w:tr>
      <w:tr w14:paraId="1B9B1E4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tcBorders>
              <w:top w:val="single" w:color="auto" w:sz="4" w:space="0"/>
              <w:left w:val="single" w:color="auto" w:sz="6" w:space="0"/>
              <w:bottom w:val="single" w:color="auto" w:sz="4" w:space="0"/>
              <w:right w:val="single" w:color="auto" w:sz="4" w:space="0"/>
            </w:tcBorders>
            <w:noWrap w:val="0"/>
            <w:vAlign w:val="center"/>
          </w:tcPr>
          <w:p w14:paraId="360D8451">
            <w:pPr>
              <w:jc w:val="center"/>
              <w:rPr>
                <w:rFonts w:ascii="黑体" w:eastAsia="黑体"/>
                <w:color w:val="auto"/>
                <w:szCs w:val="24"/>
                <w:highlight w:val="none"/>
              </w:rPr>
            </w:pPr>
            <w:r>
              <w:rPr>
                <w:rFonts w:hint="eastAsia" w:ascii="黑体" w:eastAsia="黑体"/>
                <w:color w:val="auto"/>
                <w:highlight w:val="none"/>
              </w:rPr>
              <w:t>2.2</w:t>
            </w:r>
          </w:p>
        </w:tc>
        <w:tc>
          <w:tcPr>
            <w:tcW w:w="2924" w:type="dxa"/>
            <w:tcBorders>
              <w:top w:val="single" w:color="auto" w:sz="4" w:space="0"/>
              <w:left w:val="single" w:color="auto" w:sz="4" w:space="0"/>
              <w:bottom w:val="single" w:color="auto" w:sz="4" w:space="0"/>
              <w:right w:val="single" w:color="auto" w:sz="4" w:space="0"/>
            </w:tcBorders>
            <w:noWrap w:val="0"/>
            <w:vAlign w:val="center"/>
          </w:tcPr>
          <w:p w14:paraId="164A40DF">
            <w:pPr>
              <w:rPr>
                <w:color w:val="auto"/>
                <w:szCs w:val="24"/>
                <w:highlight w:val="none"/>
              </w:rPr>
            </w:pPr>
            <w:r>
              <w:rPr>
                <w:rFonts w:hint="eastAsia"/>
                <w:color w:val="auto"/>
                <w:highlight w:val="none"/>
              </w:rPr>
              <w:t>专业工程暂估价</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04BA3045">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2A91E548">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0A94D152">
            <w:pPr>
              <w:jc w:val="center"/>
              <w:rPr>
                <w:color w:val="auto"/>
                <w:szCs w:val="24"/>
                <w:highlight w:val="none"/>
              </w:rPr>
            </w:pPr>
            <w:r>
              <w:rPr>
                <w:rFonts w:hint="eastAsia"/>
                <w:color w:val="auto"/>
                <w:highlight w:val="none"/>
              </w:rPr>
              <w:t>明细详见</w:t>
            </w:r>
          </w:p>
          <w:p w14:paraId="556FD6FD">
            <w:pPr>
              <w:jc w:val="center"/>
              <w:rPr>
                <w:color w:val="auto"/>
                <w:szCs w:val="24"/>
                <w:highlight w:val="none"/>
              </w:rPr>
            </w:pPr>
            <w:r>
              <w:rPr>
                <w:rFonts w:hint="eastAsia"/>
                <w:color w:val="auto"/>
                <w:highlight w:val="none"/>
              </w:rPr>
              <w:t>表</w:t>
            </w:r>
            <w:r>
              <w:rPr>
                <w:color w:val="auto"/>
                <w:highlight w:val="none"/>
              </w:rPr>
              <w:t>4.12-3</w:t>
            </w:r>
          </w:p>
        </w:tc>
      </w:tr>
      <w:tr w14:paraId="6500692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4" w:space="0"/>
              <w:left w:val="single" w:color="auto" w:sz="6" w:space="0"/>
              <w:bottom w:val="single" w:color="auto" w:sz="4" w:space="0"/>
              <w:right w:val="single" w:color="auto" w:sz="4" w:space="0"/>
            </w:tcBorders>
            <w:noWrap w:val="0"/>
            <w:vAlign w:val="center"/>
          </w:tcPr>
          <w:p w14:paraId="0B7DEA17">
            <w:pPr>
              <w:jc w:val="center"/>
              <w:rPr>
                <w:rFonts w:ascii="黑体" w:eastAsia="黑体"/>
                <w:color w:val="auto"/>
                <w:szCs w:val="24"/>
                <w:highlight w:val="none"/>
              </w:rPr>
            </w:pPr>
            <w:r>
              <w:rPr>
                <w:rFonts w:hint="eastAsia" w:ascii="黑体" w:eastAsia="黑体"/>
                <w:color w:val="auto"/>
                <w:highlight w:val="none"/>
              </w:rPr>
              <w:t>3</w:t>
            </w:r>
          </w:p>
        </w:tc>
        <w:tc>
          <w:tcPr>
            <w:tcW w:w="2924" w:type="dxa"/>
            <w:tcBorders>
              <w:top w:val="single" w:color="auto" w:sz="4" w:space="0"/>
              <w:left w:val="single" w:color="auto" w:sz="4" w:space="0"/>
              <w:bottom w:val="single" w:color="auto" w:sz="4" w:space="0"/>
              <w:right w:val="single" w:color="auto" w:sz="4" w:space="0"/>
            </w:tcBorders>
            <w:noWrap w:val="0"/>
            <w:vAlign w:val="center"/>
          </w:tcPr>
          <w:p w14:paraId="3983E9BE">
            <w:pPr>
              <w:rPr>
                <w:color w:val="auto"/>
                <w:szCs w:val="24"/>
                <w:highlight w:val="none"/>
              </w:rPr>
            </w:pPr>
            <w:r>
              <w:rPr>
                <w:rFonts w:hint="eastAsia"/>
                <w:color w:val="auto"/>
                <w:highlight w:val="none"/>
              </w:rPr>
              <w:t>计日工</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7BBA069">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6EB2E6BB">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7C395B5D">
            <w:pPr>
              <w:jc w:val="center"/>
              <w:rPr>
                <w:color w:val="auto"/>
                <w:szCs w:val="24"/>
                <w:highlight w:val="none"/>
              </w:rPr>
            </w:pPr>
            <w:r>
              <w:rPr>
                <w:rFonts w:hint="eastAsia"/>
                <w:color w:val="auto"/>
                <w:highlight w:val="none"/>
              </w:rPr>
              <w:t>明细详见</w:t>
            </w:r>
          </w:p>
          <w:p w14:paraId="65A0314C">
            <w:pPr>
              <w:jc w:val="center"/>
              <w:rPr>
                <w:color w:val="auto"/>
                <w:szCs w:val="24"/>
                <w:highlight w:val="none"/>
              </w:rPr>
            </w:pPr>
            <w:r>
              <w:rPr>
                <w:rFonts w:hint="eastAsia"/>
                <w:color w:val="auto"/>
                <w:highlight w:val="none"/>
              </w:rPr>
              <w:t>表</w:t>
            </w:r>
            <w:r>
              <w:rPr>
                <w:color w:val="auto"/>
                <w:highlight w:val="none"/>
              </w:rPr>
              <w:t>4.12-4</w:t>
            </w:r>
          </w:p>
        </w:tc>
      </w:tr>
      <w:tr w14:paraId="4F9E4AF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4" w:space="0"/>
              <w:left w:val="single" w:color="auto" w:sz="6" w:space="0"/>
              <w:bottom w:val="single" w:color="auto" w:sz="4" w:space="0"/>
              <w:right w:val="single" w:color="auto" w:sz="4" w:space="0"/>
            </w:tcBorders>
            <w:noWrap w:val="0"/>
            <w:vAlign w:val="center"/>
          </w:tcPr>
          <w:p w14:paraId="058CA571">
            <w:pPr>
              <w:jc w:val="center"/>
              <w:rPr>
                <w:rFonts w:ascii="黑体" w:eastAsia="黑体"/>
                <w:color w:val="auto"/>
                <w:szCs w:val="24"/>
                <w:highlight w:val="none"/>
              </w:rPr>
            </w:pPr>
            <w:r>
              <w:rPr>
                <w:rFonts w:hint="eastAsia" w:ascii="黑体" w:eastAsia="黑体"/>
                <w:color w:val="auto"/>
                <w:highlight w:val="none"/>
              </w:rPr>
              <w:t>4</w:t>
            </w:r>
          </w:p>
        </w:tc>
        <w:tc>
          <w:tcPr>
            <w:tcW w:w="2924" w:type="dxa"/>
            <w:tcBorders>
              <w:top w:val="single" w:color="auto" w:sz="4" w:space="0"/>
              <w:left w:val="single" w:color="auto" w:sz="4" w:space="0"/>
              <w:bottom w:val="single" w:color="auto" w:sz="4" w:space="0"/>
              <w:right w:val="single" w:color="auto" w:sz="4" w:space="0"/>
            </w:tcBorders>
            <w:noWrap w:val="0"/>
            <w:vAlign w:val="center"/>
          </w:tcPr>
          <w:p w14:paraId="1C95E225">
            <w:pPr>
              <w:rPr>
                <w:color w:val="auto"/>
                <w:szCs w:val="24"/>
                <w:highlight w:val="none"/>
              </w:rPr>
            </w:pPr>
            <w:r>
              <w:rPr>
                <w:rFonts w:hint="eastAsia"/>
                <w:color w:val="auto"/>
                <w:highlight w:val="none"/>
              </w:rPr>
              <w:t>总承包服务费</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05632F99">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4DBFCB4C">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60505575">
            <w:pPr>
              <w:jc w:val="center"/>
              <w:rPr>
                <w:color w:val="auto"/>
                <w:szCs w:val="24"/>
                <w:highlight w:val="none"/>
              </w:rPr>
            </w:pPr>
            <w:r>
              <w:rPr>
                <w:rFonts w:hint="eastAsia"/>
                <w:color w:val="auto"/>
                <w:highlight w:val="none"/>
              </w:rPr>
              <w:t>明细详见</w:t>
            </w:r>
          </w:p>
          <w:p w14:paraId="2CFD1156">
            <w:pPr>
              <w:jc w:val="center"/>
              <w:rPr>
                <w:color w:val="auto"/>
                <w:szCs w:val="24"/>
                <w:highlight w:val="none"/>
              </w:rPr>
            </w:pPr>
            <w:r>
              <w:rPr>
                <w:rFonts w:hint="eastAsia"/>
                <w:color w:val="auto"/>
                <w:highlight w:val="none"/>
              </w:rPr>
              <w:t>表</w:t>
            </w:r>
            <w:r>
              <w:rPr>
                <w:color w:val="auto"/>
                <w:highlight w:val="none"/>
              </w:rPr>
              <w:t>4.12-5</w:t>
            </w:r>
          </w:p>
        </w:tc>
      </w:tr>
      <w:tr w14:paraId="21FBF9A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4" w:space="0"/>
              <w:left w:val="single" w:color="auto" w:sz="6" w:space="0"/>
              <w:bottom w:val="single" w:color="auto" w:sz="4" w:space="0"/>
              <w:right w:val="single" w:color="auto" w:sz="4" w:space="0"/>
            </w:tcBorders>
            <w:noWrap w:val="0"/>
            <w:vAlign w:val="center"/>
          </w:tcPr>
          <w:p w14:paraId="35BCD973">
            <w:pPr>
              <w:jc w:val="center"/>
              <w:rPr>
                <w:color w:val="auto"/>
                <w:szCs w:val="24"/>
                <w:highlight w:val="none"/>
              </w:rPr>
            </w:pPr>
          </w:p>
        </w:tc>
        <w:tc>
          <w:tcPr>
            <w:tcW w:w="2924" w:type="dxa"/>
            <w:tcBorders>
              <w:top w:val="single" w:color="auto" w:sz="4" w:space="0"/>
              <w:left w:val="single" w:color="auto" w:sz="4" w:space="0"/>
              <w:bottom w:val="single" w:color="auto" w:sz="4" w:space="0"/>
              <w:right w:val="single" w:color="auto" w:sz="4" w:space="0"/>
            </w:tcBorders>
            <w:noWrap w:val="0"/>
            <w:vAlign w:val="center"/>
          </w:tcPr>
          <w:p w14:paraId="602D01C1">
            <w:pP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36D3E495">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6C5FAEB4">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47DCD986">
            <w:pPr>
              <w:jc w:val="center"/>
              <w:rPr>
                <w:color w:val="auto"/>
                <w:szCs w:val="24"/>
                <w:highlight w:val="none"/>
              </w:rPr>
            </w:pPr>
          </w:p>
        </w:tc>
      </w:tr>
      <w:tr w14:paraId="225D180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tcBorders>
              <w:top w:val="single" w:color="auto" w:sz="4" w:space="0"/>
              <w:left w:val="single" w:color="auto" w:sz="6" w:space="0"/>
              <w:bottom w:val="single" w:color="auto" w:sz="4" w:space="0"/>
              <w:right w:val="single" w:color="auto" w:sz="4" w:space="0"/>
            </w:tcBorders>
            <w:noWrap w:val="0"/>
            <w:vAlign w:val="center"/>
          </w:tcPr>
          <w:p w14:paraId="086D54B0">
            <w:pPr>
              <w:jc w:val="center"/>
              <w:rPr>
                <w:color w:val="auto"/>
                <w:szCs w:val="24"/>
                <w:highlight w:val="none"/>
              </w:rPr>
            </w:pPr>
          </w:p>
        </w:tc>
        <w:tc>
          <w:tcPr>
            <w:tcW w:w="2924" w:type="dxa"/>
            <w:tcBorders>
              <w:top w:val="single" w:color="auto" w:sz="4" w:space="0"/>
              <w:left w:val="single" w:color="auto" w:sz="4" w:space="0"/>
              <w:bottom w:val="single" w:color="auto" w:sz="4" w:space="0"/>
              <w:right w:val="single" w:color="auto" w:sz="4" w:space="0"/>
            </w:tcBorders>
            <w:noWrap w:val="0"/>
            <w:vAlign w:val="center"/>
          </w:tcPr>
          <w:p w14:paraId="328F6D0F">
            <w:pP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1C5E2F02">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0467A174">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2466BF70">
            <w:pPr>
              <w:jc w:val="center"/>
              <w:rPr>
                <w:color w:val="auto"/>
                <w:szCs w:val="24"/>
                <w:highlight w:val="none"/>
              </w:rPr>
            </w:pPr>
          </w:p>
        </w:tc>
      </w:tr>
      <w:tr w14:paraId="1869701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4" w:space="0"/>
              <w:left w:val="single" w:color="auto" w:sz="6" w:space="0"/>
              <w:bottom w:val="single" w:color="auto" w:sz="4" w:space="0"/>
              <w:right w:val="single" w:color="auto" w:sz="4" w:space="0"/>
            </w:tcBorders>
            <w:noWrap w:val="0"/>
            <w:vAlign w:val="center"/>
          </w:tcPr>
          <w:p w14:paraId="620586D0">
            <w:pPr>
              <w:jc w:val="center"/>
              <w:rPr>
                <w:color w:val="auto"/>
                <w:szCs w:val="24"/>
                <w:highlight w:val="none"/>
              </w:rPr>
            </w:pPr>
          </w:p>
        </w:tc>
        <w:tc>
          <w:tcPr>
            <w:tcW w:w="2924" w:type="dxa"/>
            <w:tcBorders>
              <w:top w:val="single" w:color="auto" w:sz="4" w:space="0"/>
              <w:left w:val="single" w:color="auto" w:sz="4" w:space="0"/>
              <w:bottom w:val="single" w:color="auto" w:sz="4" w:space="0"/>
              <w:right w:val="single" w:color="auto" w:sz="4" w:space="0"/>
            </w:tcBorders>
            <w:noWrap w:val="0"/>
            <w:vAlign w:val="center"/>
          </w:tcPr>
          <w:p w14:paraId="7B885A1D">
            <w:pP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0EA1F53">
            <w:pPr>
              <w:jc w:val="center"/>
              <w:rPr>
                <w:color w:val="auto"/>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1AA46BC2">
            <w:pPr>
              <w:jc w:val="center"/>
              <w:rPr>
                <w:color w:val="auto"/>
                <w:szCs w:val="24"/>
                <w:highlight w:val="none"/>
              </w:rPr>
            </w:pPr>
          </w:p>
        </w:tc>
        <w:tc>
          <w:tcPr>
            <w:tcW w:w="1574" w:type="dxa"/>
            <w:tcBorders>
              <w:top w:val="single" w:color="auto" w:sz="4" w:space="0"/>
              <w:left w:val="single" w:color="auto" w:sz="4" w:space="0"/>
              <w:bottom w:val="single" w:color="auto" w:sz="4" w:space="0"/>
              <w:right w:val="single" w:color="auto" w:sz="6" w:space="0"/>
            </w:tcBorders>
            <w:noWrap w:val="0"/>
            <w:vAlign w:val="center"/>
          </w:tcPr>
          <w:p w14:paraId="559B4636">
            <w:pPr>
              <w:jc w:val="center"/>
              <w:rPr>
                <w:color w:val="auto"/>
                <w:szCs w:val="24"/>
                <w:highlight w:val="none"/>
              </w:rPr>
            </w:pPr>
          </w:p>
        </w:tc>
      </w:tr>
      <w:tr w14:paraId="6C4EC0A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3743" w:type="dxa"/>
            <w:gridSpan w:val="2"/>
            <w:tcBorders>
              <w:top w:val="single" w:color="auto" w:sz="4" w:space="0"/>
              <w:left w:val="single" w:color="auto" w:sz="6" w:space="0"/>
              <w:bottom w:val="single" w:color="auto" w:sz="6" w:space="0"/>
              <w:right w:val="single" w:color="auto" w:sz="4" w:space="0"/>
            </w:tcBorders>
            <w:noWrap w:val="0"/>
            <w:vAlign w:val="center"/>
          </w:tcPr>
          <w:p w14:paraId="3CBB4F08">
            <w:pPr>
              <w:jc w:val="center"/>
              <w:rPr>
                <w:color w:val="auto"/>
                <w:szCs w:val="24"/>
                <w:highlight w:val="none"/>
              </w:rPr>
            </w:pPr>
            <w:r>
              <w:rPr>
                <w:rFonts w:hint="eastAsia"/>
                <w:color w:val="auto"/>
                <w:highlight w:val="none"/>
              </w:rPr>
              <w:t>合计</w:t>
            </w:r>
          </w:p>
        </w:tc>
        <w:tc>
          <w:tcPr>
            <w:tcW w:w="1573" w:type="dxa"/>
            <w:tcBorders>
              <w:top w:val="single" w:color="auto" w:sz="4" w:space="0"/>
              <w:left w:val="single" w:color="auto" w:sz="4" w:space="0"/>
              <w:bottom w:val="single" w:color="auto" w:sz="6" w:space="0"/>
              <w:right w:val="single" w:color="auto" w:sz="4" w:space="0"/>
            </w:tcBorders>
            <w:noWrap w:val="0"/>
            <w:vAlign w:val="center"/>
          </w:tcPr>
          <w:p w14:paraId="73464E7D">
            <w:pPr>
              <w:jc w:val="center"/>
              <w:rPr>
                <w:color w:val="auto"/>
                <w:szCs w:val="24"/>
                <w:highlight w:val="none"/>
              </w:rPr>
            </w:pPr>
          </w:p>
        </w:tc>
        <w:tc>
          <w:tcPr>
            <w:tcW w:w="1573" w:type="dxa"/>
            <w:tcBorders>
              <w:top w:val="single" w:color="auto" w:sz="4" w:space="0"/>
              <w:left w:val="single" w:color="auto" w:sz="4" w:space="0"/>
              <w:bottom w:val="single" w:color="auto" w:sz="6" w:space="0"/>
              <w:right w:val="single" w:color="auto" w:sz="4" w:space="0"/>
            </w:tcBorders>
            <w:noWrap w:val="0"/>
            <w:vAlign w:val="center"/>
          </w:tcPr>
          <w:p w14:paraId="396DC28C">
            <w:pPr>
              <w:jc w:val="center"/>
              <w:rPr>
                <w:color w:val="auto"/>
                <w:szCs w:val="24"/>
                <w:highlight w:val="none"/>
              </w:rPr>
            </w:pPr>
          </w:p>
        </w:tc>
        <w:tc>
          <w:tcPr>
            <w:tcW w:w="1574" w:type="dxa"/>
            <w:tcBorders>
              <w:top w:val="single" w:color="auto" w:sz="4" w:space="0"/>
              <w:left w:val="single" w:color="auto" w:sz="4" w:space="0"/>
              <w:bottom w:val="single" w:color="auto" w:sz="6" w:space="0"/>
              <w:right w:val="single" w:color="auto" w:sz="6" w:space="0"/>
            </w:tcBorders>
            <w:noWrap w:val="0"/>
            <w:vAlign w:val="center"/>
          </w:tcPr>
          <w:p w14:paraId="3965EB27">
            <w:pPr>
              <w:jc w:val="center"/>
              <w:rPr>
                <w:color w:val="auto"/>
                <w:szCs w:val="24"/>
                <w:highlight w:val="none"/>
              </w:rPr>
            </w:pPr>
            <w:r>
              <w:rPr>
                <w:rFonts w:hint="eastAsia"/>
                <w:color w:val="auto"/>
                <w:highlight w:val="none"/>
              </w:rPr>
              <w:t>—</w:t>
            </w:r>
          </w:p>
        </w:tc>
      </w:tr>
    </w:tbl>
    <w:p w14:paraId="714789FE">
      <w:pPr>
        <w:spacing w:before="120" w:beforeLines="50"/>
        <w:rPr>
          <w:rFonts w:ascii="Times New Roman" w:hAnsi="Times New Roman"/>
          <w:color w:val="auto"/>
          <w:highlight w:val="none"/>
        </w:rPr>
      </w:pPr>
      <w:r>
        <w:rPr>
          <w:rFonts w:hint="eastAsia" w:ascii="宋体" w:hAnsi="宋体"/>
          <w:color w:val="auto"/>
          <w:highlight w:val="none"/>
        </w:rPr>
        <w:t>注：材</w:t>
      </w:r>
      <w:r>
        <w:rPr>
          <w:rFonts w:hint="eastAsia"/>
          <w:color w:val="auto"/>
          <w:highlight w:val="none"/>
        </w:rPr>
        <w:t>料（工程设备）暂估单价进入清单项目综合单价，此处不汇总。</w:t>
      </w:r>
    </w:p>
    <w:p w14:paraId="64350071">
      <w:pPr>
        <w:spacing w:before="120" w:beforeLines="50"/>
        <w:rPr>
          <w:color w:val="auto"/>
          <w:highlight w:val="none"/>
        </w:rPr>
      </w:pPr>
    </w:p>
    <w:p w14:paraId="00909EC5">
      <w:pPr>
        <w:spacing w:before="120" w:beforeLines="50"/>
        <w:rPr>
          <w:color w:val="auto"/>
          <w:highlight w:val="none"/>
        </w:rPr>
      </w:pPr>
    </w:p>
    <w:p w14:paraId="248F1DD9">
      <w:pPr>
        <w:spacing w:before="120" w:beforeLines="50"/>
        <w:rPr>
          <w:color w:val="auto"/>
          <w:highlight w:val="none"/>
        </w:rPr>
      </w:pPr>
    </w:p>
    <w:p w14:paraId="2DEB9C1B">
      <w:pPr>
        <w:spacing w:before="120" w:beforeLines="50"/>
        <w:rPr>
          <w:color w:val="auto"/>
          <w:highlight w:val="none"/>
        </w:rPr>
      </w:pPr>
    </w:p>
    <w:p w14:paraId="6BD1DCCE">
      <w:pPr>
        <w:spacing w:before="120" w:beforeLines="50"/>
        <w:rPr>
          <w:color w:val="auto"/>
          <w:highlight w:val="none"/>
        </w:rPr>
      </w:pPr>
    </w:p>
    <w:p w14:paraId="7252A6F5">
      <w:pPr>
        <w:pStyle w:val="33"/>
        <w:rPr>
          <w:color w:val="auto"/>
          <w:highlight w:val="none"/>
        </w:rPr>
      </w:pPr>
      <w:bookmarkStart w:id="2337" w:name="_Toc31668"/>
      <w:bookmarkStart w:id="2338" w:name="_Toc521075675"/>
      <w:bookmarkStart w:id="2339" w:name="_Toc521075250"/>
      <w:r>
        <w:rPr>
          <w:color w:val="auto"/>
          <w:highlight w:val="none"/>
        </w:rPr>
        <w:t>4.12-1</w:t>
      </w:r>
      <w:r>
        <w:rPr>
          <w:rFonts w:hint="eastAsia"/>
          <w:color w:val="auto"/>
          <w:highlight w:val="none"/>
        </w:rPr>
        <w:t>暂列金额明细表</w:t>
      </w:r>
      <w:bookmarkEnd w:id="2337"/>
      <w:bookmarkEnd w:id="2338"/>
      <w:bookmarkEnd w:id="2339"/>
    </w:p>
    <w:p w14:paraId="327DD43A">
      <w:pPr>
        <w:spacing w:before="120" w:beforeLines="50" w:after="120" w:afterLines="50"/>
        <w:jc w:val="center"/>
        <w:rPr>
          <w:rFonts w:ascii="黑体" w:eastAsia="黑体"/>
          <w:color w:val="auto"/>
          <w:sz w:val="28"/>
          <w:szCs w:val="28"/>
          <w:highlight w:val="none"/>
        </w:rPr>
      </w:pPr>
      <w:r>
        <w:rPr>
          <w:rFonts w:hint="eastAsia" w:ascii="黑体" w:eastAsia="黑体"/>
          <w:color w:val="auto"/>
          <w:sz w:val="28"/>
          <w:szCs w:val="28"/>
          <w:highlight w:val="none"/>
        </w:rPr>
        <w:t>暂列金额明细表</w:t>
      </w:r>
    </w:p>
    <w:p w14:paraId="7767BEC9">
      <w:pPr>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469"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3069"/>
        <w:gridCol w:w="1527"/>
        <w:gridCol w:w="1527"/>
        <w:gridCol w:w="1527"/>
      </w:tblGrid>
      <w:tr w14:paraId="1AEC087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tcBorders>
              <w:top w:val="single" w:color="auto" w:sz="6" w:space="0"/>
              <w:left w:val="single" w:color="auto" w:sz="6" w:space="0"/>
              <w:bottom w:val="single" w:color="auto" w:sz="4" w:space="0"/>
              <w:right w:val="single" w:color="auto" w:sz="4" w:space="0"/>
            </w:tcBorders>
            <w:noWrap w:val="0"/>
            <w:vAlign w:val="center"/>
          </w:tcPr>
          <w:p w14:paraId="16462167">
            <w:pPr>
              <w:jc w:val="center"/>
              <w:rPr>
                <w:color w:val="auto"/>
                <w:szCs w:val="24"/>
                <w:highlight w:val="none"/>
              </w:rPr>
            </w:pPr>
            <w:r>
              <w:rPr>
                <w:rFonts w:hint="eastAsia"/>
                <w:color w:val="auto"/>
                <w:highlight w:val="none"/>
              </w:rPr>
              <w:t>序号</w:t>
            </w:r>
          </w:p>
        </w:tc>
        <w:tc>
          <w:tcPr>
            <w:tcW w:w="3069" w:type="dxa"/>
            <w:tcBorders>
              <w:top w:val="single" w:color="auto" w:sz="6" w:space="0"/>
              <w:left w:val="single" w:color="auto" w:sz="4" w:space="0"/>
              <w:bottom w:val="single" w:color="auto" w:sz="4" w:space="0"/>
              <w:right w:val="single" w:color="auto" w:sz="4" w:space="0"/>
            </w:tcBorders>
            <w:noWrap w:val="0"/>
            <w:vAlign w:val="center"/>
          </w:tcPr>
          <w:p w14:paraId="69507310">
            <w:pPr>
              <w:jc w:val="center"/>
              <w:rPr>
                <w:color w:val="auto"/>
                <w:szCs w:val="24"/>
                <w:highlight w:val="none"/>
              </w:rPr>
            </w:pPr>
            <w:r>
              <w:rPr>
                <w:rFonts w:hint="eastAsia"/>
                <w:color w:val="auto"/>
                <w:highlight w:val="none"/>
              </w:rPr>
              <w:t>项目名称</w:t>
            </w:r>
          </w:p>
        </w:tc>
        <w:tc>
          <w:tcPr>
            <w:tcW w:w="1526" w:type="dxa"/>
            <w:tcBorders>
              <w:top w:val="single" w:color="auto" w:sz="6" w:space="0"/>
              <w:left w:val="single" w:color="auto" w:sz="4" w:space="0"/>
              <w:bottom w:val="single" w:color="auto" w:sz="4" w:space="0"/>
              <w:right w:val="single" w:color="auto" w:sz="4" w:space="0"/>
            </w:tcBorders>
            <w:noWrap w:val="0"/>
            <w:vAlign w:val="center"/>
          </w:tcPr>
          <w:p w14:paraId="25BD4897">
            <w:pPr>
              <w:jc w:val="center"/>
              <w:rPr>
                <w:color w:val="auto"/>
                <w:szCs w:val="24"/>
                <w:highlight w:val="none"/>
              </w:rPr>
            </w:pPr>
            <w:r>
              <w:rPr>
                <w:rFonts w:hint="eastAsia"/>
                <w:color w:val="auto"/>
                <w:highlight w:val="none"/>
              </w:rPr>
              <w:t>计量单位</w:t>
            </w:r>
          </w:p>
        </w:tc>
        <w:tc>
          <w:tcPr>
            <w:tcW w:w="1527" w:type="dxa"/>
            <w:tcBorders>
              <w:top w:val="single" w:color="auto" w:sz="6" w:space="0"/>
              <w:left w:val="single" w:color="auto" w:sz="4" w:space="0"/>
              <w:bottom w:val="single" w:color="auto" w:sz="4" w:space="0"/>
              <w:right w:val="single" w:color="auto" w:sz="4" w:space="0"/>
            </w:tcBorders>
            <w:noWrap w:val="0"/>
            <w:vAlign w:val="center"/>
          </w:tcPr>
          <w:p w14:paraId="555CA80F">
            <w:pPr>
              <w:jc w:val="center"/>
              <w:rPr>
                <w:color w:val="auto"/>
                <w:szCs w:val="24"/>
                <w:highlight w:val="none"/>
              </w:rPr>
            </w:pPr>
            <w:r>
              <w:rPr>
                <w:rFonts w:hint="eastAsia"/>
                <w:color w:val="auto"/>
                <w:highlight w:val="none"/>
              </w:rPr>
              <w:t>暂定金额</w:t>
            </w:r>
          </w:p>
          <w:p w14:paraId="764CE10E">
            <w:pPr>
              <w:jc w:val="center"/>
              <w:rPr>
                <w:color w:val="auto"/>
                <w:szCs w:val="24"/>
                <w:highlight w:val="none"/>
              </w:rPr>
            </w:pPr>
            <w:r>
              <w:rPr>
                <w:color w:val="auto"/>
                <w:highlight w:val="none"/>
              </w:rPr>
              <w:t>(</w:t>
            </w:r>
            <w:r>
              <w:rPr>
                <w:rFonts w:hint="eastAsia"/>
                <w:color w:val="auto"/>
                <w:highlight w:val="none"/>
              </w:rPr>
              <w:t>元</w:t>
            </w:r>
            <w:r>
              <w:rPr>
                <w:color w:val="auto"/>
                <w:highlight w:val="none"/>
              </w:rPr>
              <w:t>)</w:t>
            </w:r>
          </w:p>
        </w:tc>
        <w:tc>
          <w:tcPr>
            <w:tcW w:w="1527" w:type="dxa"/>
            <w:tcBorders>
              <w:top w:val="single" w:color="auto" w:sz="6" w:space="0"/>
              <w:left w:val="single" w:color="auto" w:sz="4" w:space="0"/>
              <w:bottom w:val="single" w:color="auto" w:sz="4" w:space="0"/>
              <w:right w:val="single" w:color="auto" w:sz="6" w:space="0"/>
            </w:tcBorders>
            <w:noWrap w:val="0"/>
            <w:vAlign w:val="center"/>
          </w:tcPr>
          <w:p w14:paraId="3237D55F">
            <w:pPr>
              <w:jc w:val="center"/>
              <w:rPr>
                <w:color w:val="auto"/>
                <w:szCs w:val="24"/>
                <w:highlight w:val="none"/>
              </w:rPr>
            </w:pPr>
            <w:r>
              <w:rPr>
                <w:rFonts w:hint="eastAsia"/>
                <w:color w:val="auto"/>
                <w:highlight w:val="none"/>
              </w:rPr>
              <w:t>备注</w:t>
            </w:r>
          </w:p>
        </w:tc>
      </w:tr>
      <w:tr w14:paraId="152138F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3AE2BB0C">
            <w:pPr>
              <w:jc w:val="center"/>
              <w:rPr>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124F3CF0">
            <w:pPr>
              <w:jc w:val="cente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0A267864">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1A1F6A65">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0A03E772">
            <w:pPr>
              <w:jc w:val="center"/>
              <w:rPr>
                <w:color w:val="auto"/>
                <w:szCs w:val="24"/>
                <w:highlight w:val="none"/>
              </w:rPr>
            </w:pPr>
          </w:p>
        </w:tc>
      </w:tr>
      <w:tr w14:paraId="185DF0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4" w:space="0"/>
              <w:left w:val="single" w:color="auto" w:sz="6" w:space="0"/>
              <w:bottom w:val="single" w:color="auto" w:sz="6" w:space="0"/>
              <w:right w:val="single" w:color="auto" w:sz="4" w:space="0"/>
            </w:tcBorders>
            <w:noWrap w:val="0"/>
            <w:vAlign w:val="center"/>
          </w:tcPr>
          <w:p w14:paraId="2A638F35">
            <w:pPr>
              <w:jc w:val="center"/>
              <w:rPr>
                <w:rFonts w:ascii="黑体" w:eastAsia="黑体"/>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191B424C">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7A17ACF1">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266018BB">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44A52347">
            <w:pPr>
              <w:jc w:val="center"/>
              <w:rPr>
                <w:color w:val="auto"/>
                <w:szCs w:val="24"/>
                <w:highlight w:val="none"/>
              </w:rPr>
            </w:pPr>
          </w:p>
        </w:tc>
      </w:tr>
      <w:tr w14:paraId="558CCF4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6" w:space="0"/>
              <w:left w:val="single" w:color="auto" w:sz="6" w:space="0"/>
              <w:bottom w:val="single" w:color="auto" w:sz="4" w:space="0"/>
              <w:right w:val="single" w:color="auto" w:sz="4" w:space="0"/>
            </w:tcBorders>
            <w:noWrap w:val="0"/>
            <w:vAlign w:val="center"/>
          </w:tcPr>
          <w:p w14:paraId="3506D278">
            <w:pPr>
              <w:jc w:val="center"/>
              <w:rPr>
                <w:rFonts w:ascii="黑体" w:eastAsia="黑体"/>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6C163D9C">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3875D5C0">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392981E6">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7C446282">
            <w:pPr>
              <w:jc w:val="center"/>
              <w:rPr>
                <w:color w:val="auto"/>
                <w:szCs w:val="24"/>
                <w:highlight w:val="none"/>
              </w:rPr>
            </w:pPr>
          </w:p>
        </w:tc>
      </w:tr>
      <w:tr w14:paraId="659FF86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4D975C38">
            <w:pPr>
              <w:jc w:val="center"/>
              <w:rPr>
                <w:rFonts w:ascii="黑体" w:eastAsia="黑体"/>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4DC0BD72">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48A629B3">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0C320FC4">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68B87177">
            <w:pPr>
              <w:jc w:val="center"/>
              <w:rPr>
                <w:color w:val="auto"/>
                <w:szCs w:val="24"/>
                <w:highlight w:val="none"/>
              </w:rPr>
            </w:pPr>
          </w:p>
        </w:tc>
      </w:tr>
      <w:tr w14:paraId="6B25683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73D43381">
            <w:pPr>
              <w:jc w:val="center"/>
              <w:rPr>
                <w:rFonts w:ascii="黑体" w:eastAsia="黑体"/>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452EC279">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7E8C7BC3">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5D1FCA7C">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08329ED5">
            <w:pPr>
              <w:jc w:val="center"/>
              <w:rPr>
                <w:color w:val="auto"/>
                <w:szCs w:val="24"/>
                <w:highlight w:val="none"/>
              </w:rPr>
            </w:pPr>
          </w:p>
        </w:tc>
      </w:tr>
      <w:tr w14:paraId="3774E64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1286B06E">
            <w:pPr>
              <w:jc w:val="center"/>
              <w:rPr>
                <w:rFonts w:ascii="黑体" w:eastAsia="黑体"/>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19D7E789">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67092E58">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0C331EAB">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38208C92">
            <w:pPr>
              <w:jc w:val="center"/>
              <w:rPr>
                <w:color w:val="auto"/>
                <w:szCs w:val="24"/>
                <w:highlight w:val="none"/>
              </w:rPr>
            </w:pPr>
          </w:p>
        </w:tc>
      </w:tr>
      <w:tr w14:paraId="2CA33F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504123ED">
            <w:pPr>
              <w:jc w:val="center"/>
              <w:rPr>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71EA6626">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444B5F01">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78FFEF99">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54DF0BD1">
            <w:pPr>
              <w:jc w:val="center"/>
              <w:rPr>
                <w:color w:val="auto"/>
                <w:szCs w:val="24"/>
                <w:highlight w:val="none"/>
              </w:rPr>
            </w:pPr>
          </w:p>
        </w:tc>
      </w:tr>
      <w:tr w14:paraId="6065FDA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4BB076FD">
            <w:pPr>
              <w:jc w:val="center"/>
              <w:rPr>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6CBBF294">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3113C79A">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23B7B2AA">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1C0D0FDF">
            <w:pPr>
              <w:jc w:val="center"/>
              <w:rPr>
                <w:color w:val="auto"/>
                <w:szCs w:val="24"/>
                <w:highlight w:val="none"/>
              </w:rPr>
            </w:pPr>
          </w:p>
        </w:tc>
      </w:tr>
      <w:tr w14:paraId="7863A81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4A326021">
            <w:pPr>
              <w:jc w:val="center"/>
              <w:rPr>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4A2A6DBA">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1848636D">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5C693334">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11C1BDAE">
            <w:pPr>
              <w:jc w:val="center"/>
              <w:rPr>
                <w:color w:val="auto"/>
                <w:szCs w:val="24"/>
                <w:highlight w:val="none"/>
              </w:rPr>
            </w:pPr>
          </w:p>
        </w:tc>
      </w:tr>
      <w:tr w14:paraId="3988D2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4" w:space="0"/>
              <w:left w:val="single" w:color="auto" w:sz="6" w:space="0"/>
              <w:bottom w:val="single" w:color="auto" w:sz="4" w:space="0"/>
              <w:right w:val="single" w:color="auto" w:sz="4" w:space="0"/>
            </w:tcBorders>
            <w:noWrap w:val="0"/>
            <w:vAlign w:val="center"/>
          </w:tcPr>
          <w:p w14:paraId="5024DCE3">
            <w:pPr>
              <w:jc w:val="center"/>
              <w:rPr>
                <w:color w:val="auto"/>
                <w:szCs w:val="24"/>
                <w:highlight w:val="none"/>
              </w:rPr>
            </w:pPr>
          </w:p>
        </w:tc>
        <w:tc>
          <w:tcPr>
            <w:tcW w:w="3069" w:type="dxa"/>
            <w:tcBorders>
              <w:top w:val="single" w:color="auto" w:sz="4" w:space="0"/>
              <w:left w:val="single" w:color="auto" w:sz="4" w:space="0"/>
              <w:bottom w:val="single" w:color="auto" w:sz="4" w:space="0"/>
              <w:right w:val="single" w:color="auto" w:sz="4" w:space="0"/>
            </w:tcBorders>
            <w:noWrap w:val="0"/>
            <w:vAlign w:val="center"/>
          </w:tcPr>
          <w:p w14:paraId="605F474F">
            <w:pPr>
              <w:rPr>
                <w:color w:val="auto"/>
                <w:szCs w:val="24"/>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43EBFB31">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14:paraId="7FFB1B2D">
            <w:pPr>
              <w:jc w:val="center"/>
              <w:rPr>
                <w:color w:val="auto"/>
                <w:szCs w:val="24"/>
                <w:highlight w:val="none"/>
              </w:rPr>
            </w:pPr>
          </w:p>
        </w:tc>
        <w:tc>
          <w:tcPr>
            <w:tcW w:w="1527" w:type="dxa"/>
            <w:tcBorders>
              <w:top w:val="single" w:color="auto" w:sz="4" w:space="0"/>
              <w:left w:val="single" w:color="auto" w:sz="4" w:space="0"/>
              <w:bottom w:val="single" w:color="auto" w:sz="4" w:space="0"/>
              <w:right w:val="single" w:color="auto" w:sz="6" w:space="0"/>
            </w:tcBorders>
            <w:noWrap w:val="0"/>
            <w:vAlign w:val="center"/>
          </w:tcPr>
          <w:p w14:paraId="2E017437">
            <w:pPr>
              <w:jc w:val="center"/>
              <w:rPr>
                <w:color w:val="auto"/>
                <w:szCs w:val="24"/>
                <w:highlight w:val="none"/>
              </w:rPr>
            </w:pPr>
          </w:p>
        </w:tc>
      </w:tr>
      <w:tr w14:paraId="14757DD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5416" w:type="dxa"/>
            <w:gridSpan w:val="3"/>
            <w:tcBorders>
              <w:top w:val="single" w:color="auto" w:sz="4" w:space="0"/>
              <w:left w:val="single" w:color="auto" w:sz="6" w:space="0"/>
              <w:bottom w:val="single" w:color="auto" w:sz="6" w:space="0"/>
              <w:right w:val="single" w:color="auto" w:sz="4" w:space="0"/>
            </w:tcBorders>
            <w:noWrap w:val="0"/>
            <w:vAlign w:val="center"/>
          </w:tcPr>
          <w:p w14:paraId="0020CF07">
            <w:pPr>
              <w:jc w:val="center"/>
              <w:rPr>
                <w:color w:val="auto"/>
                <w:szCs w:val="24"/>
                <w:highlight w:val="none"/>
              </w:rPr>
            </w:pPr>
            <w:r>
              <w:rPr>
                <w:rFonts w:hint="eastAsia"/>
                <w:color w:val="auto"/>
                <w:highlight w:val="none"/>
              </w:rPr>
              <w:t>合计</w:t>
            </w:r>
          </w:p>
        </w:tc>
        <w:tc>
          <w:tcPr>
            <w:tcW w:w="1526" w:type="dxa"/>
            <w:tcBorders>
              <w:top w:val="single" w:color="auto" w:sz="4" w:space="0"/>
              <w:left w:val="single" w:color="auto" w:sz="4" w:space="0"/>
              <w:bottom w:val="single" w:color="auto" w:sz="6" w:space="0"/>
              <w:right w:val="single" w:color="auto" w:sz="4" w:space="0"/>
            </w:tcBorders>
            <w:noWrap w:val="0"/>
            <w:vAlign w:val="center"/>
          </w:tcPr>
          <w:p w14:paraId="2258C232">
            <w:pPr>
              <w:jc w:val="center"/>
              <w:rPr>
                <w:color w:val="auto"/>
                <w:szCs w:val="24"/>
                <w:highlight w:val="none"/>
              </w:rPr>
            </w:pPr>
          </w:p>
        </w:tc>
        <w:tc>
          <w:tcPr>
            <w:tcW w:w="1527" w:type="dxa"/>
            <w:tcBorders>
              <w:top w:val="single" w:color="auto" w:sz="4" w:space="0"/>
              <w:left w:val="single" w:color="auto" w:sz="4" w:space="0"/>
              <w:bottom w:val="single" w:color="auto" w:sz="6" w:space="0"/>
              <w:right w:val="single" w:color="auto" w:sz="6" w:space="0"/>
            </w:tcBorders>
            <w:noWrap w:val="0"/>
            <w:vAlign w:val="center"/>
          </w:tcPr>
          <w:p w14:paraId="56A4632C">
            <w:pPr>
              <w:jc w:val="center"/>
              <w:rPr>
                <w:color w:val="auto"/>
                <w:szCs w:val="24"/>
                <w:highlight w:val="none"/>
              </w:rPr>
            </w:pPr>
            <w:r>
              <w:rPr>
                <w:rFonts w:hint="eastAsia"/>
                <w:color w:val="auto"/>
                <w:highlight w:val="none"/>
              </w:rPr>
              <w:t>—</w:t>
            </w:r>
          </w:p>
        </w:tc>
      </w:tr>
    </w:tbl>
    <w:p w14:paraId="351491E9">
      <w:pPr>
        <w:spacing w:before="120" w:beforeLines="50"/>
        <w:ind w:left="420" w:hanging="420" w:hangingChars="200"/>
        <w:rPr>
          <w:rFonts w:ascii="宋体" w:hAnsi="宋体"/>
          <w:color w:val="auto"/>
          <w:highlight w:val="none"/>
        </w:rPr>
      </w:pPr>
      <w:r>
        <w:rPr>
          <w:rFonts w:hint="eastAsia" w:ascii="宋体" w:hAnsi="宋体"/>
          <w:color w:val="auto"/>
          <w:highlight w:val="none"/>
        </w:rPr>
        <w:t>注：此表由招标人填写，如不能详列明细，也可只列暂列金总额，投标人应将上述暂列金额计入投标总价中。</w:t>
      </w:r>
    </w:p>
    <w:p w14:paraId="45397794">
      <w:pPr>
        <w:spacing w:before="120" w:beforeLines="50"/>
        <w:rPr>
          <w:rFonts w:hint="eastAsia" w:ascii="宋体" w:hAnsi="宋体"/>
          <w:color w:val="auto"/>
          <w:highlight w:val="none"/>
        </w:rPr>
      </w:pPr>
    </w:p>
    <w:p w14:paraId="2F638E35">
      <w:pPr>
        <w:spacing w:before="120" w:beforeLines="50"/>
        <w:rPr>
          <w:rFonts w:hint="eastAsia" w:ascii="黑体" w:hAnsi="Times New Roman" w:eastAsia="黑体"/>
          <w:color w:val="auto"/>
          <w:highlight w:val="none"/>
        </w:rPr>
      </w:pPr>
    </w:p>
    <w:p w14:paraId="1BAF9668">
      <w:pPr>
        <w:pStyle w:val="33"/>
        <w:rPr>
          <w:rFonts w:hint="eastAsia" w:ascii="Times New Roman"/>
          <w:color w:val="auto"/>
          <w:highlight w:val="none"/>
        </w:rPr>
      </w:pPr>
      <w:bookmarkStart w:id="2340" w:name="_Toc521075251"/>
      <w:bookmarkStart w:id="2341" w:name="_Toc521075676"/>
      <w:bookmarkStart w:id="2342" w:name="_Toc5031"/>
      <w:r>
        <w:rPr>
          <w:color w:val="auto"/>
          <w:highlight w:val="none"/>
        </w:rPr>
        <w:t>4.12-2</w:t>
      </w:r>
      <w:r>
        <w:rPr>
          <w:rFonts w:hint="eastAsia"/>
          <w:color w:val="auto"/>
          <w:highlight w:val="none"/>
        </w:rPr>
        <w:t>材料（工程设备）暂估单价表</w:t>
      </w:r>
      <w:bookmarkEnd w:id="2340"/>
      <w:bookmarkEnd w:id="2341"/>
      <w:bookmarkEnd w:id="2342"/>
    </w:p>
    <w:p w14:paraId="0144F8C0">
      <w:pPr>
        <w:rPr>
          <w:rFonts w:ascii="黑体" w:eastAsia="黑体"/>
          <w:color w:val="auto"/>
          <w:sz w:val="24"/>
          <w:highlight w:val="none"/>
        </w:rPr>
      </w:pPr>
    </w:p>
    <w:p w14:paraId="147DE1D0">
      <w:pPr>
        <w:spacing w:before="120" w:beforeLines="50" w:after="120"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材料（工程设备）暂估单价表</w:t>
      </w:r>
    </w:p>
    <w:p w14:paraId="40ADA7E9">
      <w:pPr>
        <w:spacing w:before="120" w:beforeLines="50" w:after="120" w:afterLines="50"/>
        <w:jc w:val="center"/>
        <w:rPr>
          <w:rFonts w:hint="eastAsia" w:ascii="黑体" w:eastAsia="黑体"/>
          <w:color w:val="auto"/>
          <w:sz w:val="28"/>
          <w:szCs w:val="28"/>
          <w:highlight w:val="none"/>
        </w:rPr>
      </w:pPr>
    </w:p>
    <w:p w14:paraId="0A25799E">
      <w:pPr>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595"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502"/>
        <w:gridCol w:w="661"/>
        <w:gridCol w:w="1080"/>
        <w:gridCol w:w="959"/>
        <w:gridCol w:w="1475"/>
        <w:gridCol w:w="1399"/>
        <w:gridCol w:w="828"/>
      </w:tblGrid>
      <w:tr w14:paraId="3A927B8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vMerge w:val="restart"/>
            <w:tcBorders>
              <w:top w:val="single" w:color="auto" w:sz="6" w:space="0"/>
              <w:left w:val="single" w:color="auto" w:sz="6" w:space="0"/>
              <w:bottom w:val="single" w:color="auto" w:sz="4" w:space="0"/>
              <w:right w:val="single" w:color="auto" w:sz="4" w:space="0"/>
            </w:tcBorders>
            <w:noWrap w:val="0"/>
            <w:vAlign w:val="center"/>
          </w:tcPr>
          <w:p w14:paraId="5D5AD272">
            <w:pPr>
              <w:jc w:val="center"/>
              <w:rPr>
                <w:color w:val="auto"/>
                <w:szCs w:val="24"/>
                <w:highlight w:val="none"/>
              </w:rPr>
            </w:pPr>
            <w:r>
              <w:rPr>
                <w:rFonts w:hint="eastAsia"/>
                <w:color w:val="auto"/>
                <w:highlight w:val="none"/>
              </w:rPr>
              <w:t>序号</w:t>
            </w:r>
          </w:p>
        </w:tc>
        <w:tc>
          <w:tcPr>
            <w:tcW w:w="1502" w:type="dxa"/>
            <w:vMerge w:val="restart"/>
            <w:tcBorders>
              <w:top w:val="single" w:color="auto" w:sz="6" w:space="0"/>
              <w:left w:val="single" w:color="auto" w:sz="4" w:space="0"/>
              <w:bottom w:val="single" w:color="auto" w:sz="4" w:space="0"/>
              <w:right w:val="single" w:color="auto" w:sz="4" w:space="0"/>
            </w:tcBorders>
            <w:noWrap w:val="0"/>
            <w:vAlign w:val="center"/>
          </w:tcPr>
          <w:p w14:paraId="48FF8D2E">
            <w:pPr>
              <w:jc w:val="center"/>
              <w:rPr>
                <w:color w:val="auto"/>
                <w:szCs w:val="24"/>
                <w:highlight w:val="none"/>
              </w:rPr>
            </w:pPr>
            <w:r>
              <w:rPr>
                <w:rFonts w:hint="eastAsia"/>
                <w:color w:val="auto"/>
                <w:highlight w:val="none"/>
              </w:rPr>
              <w:t>材料（工程设备）名称、规格、型号</w:t>
            </w:r>
          </w:p>
        </w:tc>
        <w:tc>
          <w:tcPr>
            <w:tcW w:w="661" w:type="dxa"/>
            <w:vMerge w:val="restart"/>
            <w:tcBorders>
              <w:top w:val="single" w:color="auto" w:sz="6" w:space="0"/>
              <w:left w:val="single" w:color="auto" w:sz="4" w:space="0"/>
              <w:bottom w:val="single" w:color="auto" w:sz="4" w:space="0"/>
              <w:right w:val="single" w:color="auto" w:sz="4" w:space="0"/>
            </w:tcBorders>
            <w:noWrap w:val="0"/>
            <w:vAlign w:val="center"/>
          </w:tcPr>
          <w:p w14:paraId="16A6CDF0">
            <w:pPr>
              <w:jc w:val="center"/>
              <w:rPr>
                <w:color w:val="auto"/>
                <w:szCs w:val="24"/>
                <w:highlight w:val="none"/>
              </w:rPr>
            </w:pPr>
            <w:r>
              <w:rPr>
                <w:rFonts w:hint="eastAsia"/>
                <w:color w:val="auto"/>
                <w:highlight w:val="none"/>
              </w:rPr>
              <w:t>计量单位</w:t>
            </w:r>
          </w:p>
        </w:tc>
        <w:tc>
          <w:tcPr>
            <w:tcW w:w="2039" w:type="dxa"/>
            <w:gridSpan w:val="2"/>
            <w:tcBorders>
              <w:top w:val="single" w:color="auto" w:sz="6" w:space="0"/>
              <w:left w:val="single" w:color="auto" w:sz="4" w:space="0"/>
              <w:bottom w:val="single" w:color="auto" w:sz="4" w:space="0"/>
              <w:right w:val="single" w:color="auto" w:sz="4" w:space="0"/>
            </w:tcBorders>
            <w:noWrap w:val="0"/>
            <w:vAlign w:val="center"/>
          </w:tcPr>
          <w:p w14:paraId="08255B4F">
            <w:pPr>
              <w:jc w:val="center"/>
              <w:rPr>
                <w:color w:val="auto"/>
                <w:szCs w:val="24"/>
                <w:highlight w:val="none"/>
              </w:rPr>
            </w:pPr>
            <w:r>
              <w:rPr>
                <w:rFonts w:hint="eastAsia"/>
                <w:color w:val="auto"/>
                <w:highlight w:val="none"/>
              </w:rPr>
              <w:t>数量</w:t>
            </w:r>
          </w:p>
        </w:tc>
        <w:tc>
          <w:tcPr>
            <w:tcW w:w="2874" w:type="dxa"/>
            <w:gridSpan w:val="2"/>
            <w:tcBorders>
              <w:top w:val="single" w:color="auto" w:sz="6" w:space="0"/>
              <w:left w:val="single" w:color="auto" w:sz="4" w:space="0"/>
              <w:bottom w:val="single" w:color="auto" w:sz="4" w:space="0"/>
              <w:right w:val="single" w:color="auto" w:sz="4" w:space="0"/>
            </w:tcBorders>
            <w:noWrap w:val="0"/>
            <w:vAlign w:val="center"/>
          </w:tcPr>
          <w:p w14:paraId="43669CEF">
            <w:pPr>
              <w:jc w:val="center"/>
              <w:rPr>
                <w:color w:val="auto"/>
                <w:szCs w:val="24"/>
                <w:highlight w:val="none"/>
              </w:rPr>
            </w:pPr>
            <w:r>
              <w:rPr>
                <w:rFonts w:hint="eastAsia"/>
                <w:color w:val="auto"/>
                <w:highlight w:val="none"/>
              </w:rPr>
              <w:t>暂估</w:t>
            </w:r>
            <w:r>
              <w:rPr>
                <w:color w:val="auto"/>
                <w:highlight w:val="none"/>
              </w:rPr>
              <w:t xml:space="preserve"> (</w:t>
            </w:r>
            <w:r>
              <w:rPr>
                <w:rFonts w:hint="eastAsia"/>
                <w:color w:val="auto"/>
                <w:highlight w:val="none"/>
              </w:rPr>
              <w:t>元</w:t>
            </w:r>
            <w:r>
              <w:rPr>
                <w:color w:val="auto"/>
                <w:highlight w:val="none"/>
              </w:rPr>
              <w:t>)</w:t>
            </w:r>
          </w:p>
        </w:tc>
        <w:tc>
          <w:tcPr>
            <w:tcW w:w="828" w:type="dxa"/>
            <w:tcBorders>
              <w:top w:val="single" w:color="auto" w:sz="6" w:space="0"/>
              <w:left w:val="single" w:color="auto" w:sz="4" w:space="0"/>
              <w:bottom w:val="single" w:color="auto" w:sz="4" w:space="0"/>
              <w:right w:val="single" w:color="auto" w:sz="6" w:space="0"/>
            </w:tcBorders>
            <w:noWrap w:val="0"/>
            <w:vAlign w:val="center"/>
          </w:tcPr>
          <w:p w14:paraId="124C629F">
            <w:pPr>
              <w:jc w:val="center"/>
              <w:rPr>
                <w:color w:val="auto"/>
                <w:szCs w:val="24"/>
                <w:highlight w:val="none"/>
              </w:rPr>
            </w:pPr>
            <w:r>
              <w:rPr>
                <w:rFonts w:hint="eastAsia"/>
                <w:color w:val="auto"/>
                <w:highlight w:val="none"/>
              </w:rPr>
              <w:t>备注</w:t>
            </w:r>
          </w:p>
        </w:tc>
      </w:tr>
      <w:tr w14:paraId="453B05D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2854" w:type="dxa"/>
            <w:vMerge w:val="continue"/>
            <w:tcBorders>
              <w:top w:val="single" w:color="auto" w:sz="6" w:space="0"/>
              <w:left w:val="single" w:color="auto" w:sz="6" w:space="0"/>
              <w:bottom w:val="single" w:color="auto" w:sz="4" w:space="0"/>
              <w:right w:val="single" w:color="auto" w:sz="4" w:space="0"/>
            </w:tcBorders>
            <w:noWrap w:val="0"/>
            <w:vAlign w:val="center"/>
          </w:tcPr>
          <w:p w14:paraId="762574F9">
            <w:pPr>
              <w:widowControl/>
              <w:jc w:val="left"/>
              <w:rPr>
                <w:color w:val="auto"/>
                <w:szCs w:val="24"/>
                <w:highlight w:val="none"/>
              </w:rPr>
            </w:pPr>
          </w:p>
        </w:tc>
        <w:tc>
          <w:tcPr>
            <w:tcW w:w="1502" w:type="dxa"/>
            <w:vMerge w:val="continue"/>
            <w:tcBorders>
              <w:top w:val="single" w:color="auto" w:sz="6" w:space="0"/>
              <w:left w:val="single" w:color="auto" w:sz="4" w:space="0"/>
              <w:bottom w:val="single" w:color="auto" w:sz="4" w:space="0"/>
              <w:right w:val="single" w:color="auto" w:sz="4" w:space="0"/>
            </w:tcBorders>
            <w:noWrap w:val="0"/>
            <w:vAlign w:val="center"/>
          </w:tcPr>
          <w:p w14:paraId="59533D7A">
            <w:pPr>
              <w:widowControl/>
              <w:jc w:val="left"/>
              <w:rPr>
                <w:color w:val="auto"/>
                <w:szCs w:val="24"/>
                <w:highlight w:val="none"/>
              </w:rPr>
            </w:pPr>
          </w:p>
        </w:tc>
        <w:tc>
          <w:tcPr>
            <w:tcW w:w="661" w:type="dxa"/>
            <w:vMerge w:val="continue"/>
            <w:tcBorders>
              <w:top w:val="single" w:color="auto" w:sz="6" w:space="0"/>
              <w:left w:val="single" w:color="auto" w:sz="4" w:space="0"/>
              <w:bottom w:val="single" w:color="auto" w:sz="4" w:space="0"/>
              <w:right w:val="single" w:color="auto" w:sz="4" w:space="0"/>
            </w:tcBorders>
            <w:noWrap w:val="0"/>
            <w:vAlign w:val="center"/>
          </w:tcPr>
          <w:p w14:paraId="795E2F97">
            <w:pPr>
              <w:widowControl/>
              <w:jc w:val="left"/>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65FA8F7">
            <w:pPr>
              <w:jc w:val="center"/>
              <w:rPr>
                <w:color w:val="auto"/>
                <w:szCs w:val="24"/>
                <w:highlight w:val="none"/>
              </w:rPr>
            </w:pPr>
            <w:r>
              <w:rPr>
                <w:rFonts w:hint="eastAsia"/>
                <w:color w:val="auto"/>
                <w:highlight w:val="none"/>
              </w:rPr>
              <w:t>暂估</w:t>
            </w:r>
          </w:p>
        </w:tc>
        <w:tc>
          <w:tcPr>
            <w:tcW w:w="959" w:type="dxa"/>
            <w:tcBorders>
              <w:top w:val="single" w:color="auto" w:sz="4" w:space="0"/>
              <w:left w:val="single" w:color="auto" w:sz="4" w:space="0"/>
              <w:bottom w:val="single" w:color="auto" w:sz="4" w:space="0"/>
              <w:right w:val="single" w:color="auto" w:sz="4" w:space="0"/>
            </w:tcBorders>
            <w:noWrap w:val="0"/>
            <w:vAlign w:val="center"/>
          </w:tcPr>
          <w:p w14:paraId="67727E9B">
            <w:pPr>
              <w:jc w:val="center"/>
              <w:rPr>
                <w:color w:val="auto"/>
                <w:szCs w:val="24"/>
                <w:highlight w:val="none"/>
              </w:rPr>
            </w:pPr>
            <w:r>
              <w:rPr>
                <w:rFonts w:hint="eastAsia"/>
                <w:color w:val="auto"/>
                <w:highlight w:val="none"/>
              </w:rPr>
              <w:t>确认</w:t>
            </w:r>
          </w:p>
        </w:tc>
        <w:tc>
          <w:tcPr>
            <w:tcW w:w="1475" w:type="dxa"/>
            <w:tcBorders>
              <w:top w:val="single" w:color="auto" w:sz="4" w:space="0"/>
              <w:left w:val="single" w:color="auto" w:sz="4" w:space="0"/>
              <w:bottom w:val="single" w:color="auto" w:sz="4" w:space="0"/>
              <w:right w:val="single" w:color="auto" w:sz="4" w:space="0"/>
            </w:tcBorders>
            <w:noWrap w:val="0"/>
            <w:vAlign w:val="center"/>
          </w:tcPr>
          <w:p w14:paraId="076279B0">
            <w:pPr>
              <w:jc w:val="center"/>
              <w:rPr>
                <w:color w:val="auto"/>
                <w:szCs w:val="24"/>
                <w:highlight w:val="none"/>
              </w:rPr>
            </w:pPr>
            <w:r>
              <w:rPr>
                <w:rFonts w:hint="eastAsia"/>
                <w:color w:val="auto"/>
                <w:highlight w:val="none"/>
              </w:rPr>
              <w:t>单价</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6FCFBA91">
            <w:pPr>
              <w:jc w:val="center"/>
              <w:rPr>
                <w:color w:val="auto"/>
                <w:szCs w:val="24"/>
                <w:highlight w:val="none"/>
              </w:rPr>
            </w:pPr>
            <w:r>
              <w:rPr>
                <w:rFonts w:hint="eastAsia"/>
                <w:color w:val="auto"/>
                <w:highlight w:val="none"/>
              </w:rPr>
              <w:t>合价</w:t>
            </w:r>
          </w:p>
        </w:tc>
        <w:tc>
          <w:tcPr>
            <w:tcW w:w="828" w:type="dxa"/>
            <w:tcBorders>
              <w:top w:val="single" w:color="auto" w:sz="4" w:space="0"/>
              <w:left w:val="single" w:color="auto" w:sz="4" w:space="0"/>
              <w:bottom w:val="single" w:color="auto" w:sz="4" w:space="0"/>
              <w:right w:val="single" w:color="auto" w:sz="6" w:space="0"/>
            </w:tcBorders>
            <w:noWrap w:val="0"/>
            <w:vAlign w:val="center"/>
          </w:tcPr>
          <w:p w14:paraId="40708BF9">
            <w:pPr>
              <w:jc w:val="center"/>
              <w:rPr>
                <w:color w:val="auto"/>
                <w:szCs w:val="24"/>
                <w:highlight w:val="none"/>
              </w:rPr>
            </w:pPr>
          </w:p>
        </w:tc>
      </w:tr>
      <w:tr w14:paraId="7DFD7A0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tcBorders>
              <w:top w:val="single" w:color="auto" w:sz="4" w:space="0"/>
              <w:left w:val="single" w:color="auto" w:sz="6" w:space="0"/>
              <w:bottom w:val="single" w:color="auto" w:sz="6" w:space="0"/>
              <w:right w:val="single" w:color="auto" w:sz="4" w:space="0"/>
            </w:tcBorders>
            <w:noWrap w:val="0"/>
            <w:vAlign w:val="center"/>
          </w:tcPr>
          <w:p w14:paraId="659BE4C9">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18A7BFE4">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4599C524">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4F4042A">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749DBF02">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75BCD73E">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0FC4B490">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4AF2F873">
            <w:pPr>
              <w:jc w:val="center"/>
              <w:rPr>
                <w:color w:val="auto"/>
                <w:szCs w:val="24"/>
                <w:highlight w:val="none"/>
              </w:rPr>
            </w:pPr>
          </w:p>
        </w:tc>
      </w:tr>
      <w:tr w14:paraId="21660FB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tcBorders>
              <w:top w:val="single" w:color="auto" w:sz="6" w:space="0"/>
              <w:left w:val="single" w:color="auto" w:sz="6" w:space="0"/>
              <w:bottom w:val="single" w:color="auto" w:sz="4" w:space="0"/>
              <w:right w:val="single" w:color="auto" w:sz="4" w:space="0"/>
            </w:tcBorders>
            <w:noWrap w:val="0"/>
            <w:vAlign w:val="center"/>
          </w:tcPr>
          <w:p w14:paraId="540A6C13">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60D17388">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35ADFEF4">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1F7BEE6">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26E92814">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0B1E80B4">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19327CD0">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579C1563">
            <w:pPr>
              <w:jc w:val="center"/>
              <w:rPr>
                <w:color w:val="auto"/>
                <w:szCs w:val="24"/>
                <w:highlight w:val="none"/>
              </w:rPr>
            </w:pPr>
          </w:p>
        </w:tc>
      </w:tr>
      <w:tr w14:paraId="1198B9B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tcBorders>
              <w:top w:val="single" w:color="auto" w:sz="4" w:space="0"/>
              <w:left w:val="single" w:color="auto" w:sz="6" w:space="0"/>
              <w:bottom w:val="single" w:color="auto" w:sz="4" w:space="0"/>
              <w:right w:val="single" w:color="auto" w:sz="4" w:space="0"/>
            </w:tcBorders>
            <w:noWrap w:val="0"/>
            <w:vAlign w:val="center"/>
          </w:tcPr>
          <w:p w14:paraId="3D787411">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12F0AE09">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41A9D478">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9846985">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6583652B">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4BC90A79">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191C6D2C">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5C76FEE1">
            <w:pPr>
              <w:jc w:val="center"/>
              <w:rPr>
                <w:color w:val="auto"/>
                <w:szCs w:val="24"/>
                <w:highlight w:val="none"/>
              </w:rPr>
            </w:pPr>
          </w:p>
        </w:tc>
      </w:tr>
      <w:tr w14:paraId="07D35C7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tcBorders>
              <w:top w:val="single" w:color="auto" w:sz="4" w:space="0"/>
              <w:left w:val="single" w:color="auto" w:sz="6" w:space="0"/>
              <w:bottom w:val="single" w:color="auto" w:sz="4" w:space="0"/>
              <w:right w:val="single" w:color="auto" w:sz="4" w:space="0"/>
            </w:tcBorders>
            <w:noWrap w:val="0"/>
            <w:vAlign w:val="center"/>
          </w:tcPr>
          <w:p w14:paraId="674D5448">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0BE5038F">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16A12610">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CD503FD">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3DE20D26">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535613B0">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1F748BE0">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6215989F">
            <w:pPr>
              <w:jc w:val="center"/>
              <w:rPr>
                <w:color w:val="auto"/>
                <w:szCs w:val="24"/>
                <w:highlight w:val="none"/>
              </w:rPr>
            </w:pPr>
          </w:p>
        </w:tc>
      </w:tr>
      <w:tr w14:paraId="4610874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tcBorders>
              <w:top w:val="single" w:color="auto" w:sz="4" w:space="0"/>
              <w:left w:val="single" w:color="auto" w:sz="6" w:space="0"/>
              <w:bottom w:val="single" w:color="auto" w:sz="4" w:space="0"/>
              <w:right w:val="single" w:color="auto" w:sz="4" w:space="0"/>
            </w:tcBorders>
            <w:noWrap w:val="0"/>
            <w:vAlign w:val="center"/>
          </w:tcPr>
          <w:p w14:paraId="7369A03B">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6B5B0346">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0B8C9716">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B6B13BF">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2DAA2C71">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3D059793">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7755C781">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4E80E27D">
            <w:pPr>
              <w:jc w:val="center"/>
              <w:rPr>
                <w:color w:val="auto"/>
                <w:szCs w:val="24"/>
                <w:highlight w:val="none"/>
              </w:rPr>
            </w:pPr>
          </w:p>
        </w:tc>
      </w:tr>
      <w:tr w14:paraId="2F3ABCE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tcBorders>
              <w:top w:val="single" w:color="auto" w:sz="4" w:space="0"/>
              <w:left w:val="single" w:color="auto" w:sz="6" w:space="0"/>
              <w:bottom w:val="single" w:color="auto" w:sz="4" w:space="0"/>
              <w:right w:val="single" w:color="auto" w:sz="4" w:space="0"/>
            </w:tcBorders>
            <w:noWrap w:val="0"/>
            <w:vAlign w:val="center"/>
          </w:tcPr>
          <w:p w14:paraId="6634D07B">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796C18C8">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5C94DF58">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54AC8D1">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3EA15F02">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002B57F2">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61AEB288">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414ED2A8">
            <w:pPr>
              <w:jc w:val="center"/>
              <w:rPr>
                <w:color w:val="auto"/>
                <w:szCs w:val="24"/>
                <w:highlight w:val="none"/>
              </w:rPr>
            </w:pPr>
          </w:p>
        </w:tc>
      </w:tr>
      <w:tr w14:paraId="40B78B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tcBorders>
              <w:top w:val="single" w:color="auto" w:sz="4" w:space="0"/>
              <w:left w:val="single" w:color="auto" w:sz="6" w:space="0"/>
              <w:bottom w:val="single" w:color="auto" w:sz="4" w:space="0"/>
              <w:right w:val="single" w:color="auto" w:sz="4" w:space="0"/>
            </w:tcBorders>
            <w:noWrap w:val="0"/>
            <w:vAlign w:val="center"/>
          </w:tcPr>
          <w:p w14:paraId="1DADA7D6">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26100B14">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55C6A2E0">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CE2ABD2">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54090C43">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1BB07ABD">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5D54E187">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24B4852E">
            <w:pPr>
              <w:jc w:val="center"/>
              <w:rPr>
                <w:color w:val="auto"/>
                <w:szCs w:val="24"/>
                <w:highlight w:val="none"/>
              </w:rPr>
            </w:pPr>
          </w:p>
        </w:tc>
      </w:tr>
      <w:tr w14:paraId="3B8B7F9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tcBorders>
              <w:top w:val="single" w:color="auto" w:sz="4" w:space="0"/>
              <w:left w:val="single" w:color="auto" w:sz="6" w:space="0"/>
              <w:bottom w:val="single" w:color="auto" w:sz="4" w:space="0"/>
              <w:right w:val="single" w:color="auto" w:sz="4" w:space="0"/>
            </w:tcBorders>
            <w:noWrap w:val="0"/>
            <w:vAlign w:val="center"/>
          </w:tcPr>
          <w:p w14:paraId="43676F45">
            <w:pPr>
              <w:jc w:val="center"/>
              <w:rPr>
                <w:color w:val="auto"/>
                <w:szCs w:val="24"/>
                <w:highlight w:val="none"/>
              </w:rPr>
            </w:pPr>
          </w:p>
        </w:tc>
        <w:tc>
          <w:tcPr>
            <w:tcW w:w="1502" w:type="dxa"/>
            <w:tcBorders>
              <w:top w:val="single" w:color="auto" w:sz="4" w:space="0"/>
              <w:left w:val="single" w:color="auto" w:sz="4" w:space="0"/>
              <w:bottom w:val="single" w:color="auto" w:sz="4" w:space="0"/>
              <w:right w:val="single" w:color="auto" w:sz="4" w:space="0"/>
            </w:tcBorders>
            <w:noWrap w:val="0"/>
            <w:vAlign w:val="center"/>
          </w:tcPr>
          <w:p w14:paraId="2E87C7AC">
            <w:pPr>
              <w:jc w:val="center"/>
              <w:rPr>
                <w:color w:val="auto"/>
                <w:szCs w:val="24"/>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center"/>
          </w:tcPr>
          <w:p w14:paraId="6B58C258">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B8A484F">
            <w:pPr>
              <w:jc w:val="center"/>
              <w:rPr>
                <w:color w:val="auto"/>
                <w:szCs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0EE8FE5A">
            <w:pPr>
              <w:jc w:val="center"/>
              <w:rPr>
                <w:color w:val="auto"/>
                <w:szCs w:val="24"/>
                <w:highlight w:val="none"/>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0E42D169">
            <w:pPr>
              <w:jc w:val="center"/>
              <w:rPr>
                <w:color w:val="auto"/>
                <w:szCs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center"/>
          </w:tcPr>
          <w:p w14:paraId="24994411">
            <w:pPr>
              <w:jc w:val="center"/>
              <w:rPr>
                <w:color w:val="auto"/>
                <w:szCs w:val="24"/>
                <w:highlight w:val="none"/>
              </w:rPr>
            </w:pPr>
          </w:p>
        </w:tc>
        <w:tc>
          <w:tcPr>
            <w:tcW w:w="828" w:type="dxa"/>
            <w:tcBorders>
              <w:top w:val="single" w:color="auto" w:sz="4" w:space="0"/>
              <w:left w:val="single" w:color="auto" w:sz="4" w:space="0"/>
              <w:bottom w:val="single" w:color="auto" w:sz="4" w:space="0"/>
              <w:right w:val="single" w:color="auto" w:sz="6" w:space="0"/>
            </w:tcBorders>
            <w:noWrap w:val="0"/>
            <w:vAlign w:val="center"/>
          </w:tcPr>
          <w:p w14:paraId="0CED6054">
            <w:pPr>
              <w:jc w:val="center"/>
              <w:rPr>
                <w:color w:val="auto"/>
                <w:szCs w:val="24"/>
                <w:highlight w:val="none"/>
              </w:rPr>
            </w:pPr>
          </w:p>
        </w:tc>
      </w:tr>
      <w:tr w14:paraId="0D9170E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2854" w:type="dxa"/>
            <w:gridSpan w:val="3"/>
            <w:tcBorders>
              <w:top w:val="single" w:color="auto" w:sz="4" w:space="0"/>
              <w:left w:val="single" w:color="auto" w:sz="6" w:space="0"/>
              <w:bottom w:val="single" w:color="auto" w:sz="6" w:space="0"/>
              <w:right w:val="single" w:color="auto" w:sz="4" w:space="0"/>
            </w:tcBorders>
            <w:noWrap w:val="0"/>
            <w:vAlign w:val="center"/>
          </w:tcPr>
          <w:p w14:paraId="62D77B3F">
            <w:pPr>
              <w:jc w:val="center"/>
              <w:rPr>
                <w:color w:val="auto"/>
                <w:szCs w:val="24"/>
                <w:highlight w:val="none"/>
              </w:rPr>
            </w:pPr>
            <w:r>
              <w:rPr>
                <w:rFonts w:hint="eastAsia"/>
                <w:color w:val="auto"/>
                <w:highlight w:val="none"/>
              </w:rPr>
              <w:t>合计</w:t>
            </w:r>
          </w:p>
        </w:tc>
        <w:tc>
          <w:tcPr>
            <w:tcW w:w="1080" w:type="dxa"/>
            <w:tcBorders>
              <w:top w:val="single" w:color="auto" w:sz="4" w:space="0"/>
              <w:left w:val="single" w:color="auto" w:sz="4" w:space="0"/>
              <w:bottom w:val="single" w:color="auto" w:sz="6" w:space="0"/>
              <w:right w:val="single" w:color="auto" w:sz="4" w:space="0"/>
            </w:tcBorders>
            <w:noWrap w:val="0"/>
            <w:vAlign w:val="center"/>
          </w:tcPr>
          <w:p w14:paraId="706AF91A">
            <w:pPr>
              <w:jc w:val="center"/>
              <w:rPr>
                <w:color w:val="auto"/>
                <w:szCs w:val="24"/>
                <w:highlight w:val="none"/>
              </w:rPr>
            </w:pPr>
          </w:p>
        </w:tc>
        <w:tc>
          <w:tcPr>
            <w:tcW w:w="959" w:type="dxa"/>
            <w:tcBorders>
              <w:top w:val="single" w:color="auto" w:sz="4" w:space="0"/>
              <w:left w:val="single" w:color="auto" w:sz="4" w:space="0"/>
              <w:bottom w:val="single" w:color="auto" w:sz="6" w:space="0"/>
              <w:right w:val="single" w:color="auto" w:sz="4" w:space="0"/>
            </w:tcBorders>
            <w:noWrap w:val="0"/>
            <w:vAlign w:val="center"/>
          </w:tcPr>
          <w:p w14:paraId="3FDED1C1">
            <w:pPr>
              <w:jc w:val="center"/>
              <w:rPr>
                <w:color w:val="auto"/>
                <w:szCs w:val="24"/>
                <w:highlight w:val="none"/>
              </w:rPr>
            </w:pPr>
          </w:p>
        </w:tc>
        <w:tc>
          <w:tcPr>
            <w:tcW w:w="1475" w:type="dxa"/>
            <w:tcBorders>
              <w:top w:val="single" w:color="auto" w:sz="4" w:space="0"/>
              <w:left w:val="single" w:color="auto" w:sz="4" w:space="0"/>
              <w:bottom w:val="single" w:color="auto" w:sz="6" w:space="0"/>
              <w:right w:val="single" w:color="auto" w:sz="4" w:space="0"/>
            </w:tcBorders>
            <w:noWrap w:val="0"/>
            <w:vAlign w:val="center"/>
          </w:tcPr>
          <w:p w14:paraId="09C16935">
            <w:pPr>
              <w:jc w:val="center"/>
              <w:rPr>
                <w:color w:val="auto"/>
                <w:szCs w:val="24"/>
                <w:highlight w:val="none"/>
              </w:rPr>
            </w:pPr>
          </w:p>
        </w:tc>
        <w:tc>
          <w:tcPr>
            <w:tcW w:w="1399" w:type="dxa"/>
            <w:tcBorders>
              <w:top w:val="single" w:color="auto" w:sz="4" w:space="0"/>
              <w:left w:val="single" w:color="auto" w:sz="4" w:space="0"/>
              <w:bottom w:val="single" w:color="auto" w:sz="6" w:space="0"/>
              <w:right w:val="single" w:color="auto" w:sz="4" w:space="0"/>
            </w:tcBorders>
            <w:noWrap w:val="0"/>
            <w:vAlign w:val="center"/>
          </w:tcPr>
          <w:p w14:paraId="3CEDA954">
            <w:pPr>
              <w:jc w:val="center"/>
              <w:rPr>
                <w:color w:val="auto"/>
                <w:szCs w:val="24"/>
                <w:highlight w:val="none"/>
              </w:rPr>
            </w:pPr>
          </w:p>
        </w:tc>
        <w:tc>
          <w:tcPr>
            <w:tcW w:w="828" w:type="dxa"/>
            <w:tcBorders>
              <w:top w:val="single" w:color="auto" w:sz="4" w:space="0"/>
              <w:left w:val="single" w:color="auto" w:sz="4" w:space="0"/>
              <w:bottom w:val="single" w:color="auto" w:sz="6" w:space="0"/>
              <w:right w:val="single" w:color="auto" w:sz="6" w:space="0"/>
            </w:tcBorders>
            <w:noWrap w:val="0"/>
            <w:vAlign w:val="center"/>
          </w:tcPr>
          <w:p w14:paraId="26E3A07C">
            <w:pPr>
              <w:jc w:val="center"/>
              <w:rPr>
                <w:color w:val="auto"/>
                <w:szCs w:val="24"/>
                <w:highlight w:val="none"/>
              </w:rPr>
            </w:pPr>
          </w:p>
        </w:tc>
      </w:tr>
    </w:tbl>
    <w:p w14:paraId="5DD9E54F">
      <w:pPr>
        <w:spacing w:before="120" w:beforeLines="50"/>
        <w:rPr>
          <w:rFonts w:ascii="黑体" w:hAnsi="Times New Roman" w:eastAsia="黑体"/>
          <w:color w:val="auto"/>
          <w:highlight w:val="none"/>
        </w:rPr>
      </w:pPr>
    </w:p>
    <w:p w14:paraId="5456E5EB">
      <w:pPr>
        <w:spacing w:before="120" w:beforeLines="50"/>
        <w:ind w:left="420" w:hanging="420" w:hangingChars="200"/>
        <w:rPr>
          <w:rFonts w:hint="eastAsia" w:ascii="宋体" w:hAnsi="宋体"/>
          <w:color w:val="auto"/>
          <w:highlight w:val="none"/>
        </w:rPr>
      </w:pPr>
      <w:r>
        <w:rPr>
          <w:rFonts w:hint="eastAsia" w:ascii="宋体" w:hAnsi="宋体"/>
          <w:color w:val="auto"/>
          <w:highlight w:val="none"/>
        </w:rPr>
        <w:t>注：此表由招标人填写“暂估单价”，并在备注栏说明暂估价的材料、工程设备拟用在那些清单项目上，投标人应将上述材料、工程设备暂估单价计入工程量清单综合单价报价中。</w:t>
      </w:r>
    </w:p>
    <w:p w14:paraId="1B404C21">
      <w:pPr>
        <w:pStyle w:val="33"/>
        <w:rPr>
          <w:rFonts w:hint="eastAsia" w:ascii="Times New Roman" w:hAnsi="Times New Roman"/>
          <w:color w:val="auto"/>
          <w:highlight w:val="none"/>
        </w:rPr>
      </w:pPr>
      <w:bookmarkStart w:id="2343" w:name="_Toc521075677"/>
      <w:bookmarkStart w:id="2344" w:name="_Toc11691"/>
      <w:bookmarkStart w:id="2345" w:name="_Toc521075252"/>
      <w:r>
        <w:rPr>
          <w:color w:val="auto"/>
          <w:highlight w:val="none"/>
        </w:rPr>
        <w:t>4.12-3</w:t>
      </w:r>
      <w:r>
        <w:rPr>
          <w:rFonts w:hint="eastAsia"/>
          <w:color w:val="auto"/>
          <w:highlight w:val="none"/>
        </w:rPr>
        <w:t>专业工程暂估价表</w:t>
      </w:r>
      <w:bookmarkEnd w:id="2343"/>
      <w:bookmarkEnd w:id="2344"/>
      <w:bookmarkEnd w:id="2345"/>
    </w:p>
    <w:p w14:paraId="55570BC1">
      <w:pPr>
        <w:spacing w:before="120" w:beforeLines="50" w:after="120" w:afterLines="50"/>
        <w:jc w:val="center"/>
        <w:rPr>
          <w:rFonts w:ascii="黑体" w:eastAsia="黑体"/>
          <w:color w:val="auto"/>
          <w:sz w:val="28"/>
          <w:szCs w:val="28"/>
          <w:highlight w:val="none"/>
        </w:rPr>
      </w:pPr>
    </w:p>
    <w:p w14:paraId="081037F9">
      <w:pPr>
        <w:spacing w:before="120" w:beforeLines="50" w:after="120"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专业工程暂估价表</w:t>
      </w:r>
    </w:p>
    <w:p w14:paraId="3C8DA599">
      <w:pPr>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497"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558"/>
        <w:gridCol w:w="2458"/>
        <w:gridCol w:w="2485"/>
        <w:gridCol w:w="1155"/>
      </w:tblGrid>
      <w:tr w14:paraId="1AEAF3A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tcBorders>
              <w:top w:val="single" w:color="auto" w:sz="6" w:space="0"/>
              <w:left w:val="single" w:color="auto" w:sz="6" w:space="0"/>
              <w:bottom w:val="single" w:color="auto" w:sz="4" w:space="0"/>
              <w:right w:val="single" w:color="auto" w:sz="4" w:space="0"/>
            </w:tcBorders>
            <w:noWrap w:val="0"/>
            <w:vAlign w:val="center"/>
          </w:tcPr>
          <w:p w14:paraId="2740CE47">
            <w:pPr>
              <w:jc w:val="center"/>
              <w:rPr>
                <w:color w:val="auto"/>
                <w:szCs w:val="24"/>
                <w:highlight w:val="none"/>
              </w:rPr>
            </w:pPr>
            <w:r>
              <w:rPr>
                <w:rFonts w:hint="eastAsia"/>
                <w:color w:val="auto"/>
                <w:highlight w:val="none"/>
              </w:rPr>
              <w:t>序号</w:t>
            </w:r>
          </w:p>
        </w:tc>
        <w:tc>
          <w:tcPr>
            <w:tcW w:w="1558" w:type="dxa"/>
            <w:tcBorders>
              <w:top w:val="single" w:color="auto" w:sz="6" w:space="0"/>
              <w:left w:val="single" w:color="auto" w:sz="4" w:space="0"/>
              <w:bottom w:val="single" w:color="auto" w:sz="4" w:space="0"/>
              <w:right w:val="single" w:color="auto" w:sz="4" w:space="0"/>
            </w:tcBorders>
            <w:noWrap w:val="0"/>
            <w:vAlign w:val="center"/>
          </w:tcPr>
          <w:p w14:paraId="4872CC66">
            <w:pPr>
              <w:jc w:val="center"/>
              <w:rPr>
                <w:color w:val="auto"/>
                <w:szCs w:val="24"/>
                <w:highlight w:val="none"/>
              </w:rPr>
            </w:pPr>
            <w:r>
              <w:rPr>
                <w:rFonts w:hint="eastAsia"/>
                <w:color w:val="auto"/>
                <w:highlight w:val="none"/>
              </w:rPr>
              <w:t>工程名称</w:t>
            </w:r>
          </w:p>
        </w:tc>
        <w:tc>
          <w:tcPr>
            <w:tcW w:w="2458" w:type="dxa"/>
            <w:tcBorders>
              <w:top w:val="single" w:color="auto" w:sz="6" w:space="0"/>
              <w:left w:val="single" w:color="auto" w:sz="4" w:space="0"/>
              <w:bottom w:val="single" w:color="auto" w:sz="4" w:space="0"/>
              <w:right w:val="single" w:color="auto" w:sz="4" w:space="0"/>
            </w:tcBorders>
            <w:noWrap w:val="0"/>
            <w:vAlign w:val="center"/>
          </w:tcPr>
          <w:p w14:paraId="6F79E4E7">
            <w:pPr>
              <w:jc w:val="center"/>
              <w:rPr>
                <w:color w:val="auto"/>
                <w:szCs w:val="24"/>
                <w:highlight w:val="none"/>
              </w:rPr>
            </w:pPr>
            <w:r>
              <w:rPr>
                <w:rFonts w:hint="eastAsia"/>
                <w:color w:val="auto"/>
                <w:highlight w:val="none"/>
              </w:rPr>
              <w:t>工程内容</w:t>
            </w:r>
          </w:p>
        </w:tc>
        <w:tc>
          <w:tcPr>
            <w:tcW w:w="2485" w:type="dxa"/>
            <w:tcBorders>
              <w:top w:val="single" w:color="auto" w:sz="6" w:space="0"/>
              <w:left w:val="single" w:color="auto" w:sz="4" w:space="0"/>
              <w:bottom w:val="single" w:color="auto" w:sz="4" w:space="0"/>
              <w:right w:val="single" w:color="auto" w:sz="4" w:space="0"/>
            </w:tcBorders>
            <w:noWrap w:val="0"/>
            <w:vAlign w:val="center"/>
          </w:tcPr>
          <w:p w14:paraId="504EEAC0">
            <w:pPr>
              <w:jc w:val="center"/>
              <w:rPr>
                <w:color w:val="auto"/>
                <w:szCs w:val="24"/>
                <w:highlight w:val="none"/>
                <w:bdr w:val="single" w:color="auto" w:sz="4" w:space="0"/>
              </w:rPr>
            </w:pPr>
            <w:r>
              <w:rPr>
                <w:rFonts w:hint="eastAsia"/>
                <w:color w:val="auto"/>
                <w:highlight w:val="none"/>
              </w:rPr>
              <w:t>暂估金额</w:t>
            </w:r>
            <w:r>
              <w:rPr>
                <w:color w:val="auto"/>
                <w:highlight w:val="none"/>
              </w:rPr>
              <w:t>(</w:t>
            </w:r>
            <w:r>
              <w:rPr>
                <w:rFonts w:hint="eastAsia"/>
                <w:color w:val="auto"/>
                <w:highlight w:val="none"/>
              </w:rPr>
              <w:t>元</w:t>
            </w:r>
            <w:r>
              <w:rPr>
                <w:color w:val="auto"/>
                <w:highlight w:val="none"/>
              </w:rPr>
              <w:t>)</w:t>
            </w:r>
          </w:p>
        </w:tc>
        <w:tc>
          <w:tcPr>
            <w:tcW w:w="1155" w:type="dxa"/>
            <w:tcBorders>
              <w:top w:val="single" w:color="auto" w:sz="6" w:space="0"/>
              <w:left w:val="single" w:color="auto" w:sz="4" w:space="0"/>
              <w:bottom w:val="single" w:color="auto" w:sz="4" w:space="0"/>
              <w:right w:val="single" w:color="auto" w:sz="6" w:space="0"/>
            </w:tcBorders>
            <w:noWrap w:val="0"/>
            <w:vAlign w:val="center"/>
          </w:tcPr>
          <w:p w14:paraId="6AEAAEF9">
            <w:pPr>
              <w:jc w:val="center"/>
              <w:rPr>
                <w:color w:val="auto"/>
                <w:szCs w:val="24"/>
                <w:highlight w:val="none"/>
              </w:rPr>
            </w:pPr>
            <w:r>
              <w:rPr>
                <w:rFonts w:hint="eastAsia"/>
                <w:color w:val="auto"/>
                <w:highlight w:val="none"/>
              </w:rPr>
              <w:t>备注</w:t>
            </w:r>
          </w:p>
        </w:tc>
      </w:tr>
      <w:tr w14:paraId="6155EB9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76D6CB27">
            <w:pPr>
              <w:jc w:val="center"/>
              <w:rPr>
                <w:rFonts w:ascii="黑体" w:eastAsia="黑体"/>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5CC6109B">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191BAA5C">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6C8DD6BF">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3DAD8BDB">
            <w:pPr>
              <w:jc w:val="center"/>
              <w:rPr>
                <w:color w:val="auto"/>
                <w:szCs w:val="24"/>
                <w:highlight w:val="none"/>
              </w:rPr>
            </w:pPr>
          </w:p>
        </w:tc>
      </w:tr>
      <w:tr w14:paraId="436BE63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4" w:space="0"/>
              <w:left w:val="single" w:color="auto" w:sz="6" w:space="0"/>
              <w:bottom w:val="single" w:color="auto" w:sz="6" w:space="0"/>
              <w:right w:val="single" w:color="auto" w:sz="4" w:space="0"/>
            </w:tcBorders>
            <w:noWrap w:val="0"/>
            <w:vAlign w:val="center"/>
          </w:tcPr>
          <w:p w14:paraId="662AB77A">
            <w:pPr>
              <w:jc w:val="center"/>
              <w:rPr>
                <w:rFonts w:ascii="黑体" w:eastAsia="黑体"/>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37228FDF">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49C779BE">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4F620444">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3B71FD37">
            <w:pPr>
              <w:jc w:val="center"/>
              <w:rPr>
                <w:color w:val="auto"/>
                <w:szCs w:val="24"/>
                <w:highlight w:val="none"/>
              </w:rPr>
            </w:pPr>
          </w:p>
        </w:tc>
      </w:tr>
      <w:tr w14:paraId="34E07C0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6" w:space="0"/>
              <w:left w:val="single" w:color="auto" w:sz="6" w:space="0"/>
              <w:bottom w:val="single" w:color="auto" w:sz="4" w:space="0"/>
              <w:right w:val="single" w:color="auto" w:sz="4" w:space="0"/>
            </w:tcBorders>
            <w:noWrap w:val="0"/>
            <w:vAlign w:val="center"/>
          </w:tcPr>
          <w:p w14:paraId="2840CEBD">
            <w:pPr>
              <w:jc w:val="center"/>
              <w:rPr>
                <w:rFonts w:ascii="黑体" w:eastAsia="黑体"/>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275985B8">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1207FF4A">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78D940D5">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48E61DEA">
            <w:pPr>
              <w:jc w:val="center"/>
              <w:rPr>
                <w:color w:val="auto"/>
                <w:szCs w:val="24"/>
                <w:highlight w:val="none"/>
              </w:rPr>
            </w:pPr>
          </w:p>
        </w:tc>
      </w:tr>
      <w:tr w14:paraId="623EE9D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123A018B">
            <w:pPr>
              <w:jc w:val="center"/>
              <w:rPr>
                <w:rFonts w:ascii="黑体" w:eastAsia="黑体"/>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59D257D5">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004431E2">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1C891AE6">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0BD187D8">
            <w:pPr>
              <w:jc w:val="center"/>
              <w:rPr>
                <w:color w:val="auto"/>
                <w:szCs w:val="24"/>
                <w:highlight w:val="none"/>
              </w:rPr>
            </w:pPr>
          </w:p>
        </w:tc>
      </w:tr>
      <w:tr w14:paraId="393D7FD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7AD34B0C">
            <w:pPr>
              <w:jc w:val="center"/>
              <w:rPr>
                <w:rFonts w:ascii="黑体" w:eastAsia="黑体"/>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5F8610C5">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46969F02">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1ACBBC16">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01D685B8">
            <w:pPr>
              <w:jc w:val="center"/>
              <w:rPr>
                <w:color w:val="auto"/>
                <w:szCs w:val="24"/>
                <w:highlight w:val="none"/>
              </w:rPr>
            </w:pPr>
          </w:p>
        </w:tc>
      </w:tr>
      <w:tr w14:paraId="108E87A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39653466">
            <w:pPr>
              <w:jc w:val="center"/>
              <w:rPr>
                <w:rFonts w:ascii="黑体" w:eastAsia="黑体"/>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2B400B51">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2D480690">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65E845DA">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219B1A3B">
            <w:pPr>
              <w:jc w:val="center"/>
              <w:rPr>
                <w:color w:val="auto"/>
                <w:szCs w:val="24"/>
                <w:highlight w:val="none"/>
              </w:rPr>
            </w:pPr>
          </w:p>
        </w:tc>
      </w:tr>
      <w:tr w14:paraId="157852C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3841633E">
            <w:pPr>
              <w:jc w:val="center"/>
              <w:rPr>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7DF1870C">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6EE98566">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4DCF3BDD">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036367E1">
            <w:pPr>
              <w:jc w:val="center"/>
              <w:rPr>
                <w:color w:val="auto"/>
                <w:szCs w:val="24"/>
                <w:highlight w:val="none"/>
              </w:rPr>
            </w:pPr>
          </w:p>
        </w:tc>
      </w:tr>
      <w:tr w14:paraId="694594A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44E0E7C5">
            <w:pPr>
              <w:jc w:val="center"/>
              <w:rPr>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04ED664B">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318BF643">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241D9061">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7152F19A">
            <w:pPr>
              <w:jc w:val="center"/>
              <w:rPr>
                <w:color w:val="auto"/>
                <w:szCs w:val="24"/>
                <w:highlight w:val="none"/>
              </w:rPr>
            </w:pPr>
          </w:p>
        </w:tc>
      </w:tr>
      <w:tr w14:paraId="799BD66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7801A949">
            <w:pPr>
              <w:jc w:val="center"/>
              <w:rPr>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3EB8E327">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149263AC">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133E1DAA">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23A7A74B">
            <w:pPr>
              <w:jc w:val="center"/>
              <w:rPr>
                <w:color w:val="auto"/>
                <w:szCs w:val="24"/>
                <w:highlight w:val="none"/>
              </w:rPr>
            </w:pPr>
          </w:p>
        </w:tc>
      </w:tr>
      <w:tr w14:paraId="1F22BCA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4" w:space="0"/>
              <w:left w:val="single" w:color="auto" w:sz="6" w:space="0"/>
              <w:bottom w:val="single" w:color="auto" w:sz="4" w:space="0"/>
              <w:right w:val="single" w:color="auto" w:sz="4" w:space="0"/>
            </w:tcBorders>
            <w:noWrap w:val="0"/>
            <w:vAlign w:val="center"/>
          </w:tcPr>
          <w:p w14:paraId="5FBA7602">
            <w:pPr>
              <w:jc w:val="center"/>
              <w:rPr>
                <w:color w:val="auto"/>
                <w:szCs w:val="24"/>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71FCEF4C">
            <w:pPr>
              <w:jc w:val="center"/>
              <w:rPr>
                <w:color w:val="auto"/>
                <w:szCs w:val="24"/>
                <w:highlight w:val="none"/>
              </w:rPr>
            </w:pPr>
          </w:p>
        </w:tc>
        <w:tc>
          <w:tcPr>
            <w:tcW w:w="2458" w:type="dxa"/>
            <w:tcBorders>
              <w:top w:val="single" w:color="auto" w:sz="4" w:space="0"/>
              <w:left w:val="single" w:color="auto" w:sz="4" w:space="0"/>
              <w:bottom w:val="single" w:color="auto" w:sz="4" w:space="0"/>
              <w:right w:val="single" w:color="auto" w:sz="4" w:space="0"/>
            </w:tcBorders>
            <w:noWrap w:val="0"/>
            <w:vAlign w:val="center"/>
          </w:tcPr>
          <w:p w14:paraId="781B0BBA">
            <w:pPr>
              <w:jc w:val="center"/>
              <w:rPr>
                <w:color w:val="auto"/>
                <w:szCs w:val="24"/>
                <w:highlight w:val="none"/>
              </w:rPr>
            </w:pPr>
          </w:p>
        </w:tc>
        <w:tc>
          <w:tcPr>
            <w:tcW w:w="2485" w:type="dxa"/>
            <w:tcBorders>
              <w:top w:val="single" w:color="auto" w:sz="4" w:space="0"/>
              <w:left w:val="single" w:color="auto" w:sz="4" w:space="0"/>
              <w:bottom w:val="single" w:color="auto" w:sz="4" w:space="0"/>
              <w:right w:val="single" w:color="auto" w:sz="4" w:space="0"/>
            </w:tcBorders>
            <w:noWrap w:val="0"/>
            <w:vAlign w:val="center"/>
          </w:tcPr>
          <w:p w14:paraId="727C9926">
            <w:pPr>
              <w:jc w:val="center"/>
              <w:rPr>
                <w:color w:val="auto"/>
                <w:szCs w:val="24"/>
                <w:highlight w:val="none"/>
              </w:rPr>
            </w:pPr>
          </w:p>
        </w:tc>
        <w:tc>
          <w:tcPr>
            <w:tcW w:w="1155" w:type="dxa"/>
            <w:tcBorders>
              <w:top w:val="single" w:color="auto" w:sz="4" w:space="0"/>
              <w:left w:val="single" w:color="auto" w:sz="4" w:space="0"/>
              <w:bottom w:val="single" w:color="auto" w:sz="4" w:space="0"/>
              <w:right w:val="single" w:color="auto" w:sz="6" w:space="0"/>
            </w:tcBorders>
            <w:noWrap w:val="0"/>
            <w:vAlign w:val="center"/>
          </w:tcPr>
          <w:p w14:paraId="3D6DEC11">
            <w:pPr>
              <w:jc w:val="center"/>
              <w:rPr>
                <w:color w:val="auto"/>
                <w:szCs w:val="24"/>
                <w:highlight w:val="none"/>
              </w:rPr>
            </w:pPr>
          </w:p>
        </w:tc>
      </w:tr>
      <w:tr w14:paraId="1E46768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4857" w:type="dxa"/>
            <w:gridSpan w:val="3"/>
            <w:tcBorders>
              <w:top w:val="single" w:color="auto" w:sz="4" w:space="0"/>
              <w:left w:val="single" w:color="auto" w:sz="6" w:space="0"/>
              <w:bottom w:val="single" w:color="auto" w:sz="6" w:space="0"/>
              <w:right w:val="single" w:color="auto" w:sz="4" w:space="0"/>
            </w:tcBorders>
            <w:noWrap w:val="0"/>
            <w:vAlign w:val="center"/>
          </w:tcPr>
          <w:p w14:paraId="4BEF9A63">
            <w:pPr>
              <w:jc w:val="center"/>
              <w:rPr>
                <w:color w:val="auto"/>
                <w:szCs w:val="24"/>
                <w:highlight w:val="none"/>
              </w:rPr>
            </w:pPr>
            <w:r>
              <w:rPr>
                <w:rFonts w:hint="eastAsia"/>
                <w:color w:val="auto"/>
                <w:highlight w:val="none"/>
              </w:rPr>
              <w:t>合计</w:t>
            </w:r>
          </w:p>
        </w:tc>
        <w:tc>
          <w:tcPr>
            <w:tcW w:w="2485" w:type="dxa"/>
            <w:tcBorders>
              <w:top w:val="single" w:color="auto" w:sz="4" w:space="0"/>
              <w:left w:val="single" w:color="auto" w:sz="4" w:space="0"/>
              <w:bottom w:val="single" w:color="auto" w:sz="6" w:space="0"/>
              <w:right w:val="single" w:color="auto" w:sz="4" w:space="0"/>
            </w:tcBorders>
            <w:noWrap w:val="0"/>
            <w:vAlign w:val="center"/>
          </w:tcPr>
          <w:p w14:paraId="1EBBCCDA">
            <w:pPr>
              <w:jc w:val="center"/>
              <w:rPr>
                <w:color w:val="auto"/>
                <w:szCs w:val="24"/>
                <w:highlight w:val="none"/>
              </w:rPr>
            </w:pPr>
          </w:p>
        </w:tc>
        <w:tc>
          <w:tcPr>
            <w:tcW w:w="1155" w:type="dxa"/>
            <w:tcBorders>
              <w:top w:val="single" w:color="auto" w:sz="4" w:space="0"/>
              <w:left w:val="single" w:color="auto" w:sz="4" w:space="0"/>
              <w:bottom w:val="single" w:color="auto" w:sz="6" w:space="0"/>
              <w:right w:val="single" w:color="auto" w:sz="6" w:space="0"/>
            </w:tcBorders>
            <w:noWrap w:val="0"/>
            <w:vAlign w:val="center"/>
          </w:tcPr>
          <w:p w14:paraId="0849485A">
            <w:pPr>
              <w:jc w:val="center"/>
              <w:rPr>
                <w:color w:val="auto"/>
                <w:szCs w:val="24"/>
                <w:highlight w:val="none"/>
              </w:rPr>
            </w:pPr>
          </w:p>
        </w:tc>
      </w:tr>
    </w:tbl>
    <w:p w14:paraId="453CC2CC">
      <w:pPr>
        <w:spacing w:before="120" w:beforeLines="50"/>
        <w:rPr>
          <w:rFonts w:ascii="黑体" w:hAnsi="Times New Roman" w:eastAsia="黑体"/>
          <w:color w:val="auto"/>
          <w:highlight w:val="none"/>
        </w:rPr>
      </w:pPr>
    </w:p>
    <w:p w14:paraId="6DBCC206">
      <w:pPr>
        <w:spacing w:before="120" w:beforeLines="50"/>
        <w:ind w:left="420" w:hanging="420" w:hangingChars="200"/>
        <w:rPr>
          <w:rFonts w:hint="eastAsia" w:ascii="宋体" w:hAnsi="宋体"/>
          <w:color w:val="auto"/>
          <w:highlight w:val="none"/>
        </w:rPr>
      </w:pPr>
      <w:r>
        <w:rPr>
          <w:rFonts w:hint="eastAsia" w:ascii="宋体" w:hAnsi="宋体"/>
          <w:color w:val="auto"/>
          <w:highlight w:val="none"/>
        </w:rPr>
        <w:t>注：此表“暂估金额”由招标人填写，投标人应将“暂估金额”计入投标总价中。结算时按合同约定结算金额填写。</w:t>
      </w:r>
    </w:p>
    <w:p w14:paraId="31F5FA8D">
      <w:pPr>
        <w:pStyle w:val="33"/>
        <w:rPr>
          <w:rFonts w:hint="eastAsia" w:ascii="Times New Roman" w:hAnsi="Times New Roman"/>
          <w:color w:val="auto"/>
          <w:highlight w:val="none"/>
        </w:rPr>
      </w:pPr>
      <w:bookmarkStart w:id="2346" w:name="_Toc11449"/>
      <w:bookmarkStart w:id="2347" w:name="_Toc521075253"/>
      <w:bookmarkStart w:id="2348" w:name="_Toc521075678"/>
      <w:r>
        <w:rPr>
          <w:color w:val="auto"/>
          <w:highlight w:val="none"/>
        </w:rPr>
        <w:t>4.12-4</w:t>
      </w:r>
      <w:r>
        <w:rPr>
          <w:rFonts w:hint="eastAsia"/>
          <w:color w:val="auto"/>
          <w:highlight w:val="none"/>
        </w:rPr>
        <w:t>计日工表</w:t>
      </w:r>
      <w:bookmarkEnd w:id="2346"/>
      <w:bookmarkEnd w:id="2347"/>
      <w:bookmarkEnd w:id="2348"/>
    </w:p>
    <w:p w14:paraId="49574917">
      <w:pPr>
        <w:spacing w:before="120" w:beforeLines="50" w:after="120" w:afterLines="50"/>
        <w:jc w:val="center"/>
        <w:rPr>
          <w:rFonts w:ascii="黑体" w:eastAsia="黑体"/>
          <w:color w:val="auto"/>
          <w:sz w:val="28"/>
          <w:szCs w:val="28"/>
          <w:highlight w:val="none"/>
        </w:rPr>
      </w:pPr>
    </w:p>
    <w:p w14:paraId="4A8E4A90">
      <w:pPr>
        <w:spacing w:before="120" w:beforeLines="50" w:after="120"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计日工表</w:t>
      </w:r>
    </w:p>
    <w:p w14:paraId="39516B5D">
      <w:pPr>
        <w:spacing w:before="120" w:beforeLines="50" w:after="120" w:afterLines="50"/>
        <w:jc w:val="center"/>
        <w:rPr>
          <w:rFonts w:hint="eastAsia" w:ascii="黑体" w:eastAsia="黑体"/>
          <w:color w:val="auto"/>
          <w:sz w:val="28"/>
          <w:szCs w:val="28"/>
          <w:highlight w:val="none"/>
        </w:rPr>
      </w:pPr>
    </w:p>
    <w:p w14:paraId="1552A832">
      <w:pPr>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　　</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732"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917"/>
        <w:gridCol w:w="715"/>
        <w:gridCol w:w="904"/>
        <w:gridCol w:w="901"/>
        <w:gridCol w:w="1216"/>
        <w:gridCol w:w="1134"/>
        <w:gridCol w:w="1162"/>
      </w:tblGrid>
      <w:tr w14:paraId="37B102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vMerge w:val="restart"/>
            <w:tcBorders>
              <w:top w:val="single" w:color="auto" w:sz="6" w:space="0"/>
              <w:left w:val="single" w:color="auto" w:sz="6" w:space="0"/>
              <w:bottom w:val="single" w:color="auto" w:sz="4" w:space="0"/>
              <w:right w:val="single" w:color="auto" w:sz="4" w:space="0"/>
            </w:tcBorders>
            <w:noWrap w:val="0"/>
            <w:vAlign w:val="center"/>
          </w:tcPr>
          <w:p w14:paraId="0AF9F0C0">
            <w:pPr>
              <w:jc w:val="center"/>
              <w:rPr>
                <w:color w:val="auto"/>
                <w:szCs w:val="24"/>
                <w:highlight w:val="none"/>
              </w:rPr>
            </w:pPr>
            <w:r>
              <w:rPr>
                <w:rFonts w:hint="eastAsia"/>
                <w:color w:val="auto"/>
                <w:highlight w:val="none"/>
              </w:rPr>
              <w:t>编号</w:t>
            </w:r>
          </w:p>
        </w:tc>
        <w:tc>
          <w:tcPr>
            <w:tcW w:w="1917" w:type="dxa"/>
            <w:vMerge w:val="restart"/>
            <w:tcBorders>
              <w:top w:val="single" w:color="auto" w:sz="6" w:space="0"/>
              <w:left w:val="single" w:color="auto" w:sz="4" w:space="0"/>
              <w:bottom w:val="single" w:color="auto" w:sz="4" w:space="0"/>
              <w:right w:val="single" w:color="auto" w:sz="6" w:space="0"/>
            </w:tcBorders>
            <w:noWrap w:val="0"/>
            <w:vAlign w:val="center"/>
          </w:tcPr>
          <w:p w14:paraId="5CE58A9B">
            <w:pPr>
              <w:jc w:val="center"/>
              <w:rPr>
                <w:color w:val="auto"/>
                <w:szCs w:val="24"/>
                <w:highlight w:val="none"/>
              </w:rPr>
            </w:pPr>
            <w:r>
              <w:rPr>
                <w:rFonts w:hint="eastAsia"/>
                <w:color w:val="auto"/>
                <w:highlight w:val="none"/>
              </w:rPr>
              <w:t>项目名称</w:t>
            </w:r>
          </w:p>
        </w:tc>
        <w:tc>
          <w:tcPr>
            <w:tcW w:w="715" w:type="dxa"/>
            <w:vMerge w:val="restart"/>
            <w:tcBorders>
              <w:top w:val="single" w:color="auto" w:sz="6" w:space="0"/>
              <w:left w:val="single" w:color="auto" w:sz="6" w:space="0"/>
              <w:bottom w:val="single" w:color="auto" w:sz="4" w:space="0"/>
              <w:right w:val="single" w:color="auto" w:sz="4" w:space="0"/>
            </w:tcBorders>
            <w:noWrap w:val="0"/>
            <w:vAlign w:val="center"/>
          </w:tcPr>
          <w:p w14:paraId="01A4B3FE">
            <w:pPr>
              <w:jc w:val="center"/>
              <w:rPr>
                <w:color w:val="auto"/>
                <w:szCs w:val="24"/>
                <w:highlight w:val="none"/>
              </w:rPr>
            </w:pPr>
            <w:r>
              <w:rPr>
                <w:rFonts w:hint="eastAsia"/>
                <w:color w:val="auto"/>
                <w:highlight w:val="none"/>
              </w:rPr>
              <w:t>单位</w:t>
            </w:r>
          </w:p>
        </w:tc>
        <w:tc>
          <w:tcPr>
            <w:tcW w:w="904" w:type="dxa"/>
            <w:vMerge w:val="restart"/>
            <w:tcBorders>
              <w:top w:val="single" w:color="auto" w:sz="6" w:space="0"/>
              <w:left w:val="single" w:color="auto" w:sz="4" w:space="0"/>
              <w:bottom w:val="single" w:color="auto" w:sz="4" w:space="0"/>
              <w:right w:val="single" w:color="auto" w:sz="6" w:space="0"/>
            </w:tcBorders>
            <w:noWrap w:val="0"/>
            <w:vAlign w:val="center"/>
          </w:tcPr>
          <w:p w14:paraId="2C52C1FF">
            <w:pPr>
              <w:jc w:val="center"/>
              <w:rPr>
                <w:color w:val="auto"/>
                <w:szCs w:val="24"/>
                <w:highlight w:val="none"/>
              </w:rPr>
            </w:pPr>
            <w:r>
              <w:rPr>
                <w:rFonts w:hint="eastAsia"/>
                <w:color w:val="auto"/>
                <w:highlight w:val="none"/>
              </w:rPr>
              <w:t>暂定</w:t>
            </w:r>
          </w:p>
          <w:p w14:paraId="4E213BB0">
            <w:pPr>
              <w:jc w:val="center"/>
              <w:rPr>
                <w:color w:val="auto"/>
                <w:szCs w:val="24"/>
                <w:highlight w:val="none"/>
              </w:rPr>
            </w:pPr>
            <w:r>
              <w:rPr>
                <w:rFonts w:hint="eastAsia"/>
                <w:color w:val="auto"/>
                <w:highlight w:val="none"/>
              </w:rPr>
              <w:t>数量</w:t>
            </w:r>
          </w:p>
        </w:tc>
        <w:tc>
          <w:tcPr>
            <w:tcW w:w="901" w:type="dxa"/>
            <w:vMerge w:val="restart"/>
            <w:tcBorders>
              <w:top w:val="single" w:color="auto" w:sz="6" w:space="0"/>
              <w:left w:val="single" w:color="auto" w:sz="6" w:space="0"/>
              <w:bottom w:val="single" w:color="auto" w:sz="4" w:space="0"/>
              <w:right w:val="single" w:color="auto" w:sz="4" w:space="0"/>
            </w:tcBorders>
            <w:noWrap w:val="0"/>
            <w:vAlign w:val="center"/>
          </w:tcPr>
          <w:p w14:paraId="67D2709B">
            <w:pPr>
              <w:jc w:val="center"/>
              <w:rPr>
                <w:color w:val="auto"/>
                <w:szCs w:val="24"/>
                <w:highlight w:val="none"/>
              </w:rPr>
            </w:pPr>
            <w:r>
              <w:rPr>
                <w:rFonts w:hint="eastAsia"/>
                <w:color w:val="auto"/>
                <w:highlight w:val="none"/>
              </w:rPr>
              <w:t>实际</w:t>
            </w:r>
          </w:p>
          <w:p w14:paraId="55526C6E">
            <w:pPr>
              <w:jc w:val="center"/>
              <w:rPr>
                <w:color w:val="auto"/>
                <w:szCs w:val="24"/>
                <w:highlight w:val="none"/>
              </w:rPr>
            </w:pPr>
            <w:r>
              <w:rPr>
                <w:rFonts w:hint="eastAsia"/>
                <w:color w:val="auto"/>
                <w:highlight w:val="none"/>
              </w:rPr>
              <w:t>数量</w:t>
            </w:r>
          </w:p>
        </w:tc>
        <w:tc>
          <w:tcPr>
            <w:tcW w:w="1216" w:type="dxa"/>
            <w:vMerge w:val="restart"/>
            <w:tcBorders>
              <w:top w:val="single" w:color="auto" w:sz="6" w:space="0"/>
              <w:left w:val="single" w:color="auto" w:sz="4" w:space="0"/>
              <w:bottom w:val="single" w:color="auto" w:sz="4" w:space="0"/>
              <w:right w:val="single" w:color="auto" w:sz="4" w:space="0"/>
            </w:tcBorders>
            <w:noWrap w:val="0"/>
            <w:vAlign w:val="center"/>
          </w:tcPr>
          <w:p w14:paraId="1F0C5EF3">
            <w:pPr>
              <w:jc w:val="center"/>
              <w:rPr>
                <w:color w:val="auto"/>
                <w:szCs w:val="24"/>
                <w:highlight w:val="none"/>
              </w:rPr>
            </w:pPr>
            <w:r>
              <w:rPr>
                <w:rFonts w:hint="eastAsia"/>
                <w:color w:val="auto"/>
                <w:highlight w:val="none"/>
              </w:rPr>
              <w:t>单价（元）</w:t>
            </w:r>
          </w:p>
        </w:tc>
        <w:tc>
          <w:tcPr>
            <w:tcW w:w="2296" w:type="dxa"/>
            <w:gridSpan w:val="2"/>
            <w:tcBorders>
              <w:top w:val="single" w:color="auto" w:sz="6" w:space="0"/>
              <w:left w:val="single" w:color="auto" w:sz="4" w:space="0"/>
              <w:bottom w:val="single" w:color="auto" w:sz="4" w:space="0"/>
              <w:right w:val="single" w:color="auto" w:sz="6" w:space="0"/>
            </w:tcBorders>
            <w:noWrap w:val="0"/>
            <w:vAlign w:val="center"/>
          </w:tcPr>
          <w:p w14:paraId="7D5A6F03">
            <w:pPr>
              <w:jc w:val="center"/>
              <w:rPr>
                <w:color w:val="auto"/>
                <w:szCs w:val="24"/>
                <w:highlight w:val="none"/>
              </w:rPr>
            </w:pPr>
            <w:r>
              <w:rPr>
                <w:rFonts w:hint="eastAsia"/>
                <w:color w:val="auto"/>
                <w:highlight w:val="none"/>
              </w:rPr>
              <w:t>合价（元）</w:t>
            </w:r>
          </w:p>
        </w:tc>
      </w:tr>
      <w:tr w14:paraId="1F4ACA2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0" w:type="auto"/>
            <w:vMerge w:val="continue"/>
            <w:tcBorders>
              <w:top w:val="single" w:color="auto" w:sz="6" w:space="0"/>
              <w:left w:val="single" w:color="auto" w:sz="6" w:space="0"/>
              <w:bottom w:val="single" w:color="auto" w:sz="4" w:space="0"/>
              <w:right w:val="single" w:color="auto" w:sz="4" w:space="0"/>
            </w:tcBorders>
            <w:noWrap w:val="0"/>
            <w:vAlign w:val="center"/>
          </w:tcPr>
          <w:p w14:paraId="2485A620">
            <w:pPr>
              <w:widowControl/>
              <w:jc w:val="left"/>
              <w:rPr>
                <w:color w:val="auto"/>
                <w:szCs w:val="24"/>
                <w:highlight w:val="none"/>
              </w:rPr>
            </w:pPr>
          </w:p>
        </w:tc>
        <w:tc>
          <w:tcPr>
            <w:tcW w:w="0" w:type="auto"/>
            <w:vMerge w:val="continue"/>
            <w:tcBorders>
              <w:top w:val="single" w:color="auto" w:sz="6" w:space="0"/>
              <w:left w:val="single" w:color="auto" w:sz="4" w:space="0"/>
              <w:bottom w:val="single" w:color="auto" w:sz="4" w:space="0"/>
              <w:right w:val="single" w:color="auto" w:sz="6" w:space="0"/>
            </w:tcBorders>
            <w:noWrap w:val="0"/>
            <w:vAlign w:val="center"/>
          </w:tcPr>
          <w:p w14:paraId="710DB62E">
            <w:pPr>
              <w:widowControl/>
              <w:jc w:val="left"/>
              <w:rPr>
                <w:color w:val="auto"/>
                <w:szCs w:val="24"/>
                <w:highlight w:val="none"/>
              </w:rPr>
            </w:pPr>
          </w:p>
        </w:tc>
        <w:tc>
          <w:tcPr>
            <w:tcW w:w="0" w:type="auto"/>
            <w:vMerge w:val="continue"/>
            <w:tcBorders>
              <w:top w:val="single" w:color="auto" w:sz="6" w:space="0"/>
              <w:left w:val="single" w:color="auto" w:sz="6" w:space="0"/>
              <w:bottom w:val="single" w:color="auto" w:sz="4" w:space="0"/>
              <w:right w:val="single" w:color="auto" w:sz="4" w:space="0"/>
            </w:tcBorders>
            <w:noWrap w:val="0"/>
            <w:vAlign w:val="center"/>
          </w:tcPr>
          <w:p w14:paraId="3706604E">
            <w:pPr>
              <w:widowControl/>
              <w:jc w:val="left"/>
              <w:rPr>
                <w:color w:val="auto"/>
                <w:szCs w:val="24"/>
                <w:highlight w:val="none"/>
              </w:rPr>
            </w:pPr>
          </w:p>
        </w:tc>
        <w:tc>
          <w:tcPr>
            <w:tcW w:w="0" w:type="auto"/>
            <w:vMerge w:val="continue"/>
            <w:tcBorders>
              <w:top w:val="single" w:color="auto" w:sz="6" w:space="0"/>
              <w:left w:val="single" w:color="auto" w:sz="4" w:space="0"/>
              <w:bottom w:val="single" w:color="auto" w:sz="4" w:space="0"/>
              <w:right w:val="single" w:color="auto" w:sz="6" w:space="0"/>
            </w:tcBorders>
            <w:noWrap w:val="0"/>
            <w:vAlign w:val="center"/>
          </w:tcPr>
          <w:p w14:paraId="3BC05519">
            <w:pPr>
              <w:widowControl/>
              <w:jc w:val="left"/>
              <w:rPr>
                <w:color w:val="auto"/>
                <w:szCs w:val="24"/>
                <w:highlight w:val="none"/>
              </w:rPr>
            </w:pPr>
          </w:p>
        </w:tc>
        <w:tc>
          <w:tcPr>
            <w:tcW w:w="0" w:type="auto"/>
            <w:vMerge w:val="continue"/>
            <w:tcBorders>
              <w:top w:val="single" w:color="auto" w:sz="6" w:space="0"/>
              <w:left w:val="single" w:color="auto" w:sz="6" w:space="0"/>
              <w:bottom w:val="single" w:color="auto" w:sz="4" w:space="0"/>
              <w:right w:val="single" w:color="auto" w:sz="4" w:space="0"/>
            </w:tcBorders>
            <w:noWrap w:val="0"/>
            <w:vAlign w:val="center"/>
          </w:tcPr>
          <w:p w14:paraId="101C86A1">
            <w:pPr>
              <w:widowControl/>
              <w:jc w:val="left"/>
              <w:rPr>
                <w:color w:val="auto"/>
                <w:szCs w:val="24"/>
                <w:highlight w:val="none"/>
              </w:rPr>
            </w:pPr>
          </w:p>
        </w:tc>
        <w:tc>
          <w:tcPr>
            <w:tcW w:w="0" w:type="auto"/>
            <w:vMerge w:val="continue"/>
            <w:tcBorders>
              <w:top w:val="single" w:color="auto" w:sz="6" w:space="0"/>
              <w:left w:val="single" w:color="auto" w:sz="4" w:space="0"/>
              <w:bottom w:val="single" w:color="auto" w:sz="4" w:space="0"/>
              <w:right w:val="single" w:color="auto" w:sz="4" w:space="0"/>
            </w:tcBorders>
            <w:noWrap w:val="0"/>
            <w:vAlign w:val="center"/>
          </w:tcPr>
          <w:p w14:paraId="671B2A63">
            <w:pPr>
              <w:widowControl/>
              <w:jc w:val="left"/>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205D970">
            <w:pPr>
              <w:jc w:val="center"/>
              <w:rPr>
                <w:color w:val="auto"/>
                <w:szCs w:val="24"/>
                <w:highlight w:val="none"/>
              </w:rPr>
            </w:pPr>
            <w:r>
              <w:rPr>
                <w:rFonts w:hint="eastAsia"/>
                <w:color w:val="auto"/>
                <w:highlight w:val="none"/>
              </w:rPr>
              <w:t>暂定</w:t>
            </w:r>
          </w:p>
        </w:tc>
        <w:tc>
          <w:tcPr>
            <w:tcW w:w="1162" w:type="dxa"/>
            <w:tcBorders>
              <w:top w:val="single" w:color="auto" w:sz="4" w:space="0"/>
              <w:left w:val="single" w:color="auto" w:sz="4" w:space="0"/>
              <w:bottom w:val="single" w:color="auto" w:sz="4" w:space="0"/>
              <w:right w:val="single" w:color="auto" w:sz="6" w:space="0"/>
            </w:tcBorders>
            <w:noWrap w:val="0"/>
            <w:vAlign w:val="center"/>
          </w:tcPr>
          <w:p w14:paraId="58ED9C63">
            <w:pPr>
              <w:jc w:val="center"/>
              <w:rPr>
                <w:color w:val="auto"/>
                <w:szCs w:val="24"/>
                <w:highlight w:val="none"/>
              </w:rPr>
            </w:pPr>
            <w:r>
              <w:rPr>
                <w:rFonts w:hint="eastAsia"/>
                <w:color w:val="auto"/>
                <w:highlight w:val="none"/>
              </w:rPr>
              <w:t>实际</w:t>
            </w:r>
          </w:p>
        </w:tc>
      </w:tr>
      <w:tr w14:paraId="519EEE4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66C67A0D">
            <w:pPr>
              <w:jc w:val="center"/>
              <w:rPr>
                <w:rFonts w:ascii="黑体" w:eastAsia="黑体"/>
                <w:color w:val="auto"/>
                <w:szCs w:val="24"/>
                <w:highlight w:val="none"/>
              </w:rPr>
            </w:pPr>
            <w:r>
              <w:rPr>
                <w:rFonts w:hint="eastAsia" w:ascii="黑体" w:eastAsia="黑体"/>
                <w:color w:val="auto"/>
                <w:highlight w:val="none"/>
              </w:rPr>
              <w:t>一</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70E9E1CA">
            <w:pPr>
              <w:jc w:val="center"/>
              <w:rPr>
                <w:color w:val="auto"/>
                <w:szCs w:val="24"/>
                <w:highlight w:val="none"/>
              </w:rPr>
            </w:pPr>
            <w:r>
              <w:rPr>
                <w:rFonts w:hint="eastAsia"/>
                <w:color w:val="auto"/>
                <w:highlight w:val="none"/>
              </w:rPr>
              <w:t>人工</w:t>
            </w:r>
          </w:p>
        </w:tc>
        <w:tc>
          <w:tcPr>
            <w:tcW w:w="715" w:type="dxa"/>
            <w:tcBorders>
              <w:top w:val="single" w:color="auto" w:sz="4" w:space="0"/>
              <w:left w:val="single" w:color="auto" w:sz="6" w:space="0"/>
              <w:bottom w:val="single" w:color="auto" w:sz="4" w:space="0"/>
              <w:right w:val="single" w:color="auto" w:sz="4" w:space="0"/>
            </w:tcBorders>
            <w:noWrap w:val="0"/>
            <w:vAlign w:val="center"/>
          </w:tcPr>
          <w:p w14:paraId="68ACBF47">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083ADEC5">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627C2732">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7D6FA34D">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45FDC80">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7007CF60">
            <w:pPr>
              <w:jc w:val="center"/>
              <w:rPr>
                <w:color w:val="auto"/>
                <w:szCs w:val="24"/>
                <w:highlight w:val="none"/>
              </w:rPr>
            </w:pPr>
          </w:p>
        </w:tc>
      </w:tr>
      <w:tr w14:paraId="703B9A8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6" w:space="0"/>
              <w:right w:val="single" w:color="auto" w:sz="4" w:space="0"/>
            </w:tcBorders>
            <w:noWrap w:val="0"/>
            <w:vAlign w:val="center"/>
          </w:tcPr>
          <w:p w14:paraId="27774558">
            <w:pPr>
              <w:jc w:val="center"/>
              <w:rPr>
                <w:rFonts w:ascii="黑体" w:eastAsia="黑体"/>
                <w:color w:val="auto"/>
                <w:szCs w:val="24"/>
                <w:highlight w:val="none"/>
              </w:rPr>
            </w:pPr>
            <w:r>
              <w:rPr>
                <w:rFonts w:hint="eastAsia" w:ascii="黑体" w:eastAsia="黑体"/>
                <w:color w:val="auto"/>
                <w:highlight w:val="none"/>
              </w:rPr>
              <w:t>1</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0E3D932F">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42D65487">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2B16DF97">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0B4B3DB0">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146695B0">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DEACCA">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6A89C5A8">
            <w:pPr>
              <w:jc w:val="center"/>
              <w:rPr>
                <w:color w:val="auto"/>
                <w:szCs w:val="24"/>
                <w:highlight w:val="none"/>
              </w:rPr>
            </w:pPr>
          </w:p>
        </w:tc>
      </w:tr>
      <w:tr w14:paraId="2421AA0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6" w:space="0"/>
              <w:left w:val="single" w:color="auto" w:sz="6" w:space="0"/>
              <w:bottom w:val="single" w:color="auto" w:sz="4" w:space="0"/>
              <w:right w:val="single" w:color="auto" w:sz="4" w:space="0"/>
            </w:tcBorders>
            <w:noWrap w:val="0"/>
            <w:vAlign w:val="center"/>
          </w:tcPr>
          <w:p w14:paraId="6108DFCF">
            <w:pPr>
              <w:jc w:val="center"/>
              <w:rPr>
                <w:rFonts w:ascii="黑体" w:eastAsia="黑体"/>
                <w:color w:val="auto"/>
                <w:szCs w:val="24"/>
                <w:highlight w:val="none"/>
              </w:rPr>
            </w:pPr>
            <w:r>
              <w:rPr>
                <w:rFonts w:hint="eastAsia" w:ascii="黑体" w:eastAsia="黑体"/>
                <w:color w:val="auto"/>
                <w:highlight w:val="none"/>
              </w:rPr>
              <w:t>2</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0C7F6FF5">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61AFA788">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3A05CED9">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1E5F59C7">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507C01A9">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F3AFA31">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5F7187EC">
            <w:pPr>
              <w:jc w:val="center"/>
              <w:rPr>
                <w:color w:val="auto"/>
                <w:szCs w:val="24"/>
                <w:highlight w:val="none"/>
              </w:rPr>
            </w:pPr>
          </w:p>
        </w:tc>
      </w:tr>
      <w:tr w14:paraId="7B44E9B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7458896E">
            <w:pPr>
              <w:jc w:val="center"/>
              <w:rPr>
                <w:rFonts w:ascii="黑体" w:eastAsia="黑体"/>
                <w:color w:val="auto"/>
                <w:szCs w:val="24"/>
                <w:highlight w:val="none"/>
              </w:rPr>
            </w:pPr>
            <w:r>
              <w:rPr>
                <w:rFonts w:hint="eastAsia" w:ascii="黑体" w:eastAsia="黑体"/>
                <w:color w:val="auto"/>
                <w:highlight w:val="none"/>
              </w:rPr>
              <w:t>3</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62CFE681">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5619129D">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39EA3E11">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5FD25361">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48434A8A">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D81D127">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2BD2B1E1">
            <w:pPr>
              <w:jc w:val="center"/>
              <w:rPr>
                <w:color w:val="auto"/>
                <w:szCs w:val="24"/>
                <w:highlight w:val="none"/>
              </w:rPr>
            </w:pPr>
          </w:p>
        </w:tc>
      </w:tr>
      <w:tr w14:paraId="34C787D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tcBorders>
              <w:top w:val="single" w:color="auto" w:sz="4" w:space="0"/>
              <w:left w:val="single" w:color="auto" w:sz="6" w:space="0"/>
              <w:bottom w:val="single" w:color="auto" w:sz="4" w:space="0"/>
              <w:right w:val="single" w:color="auto" w:sz="4" w:space="0"/>
            </w:tcBorders>
            <w:noWrap w:val="0"/>
            <w:vAlign w:val="center"/>
          </w:tcPr>
          <w:p w14:paraId="42A1773A">
            <w:pPr>
              <w:jc w:val="center"/>
              <w:rPr>
                <w:color w:val="auto"/>
                <w:szCs w:val="24"/>
                <w:highlight w:val="none"/>
              </w:rPr>
            </w:pPr>
            <w:r>
              <w:rPr>
                <w:rFonts w:hint="eastAsia"/>
                <w:color w:val="auto"/>
                <w:highlight w:val="none"/>
              </w:rPr>
              <w:t>人工小计</w:t>
            </w:r>
          </w:p>
        </w:tc>
        <w:tc>
          <w:tcPr>
            <w:tcW w:w="1134" w:type="dxa"/>
            <w:tcBorders>
              <w:top w:val="single" w:color="auto" w:sz="4" w:space="0"/>
              <w:left w:val="single" w:color="auto" w:sz="6" w:space="0"/>
              <w:bottom w:val="single" w:color="auto" w:sz="4" w:space="0"/>
              <w:right w:val="single" w:color="auto" w:sz="4" w:space="0"/>
            </w:tcBorders>
            <w:noWrap w:val="0"/>
            <w:vAlign w:val="center"/>
          </w:tcPr>
          <w:p w14:paraId="6B08B80E">
            <w:pPr>
              <w:jc w:val="center"/>
              <w:rPr>
                <w:color w:val="auto"/>
                <w:szCs w:val="24"/>
                <w:highlight w:val="none"/>
              </w:rPr>
            </w:pPr>
          </w:p>
        </w:tc>
        <w:tc>
          <w:tcPr>
            <w:tcW w:w="1162" w:type="dxa"/>
            <w:tcBorders>
              <w:top w:val="single" w:color="auto" w:sz="4" w:space="0"/>
              <w:left w:val="single" w:color="auto" w:sz="6" w:space="0"/>
              <w:bottom w:val="single" w:color="auto" w:sz="4" w:space="0"/>
              <w:right w:val="single" w:color="auto" w:sz="6" w:space="0"/>
            </w:tcBorders>
            <w:noWrap w:val="0"/>
            <w:vAlign w:val="center"/>
          </w:tcPr>
          <w:p w14:paraId="74E3DBFC">
            <w:pPr>
              <w:jc w:val="center"/>
              <w:rPr>
                <w:color w:val="auto"/>
                <w:szCs w:val="24"/>
                <w:highlight w:val="none"/>
              </w:rPr>
            </w:pPr>
          </w:p>
        </w:tc>
      </w:tr>
      <w:tr w14:paraId="64D9C0B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2A2E8D3E">
            <w:pPr>
              <w:jc w:val="center"/>
              <w:rPr>
                <w:color w:val="auto"/>
                <w:szCs w:val="24"/>
                <w:highlight w:val="none"/>
              </w:rPr>
            </w:pPr>
            <w:r>
              <w:rPr>
                <w:rFonts w:hint="eastAsia"/>
                <w:color w:val="auto"/>
                <w:highlight w:val="none"/>
              </w:rPr>
              <w:t>二</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7CC7B18F">
            <w:pPr>
              <w:jc w:val="center"/>
              <w:rPr>
                <w:color w:val="auto"/>
                <w:szCs w:val="24"/>
                <w:highlight w:val="none"/>
              </w:rPr>
            </w:pPr>
            <w:r>
              <w:rPr>
                <w:rFonts w:hint="eastAsia"/>
                <w:color w:val="auto"/>
                <w:highlight w:val="none"/>
              </w:rPr>
              <w:t>材料</w:t>
            </w:r>
          </w:p>
        </w:tc>
        <w:tc>
          <w:tcPr>
            <w:tcW w:w="715" w:type="dxa"/>
            <w:tcBorders>
              <w:top w:val="single" w:color="auto" w:sz="4" w:space="0"/>
              <w:left w:val="single" w:color="auto" w:sz="6" w:space="0"/>
              <w:bottom w:val="single" w:color="auto" w:sz="4" w:space="0"/>
              <w:right w:val="single" w:color="auto" w:sz="4" w:space="0"/>
            </w:tcBorders>
            <w:noWrap w:val="0"/>
            <w:vAlign w:val="center"/>
          </w:tcPr>
          <w:p w14:paraId="4D33F1F3">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75E3A38D">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1792E2F2">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6715C543">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E68B80F">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158DAD6C">
            <w:pPr>
              <w:jc w:val="center"/>
              <w:rPr>
                <w:color w:val="auto"/>
                <w:szCs w:val="24"/>
                <w:highlight w:val="none"/>
              </w:rPr>
            </w:pPr>
          </w:p>
        </w:tc>
      </w:tr>
      <w:tr w14:paraId="4482DB8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604236D2">
            <w:pPr>
              <w:jc w:val="center"/>
              <w:rPr>
                <w:rFonts w:ascii="黑体" w:eastAsia="黑体"/>
                <w:color w:val="auto"/>
                <w:szCs w:val="24"/>
                <w:highlight w:val="none"/>
              </w:rPr>
            </w:pPr>
            <w:r>
              <w:rPr>
                <w:rFonts w:hint="eastAsia" w:ascii="黑体" w:eastAsia="黑体"/>
                <w:color w:val="auto"/>
                <w:highlight w:val="none"/>
              </w:rPr>
              <w:t>1</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569EA8A1">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15C3DCC4">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13791572">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19087F27">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3DCCA0AB">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CF3C8AB">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492C8910">
            <w:pPr>
              <w:jc w:val="center"/>
              <w:rPr>
                <w:color w:val="auto"/>
                <w:szCs w:val="24"/>
                <w:highlight w:val="none"/>
              </w:rPr>
            </w:pPr>
          </w:p>
        </w:tc>
      </w:tr>
      <w:tr w14:paraId="2B10CE2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62DCF39C">
            <w:pPr>
              <w:jc w:val="center"/>
              <w:rPr>
                <w:rFonts w:ascii="黑体" w:eastAsia="黑体"/>
                <w:color w:val="auto"/>
                <w:szCs w:val="24"/>
                <w:highlight w:val="none"/>
              </w:rPr>
            </w:pPr>
            <w:r>
              <w:rPr>
                <w:rFonts w:hint="eastAsia" w:ascii="黑体" w:eastAsia="黑体"/>
                <w:color w:val="auto"/>
                <w:highlight w:val="none"/>
              </w:rPr>
              <w:t>2</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0EBEE32C">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560872B1">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65B824CE">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3FB9FF6A">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2A31AD92">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424C4BB">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6CF4FF4A">
            <w:pPr>
              <w:jc w:val="center"/>
              <w:rPr>
                <w:color w:val="auto"/>
                <w:szCs w:val="24"/>
                <w:highlight w:val="none"/>
              </w:rPr>
            </w:pPr>
          </w:p>
        </w:tc>
      </w:tr>
      <w:tr w14:paraId="3C8E131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663467B1">
            <w:pPr>
              <w:jc w:val="center"/>
              <w:rPr>
                <w:rFonts w:ascii="黑体" w:eastAsia="黑体"/>
                <w:color w:val="auto"/>
                <w:szCs w:val="24"/>
                <w:highlight w:val="none"/>
              </w:rPr>
            </w:pPr>
            <w:r>
              <w:rPr>
                <w:rFonts w:hint="eastAsia" w:ascii="黑体" w:eastAsia="黑体"/>
                <w:color w:val="auto"/>
                <w:highlight w:val="none"/>
              </w:rPr>
              <w:t>3</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5CACDC5C">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24EA4673">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0409F396">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39AAB4E9">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6834ACC1">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A62A34B">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7B430DE3">
            <w:pPr>
              <w:jc w:val="center"/>
              <w:rPr>
                <w:color w:val="auto"/>
                <w:szCs w:val="24"/>
                <w:highlight w:val="none"/>
              </w:rPr>
            </w:pPr>
          </w:p>
        </w:tc>
      </w:tr>
      <w:tr w14:paraId="74D9FB9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tcBorders>
              <w:top w:val="single" w:color="auto" w:sz="4" w:space="0"/>
              <w:left w:val="single" w:color="auto" w:sz="6" w:space="0"/>
              <w:bottom w:val="single" w:color="auto" w:sz="4" w:space="0"/>
              <w:right w:val="single" w:color="auto" w:sz="4" w:space="0"/>
            </w:tcBorders>
            <w:noWrap w:val="0"/>
            <w:vAlign w:val="center"/>
          </w:tcPr>
          <w:p w14:paraId="13446E63">
            <w:pPr>
              <w:jc w:val="center"/>
              <w:rPr>
                <w:color w:val="auto"/>
                <w:szCs w:val="24"/>
                <w:highlight w:val="none"/>
              </w:rPr>
            </w:pPr>
            <w:r>
              <w:rPr>
                <w:rFonts w:hint="eastAsia"/>
                <w:color w:val="auto"/>
                <w:highlight w:val="none"/>
              </w:rPr>
              <w:t>材料小计</w:t>
            </w:r>
          </w:p>
        </w:tc>
        <w:tc>
          <w:tcPr>
            <w:tcW w:w="1134" w:type="dxa"/>
            <w:tcBorders>
              <w:top w:val="single" w:color="auto" w:sz="4" w:space="0"/>
              <w:left w:val="single" w:color="auto" w:sz="6" w:space="0"/>
              <w:bottom w:val="single" w:color="auto" w:sz="4" w:space="0"/>
              <w:right w:val="single" w:color="auto" w:sz="4" w:space="0"/>
            </w:tcBorders>
            <w:noWrap w:val="0"/>
            <w:vAlign w:val="center"/>
          </w:tcPr>
          <w:p w14:paraId="22B05C44">
            <w:pPr>
              <w:jc w:val="center"/>
              <w:rPr>
                <w:color w:val="auto"/>
                <w:szCs w:val="24"/>
                <w:highlight w:val="none"/>
              </w:rPr>
            </w:pPr>
          </w:p>
        </w:tc>
        <w:tc>
          <w:tcPr>
            <w:tcW w:w="1162" w:type="dxa"/>
            <w:tcBorders>
              <w:top w:val="single" w:color="auto" w:sz="4" w:space="0"/>
              <w:left w:val="single" w:color="auto" w:sz="6" w:space="0"/>
              <w:bottom w:val="single" w:color="auto" w:sz="4" w:space="0"/>
              <w:right w:val="single" w:color="auto" w:sz="6" w:space="0"/>
            </w:tcBorders>
            <w:noWrap w:val="0"/>
            <w:vAlign w:val="center"/>
          </w:tcPr>
          <w:p w14:paraId="18D4A3A1">
            <w:pPr>
              <w:jc w:val="center"/>
              <w:rPr>
                <w:color w:val="auto"/>
                <w:szCs w:val="24"/>
                <w:highlight w:val="none"/>
              </w:rPr>
            </w:pPr>
          </w:p>
        </w:tc>
      </w:tr>
      <w:tr w14:paraId="1753EFB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15F63085">
            <w:pPr>
              <w:jc w:val="center"/>
              <w:rPr>
                <w:color w:val="auto"/>
                <w:szCs w:val="24"/>
                <w:highlight w:val="none"/>
              </w:rPr>
            </w:pPr>
            <w:r>
              <w:rPr>
                <w:rFonts w:hint="eastAsia"/>
                <w:color w:val="auto"/>
                <w:highlight w:val="none"/>
              </w:rPr>
              <w:t>三</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0EFF8CFE">
            <w:pPr>
              <w:jc w:val="center"/>
              <w:rPr>
                <w:color w:val="auto"/>
                <w:szCs w:val="24"/>
                <w:highlight w:val="none"/>
              </w:rPr>
            </w:pPr>
            <w:r>
              <w:rPr>
                <w:rFonts w:hint="eastAsia"/>
                <w:color w:val="auto"/>
                <w:highlight w:val="none"/>
              </w:rPr>
              <w:t>施工机械</w:t>
            </w:r>
          </w:p>
        </w:tc>
        <w:tc>
          <w:tcPr>
            <w:tcW w:w="715" w:type="dxa"/>
            <w:tcBorders>
              <w:top w:val="single" w:color="auto" w:sz="4" w:space="0"/>
              <w:left w:val="single" w:color="auto" w:sz="6" w:space="0"/>
              <w:bottom w:val="single" w:color="auto" w:sz="4" w:space="0"/>
              <w:right w:val="single" w:color="auto" w:sz="4" w:space="0"/>
            </w:tcBorders>
            <w:noWrap w:val="0"/>
            <w:vAlign w:val="center"/>
          </w:tcPr>
          <w:p w14:paraId="281C50B3">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4CE1ADC8">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3FD31645">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6ED73B5B">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A049480">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68415046">
            <w:pPr>
              <w:jc w:val="center"/>
              <w:rPr>
                <w:color w:val="auto"/>
                <w:szCs w:val="24"/>
                <w:highlight w:val="none"/>
              </w:rPr>
            </w:pPr>
          </w:p>
        </w:tc>
      </w:tr>
      <w:tr w14:paraId="5B17B61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1FE95AD7">
            <w:pPr>
              <w:jc w:val="center"/>
              <w:rPr>
                <w:rFonts w:ascii="黑体" w:eastAsia="黑体"/>
                <w:color w:val="auto"/>
                <w:szCs w:val="24"/>
                <w:highlight w:val="none"/>
              </w:rPr>
            </w:pPr>
            <w:r>
              <w:rPr>
                <w:rFonts w:hint="eastAsia" w:ascii="黑体" w:eastAsia="黑体"/>
                <w:color w:val="auto"/>
                <w:highlight w:val="none"/>
              </w:rPr>
              <w:t>1</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51CA65E2">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60B9556B">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3348088C">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61515995">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2105C16E">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E1B3630">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162ADBB6">
            <w:pPr>
              <w:jc w:val="center"/>
              <w:rPr>
                <w:color w:val="auto"/>
                <w:szCs w:val="24"/>
                <w:highlight w:val="none"/>
              </w:rPr>
            </w:pPr>
          </w:p>
        </w:tc>
      </w:tr>
      <w:tr w14:paraId="28CF284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705B577E">
            <w:pPr>
              <w:jc w:val="center"/>
              <w:rPr>
                <w:rFonts w:ascii="黑体" w:eastAsia="黑体"/>
                <w:color w:val="auto"/>
                <w:szCs w:val="24"/>
                <w:highlight w:val="none"/>
              </w:rPr>
            </w:pPr>
            <w:r>
              <w:rPr>
                <w:rFonts w:hint="eastAsia" w:ascii="黑体" w:eastAsia="黑体"/>
                <w:color w:val="auto"/>
                <w:highlight w:val="none"/>
              </w:rPr>
              <w:t>2</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3A8B4AAC">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78B556CE">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696068A1">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478869E3">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2D8CCA9F">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1BE818E">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1B6E7702">
            <w:pPr>
              <w:jc w:val="center"/>
              <w:rPr>
                <w:color w:val="auto"/>
                <w:szCs w:val="24"/>
                <w:highlight w:val="none"/>
              </w:rPr>
            </w:pPr>
          </w:p>
        </w:tc>
      </w:tr>
      <w:tr w14:paraId="44D5A02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4" w:space="0"/>
              <w:left w:val="single" w:color="auto" w:sz="6" w:space="0"/>
              <w:bottom w:val="single" w:color="auto" w:sz="4" w:space="0"/>
              <w:right w:val="single" w:color="auto" w:sz="4" w:space="0"/>
            </w:tcBorders>
            <w:noWrap w:val="0"/>
            <w:vAlign w:val="center"/>
          </w:tcPr>
          <w:p w14:paraId="368047FE">
            <w:pPr>
              <w:jc w:val="center"/>
              <w:rPr>
                <w:rFonts w:ascii="黑体" w:eastAsia="黑体"/>
                <w:color w:val="auto"/>
                <w:szCs w:val="24"/>
                <w:highlight w:val="none"/>
              </w:rPr>
            </w:pPr>
            <w:r>
              <w:rPr>
                <w:rFonts w:hint="eastAsia" w:ascii="黑体" w:eastAsia="黑体"/>
                <w:color w:val="auto"/>
                <w:highlight w:val="none"/>
              </w:rPr>
              <w:t>3</w:t>
            </w:r>
          </w:p>
        </w:tc>
        <w:tc>
          <w:tcPr>
            <w:tcW w:w="1917" w:type="dxa"/>
            <w:tcBorders>
              <w:top w:val="single" w:color="auto" w:sz="4" w:space="0"/>
              <w:left w:val="single" w:color="auto" w:sz="4" w:space="0"/>
              <w:bottom w:val="single" w:color="auto" w:sz="4" w:space="0"/>
              <w:right w:val="single" w:color="auto" w:sz="6" w:space="0"/>
            </w:tcBorders>
            <w:noWrap w:val="0"/>
            <w:vAlign w:val="center"/>
          </w:tcPr>
          <w:p w14:paraId="6DE6474C">
            <w:pPr>
              <w:jc w:val="center"/>
              <w:rPr>
                <w:color w:val="auto"/>
                <w:szCs w:val="24"/>
                <w:highlight w:val="none"/>
              </w:rPr>
            </w:pPr>
          </w:p>
        </w:tc>
        <w:tc>
          <w:tcPr>
            <w:tcW w:w="715" w:type="dxa"/>
            <w:tcBorders>
              <w:top w:val="single" w:color="auto" w:sz="4" w:space="0"/>
              <w:left w:val="single" w:color="auto" w:sz="6" w:space="0"/>
              <w:bottom w:val="single" w:color="auto" w:sz="4" w:space="0"/>
              <w:right w:val="single" w:color="auto" w:sz="4" w:space="0"/>
            </w:tcBorders>
            <w:noWrap w:val="0"/>
            <w:vAlign w:val="center"/>
          </w:tcPr>
          <w:p w14:paraId="7E4C38E9">
            <w:pPr>
              <w:jc w:val="center"/>
              <w:rPr>
                <w:color w:val="auto"/>
                <w:szCs w:val="24"/>
                <w:highlight w:val="none"/>
              </w:rPr>
            </w:pPr>
          </w:p>
        </w:tc>
        <w:tc>
          <w:tcPr>
            <w:tcW w:w="904" w:type="dxa"/>
            <w:tcBorders>
              <w:top w:val="single" w:color="auto" w:sz="4" w:space="0"/>
              <w:left w:val="single" w:color="auto" w:sz="4" w:space="0"/>
              <w:bottom w:val="single" w:color="auto" w:sz="4" w:space="0"/>
              <w:right w:val="single" w:color="auto" w:sz="6" w:space="0"/>
            </w:tcBorders>
            <w:noWrap w:val="0"/>
            <w:vAlign w:val="center"/>
          </w:tcPr>
          <w:p w14:paraId="58B77E9E">
            <w:pPr>
              <w:jc w:val="center"/>
              <w:rPr>
                <w:color w:val="auto"/>
                <w:szCs w:val="24"/>
                <w:highlight w:val="none"/>
              </w:rPr>
            </w:pPr>
          </w:p>
        </w:tc>
        <w:tc>
          <w:tcPr>
            <w:tcW w:w="901" w:type="dxa"/>
            <w:tcBorders>
              <w:top w:val="single" w:color="auto" w:sz="4" w:space="0"/>
              <w:left w:val="single" w:color="auto" w:sz="6" w:space="0"/>
              <w:bottom w:val="single" w:color="auto" w:sz="4" w:space="0"/>
              <w:right w:val="single" w:color="auto" w:sz="4" w:space="0"/>
            </w:tcBorders>
            <w:noWrap w:val="0"/>
            <w:vAlign w:val="center"/>
          </w:tcPr>
          <w:p w14:paraId="6A0DB06C">
            <w:pPr>
              <w:jc w:val="center"/>
              <w:rPr>
                <w:color w:val="auto"/>
                <w:szCs w:val="24"/>
                <w:highlight w:val="none"/>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365FCE90">
            <w:pPr>
              <w:jc w:val="center"/>
              <w:rPr>
                <w:color w:val="auto"/>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B790A87">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20FD1C4F">
            <w:pPr>
              <w:jc w:val="center"/>
              <w:rPr>
                <w:color w:val="auto"/>
                <w:szCs w:val="24"/>
                <w:highlight w:val="none"/>
              </w:rPr>
            </w:pPr>
          </w:p>
        </w:tc>
      </w:tr>
      <w:tr w14:paraId="53EB655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tcBorders>
              <w:top w:val="single" w:color="auto" w:sz="4" w:space="0"/>
              <w:left w:val="single" w:color="auto" w:sz="6" w:space="0"/>
              <w:bottom w:val="single" w:color="auto" w:sz="4" w:space="0"/>
              <w:right w:val="single" w:color="auto" w:sz="4" w:space="0"/>
            </w:tcBorders>
            <w:noWrap w:val="0"/>
            <w:vAlign w:val="center"/>
          </w:tcPr>
          <w:p w14:paraId="5A1E8DE1">
            <w:pPr>
              <w:jc w:val="center"/>
              <w:rPr>
                <w:color w:val="auto"/>
                <w:szCs w:val="24"/>
                <w:highlight w:val="none"/>
              </w:rPr>
            </w:pPr>
            <w:r>
              <w:rPr>
                <w:rFonts w:hint="eastAsia"/>
                <w:color w:val="auto"/>
                <w:highlight w:val="none"/>
              </w:rPr>
              <w:t>施工机械小计</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3F2AB6B">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4746B2BD">
            <w:pPr>
              <w:jc w:val="center"/>
              <w:rPr>
                <w:color w:val="auto"/>
                <w:szCs w:val="24"/>
                <w:highlight w:val="none"/>
              </w:rPr>
            </w:pPr>
          </w:p>
        </w:tc>
      </w:tr>
      <w:tr w14:paraId="721597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tcBorders>
              <w:top w:val="single" w:color="auto" w:sz="4" w:space="0"/>
              <w:left w:val="single" w:color="auto" w:sz="6" w:space="0"/>
              <w:bottom w:val="single" w:color="auto" w:sz="4" w:space="0"/>
              <w:right w:val="single" w:color="auto" w:sz="4" w:space="0"/>
            </w:tcBorders>
            <w:noWrap w:val="0"/>
            <w:vAlign w:val="center"/>
          </w:tcPr>
          <w:p w14:paraId="203BE83C">
            <w:pPr>
              <w:rPr>
                <w:color w:val="auto"/>
                <w:szCs w:val="24"/>
                <w:highlight w:val="none"/>
              </w:rPr>
            </w:pPr>
            <w:r>
              <w:rPr>
                <w:rFonts w:hint="eastAsia"/>
                <w:color w:val="auto"/>
                <w:highlight w:val="none"/>
              </w:rPr>
              <w:t>四、企业管理费和利润</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23F3B84">
            <w:pPr>
              <w:jc w:val="center"/>
              <w:rPr>
                <w:color w:val="auto"/>
                <w:szCs w:val="24"/>
                <w:highlight w:val="none"/>
              </w:rPr>
            </w:pPr>
          </w:p>
        </w:tc>
        <w:tc>
          <w:tcPr>
            <w:tcW w:w="1162" w:type="dxa"/>
            <w:tcBorders>
              <w:top w:val="single" w:color="auto" w:sz="4" w:space="0"/>
              <w:left w:val="single" w:color="auto" w:sz="4" w:space="0"/>
              <w:bottom w:val="single" w:color="auto" w:sz="4" w:space="0"/>
              <w:right w:val="single" w:color="auto" w:sz="6" w:space="0"/>
            </w:tcBorders>
            <w:noWrap w:val="0"/>
            <w:vAlign w:val="center"/>
          </w:tcPr>
          <w:p w14:paraId="4F95BCD0">
            <w:pPr>
              <w:jc w:val="center"/>
              <w:rPr>
                <w:color w:val="auto"/>
                <w:szCs w:val="24"/>
                <w:highlight w:val="none"/>
              </w:rPr>
            </w:pPr>
          </w:p>
        </w:tc>
      </w:tr>
      <w:tr w14:paraId="348A5F2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tcBorders>
              <w:top w:val="single" w:color="auto" w:sz="4" w:space="0"/>
              <w:left w:val="single" w:color="auto" w:sz="6" w:space="0"/>
              <w:bottom w:val="single" w:color="auto" w:sz="6" w:space="0"/>
              <w:right w:val="single" w:color="auto" w:sz="4" w:space="0"/>
            </w:tcBorders>
            <w:noWrap w:val="0"/>
            <w:vAlign w:val="center"/>
          </w:tcPr>
          <w:p w14:paraId="04608FBA">
            <w:pPr>
              <w:jc w:val="center"/>
              <w:rPr>
                <w:color w:val="auto"/>
                <w:szCs w:val="24"/>
                <w:highlight w:val="none"/>
              </w:rPr>
            </w:pPr>
            <w:r>
              <w:rPr>
                <w:rFonts w:hint="eastAsia"/>
                <w:color w:val="auto"/>
                <w:highlight w:val="none"/>
              </w:rPr>
              <w:t>总计</w:t>
            </w:r>
          </w:p>
        </w:tc>
        <w:tc>
          <w:tcPr>
            <w:tcW w:w="1134" w:type="dxa"/>
            <w:tcBorders>
              <w:top w:val="single" w:color="auto" w:sz="4" w:space="0"/>
              <w:left w:val="single" w:color="auto" w:sz="4" w:space="0"/>
              <w:bottom w:val="single" w:color="auto" w:sz="6" w:space="0"/>
              <w:right w:val="single" w:color="auto" w:sz="4" w:space="0"/>
            </w:tcBorders>
            <w:noWrap w:val="0"/>
            <w:vAlign w:val="center"/>
          </w:tcPr>
          <w:p w14:paraId="702855D6">
            <w:pPr>
              <w:jc w:val="center"/>
              <w:rPr>
                <w:color w:val="auto"/>
                <w:szCs w:val="24"/>
                <w:highlight w:val="none"/>
              </w:rPr>
            </w:pPr>
          </w:p>
        </w:tc>
        <w:tc>
          <w:tcPr>
            <w:tcW w:w="1162" w:type="dxa"/>
            <w:tcBorders>
              <w:top w:val="single" w:color="auto" w:sz="4" w:space="0"/>
              <w:left w:val="single" w:color="auto" w:sz="4" w:space="0"/>
              <w:bottom w:val="single" w:color="auto" w:sz="6" w:space="0"/>
              <w:right w:val="single" w:color="auto" w:sz="6" w:space="0"/>
            </w:tcBorders>
            <w:noWrap w:val="0"/>
            <w:vAlign w:val="center"/>
          </w:tcPr>
          <w:p w14:paraId="6D9EB5D1">
            <w:pPr>
              <w:jc w:val="center"/>
              <w:rPr>
                <w:color w:val="auto"/>
                <w:szCs w:val="24"/>
                <w:highlight w:val="none"/>
              </w:rPr>
            </w:pPr>
          </w:p>
        </w:tc>
      </w:tr>
    </w:tbl>
    <w:p w14:paraId="58B0BC85">
      <w:pPr>
        <w:spacing w:before="120" w:beforeLines="50" w:line="300" w:lineRule="exact"/>
        <w:rPr>
          <w:rFonts w:ascii="黑体" w:hAnsi="Times New Roman" w:eastAsia="黑体"/>
          <w:color w:val="auto"/>
          <w:highlight w:val="none"/>
        </w:rPr>
      </w:pPr>
    </w:p>
    <w:p w14:paraId="056F23D1">
      <w:pPr>
        <w:spacing w:before="120" w:beforeLines="50" w:line="300" w:lineRule="exact"/>
        <w:ind w:left="420" w:hanging="420" w:hangingChars="200"/>
        <w:rPr>
          <w:rFonts w:hint="eastAsia" w:ascii="宋体" w:hAnsi="宋体"/>
          <w:color w:val="auto"/>
          <w:highlight w:val="none"/>
        </w:rPr>
      </w:pPr>
      <w:r>
        <w:rPr>
          <w:rFonts w:hint="eastAsia" w:ascii="宋体" w:hAnsi="宋体"/>
          <w:color w:val="auto"/>
          <w:highlight w:val="none"/>
        </w:rPr>
        <w:t>注：此表项目名称、暂定数量由招标人填写，编制招标控制价时，单价由招标人按有关计价规定确定：投标时，单价由投标人自主报价，按暂定数量计算合价计入投标总价中。结算时，按承发包双方确认的实际数量计算合价。</w:t>
      </w:r>
    </w:p>
    <w:p w14:paraId="5E54083F">
      <w:pPr>
        <w:spacing w:line="300" w:lineRule="exact"/>
        <w:rPr>
          <w:rFonts w:hint="eastAsia" w:ascii="黑体" w:hAnsi="Times New Roman" w:eastAsia="黑体"/>
          <w:color w:val="auto"/>
          <w:highlight w:val="none"/>
        </w:rPr>
      </w:pPr>
    </w:p>
    <w:p w14:paraId="77CF088F">
      <w:pPr>
        <w:pStyle w:val="33"/>
        <w:rPr>
          <w:rFonts w:hint="eastAsia" w:ascii="Times New Roman"/>
          <w:color w:val="auto"/>
          <w:highlight w:val="none"/>
        </w:rPr>
      </w:pPr>
      <w:bookmarkStart w:id="2349" w:name="_Toc521075254"/>
      <w:bookmarkStart w:id="2350" w:name="_Toc12338"/>
      <w:bookmarkStart w:id="2351" w:name="_Toc521075679"/>
      <w:r>
        <w:rPr>
          <w:color w:val="auto"/>
          <w:highlight w:val="none"/>
        </w:rPr>
        <w:t>4.12-5</w:t>
      </w:r>
      <w:r>
        <w:rPr>
          <w:rFonts w:hint="eastAsia"/>
          <w:color w:val="auto"/>
          <w:highlight w:val="none"/>
        </w:rPr>
        <w:t>总承包服务费计价表</w:t>
      </w:r>
      <w:bookmarkEnd w:id="2349"/>
      <w:bookmarkEnd w:id="2350"/>
      <w:bookmarkEnd w:id="2351"/>
    </w:p>
    <w:p w14:paraId="51425AFE">
      <w:pPr>
        <w:spacing w:before="120" w:beforeLines="50" w:after="120" w:afterLines="50"/>
        <w:jc w:val="center"/>
        <w:rPr>
          <w:rFonts w:ascii="黑体" w:eastAsia="黑体"/>
          <w:color w:val="auto"/>
          <w:sz w:val="28"/>
          <w:szCs w:val="28"/>
          <w:highlight w:val="none"/>
        </w:rPr>
      </w:pPr>
    </w:p>
    <w:p w14:paraId="415C4D31">
      <w:pPr>
        <w:spacing w:before="120" w:beforeLines="50" w:after="120"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总承包服务费计价表</w:t>
      </w:r>
    </w:p>
    <w:p w14:paraId="7F206687">
      <w:pPr>
        <w:spacing w:after="120" w:afterLines="50"/>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541"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2175"/>
        <w:gridCol w:w="1080"/>
        <w:gridCol w:w="1080"/>
        <w:gridCol w:w="1164"/>
        <w:gridCol w:w="830"/>
        <w:gridCol w:w="1572"/>
      </w:tblGrid>
      <w:tr w14:paraId="1EFB052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40" w:type="dxa"/>
            <w:tcBorders>
              <w:top w:val="single" w:color="auto" w:sz="6" w:space="0"/>
              <w:left w:val="single" w:color="auto" w:sz="6" w:space="0"/>
              <w:bottom w:val="single" w:color="auto" w:sz="4" w:space="0"/>
              <w:right w:val="single" w:color="auto" w:sz="4" w:space="0"/>
            </w:tcBorders>
            <w:noWrap w:val="0"/>
            <w:vAlign w:val="center"/>
          </w:tcPr>
          <w:p w14:paraId="7A6B9285">
            <w:pPr>
              <w:jc w:val="center"/>
              <w:rPr>
                <w:color w:val="auto"/>
                <w:szCs w:val="24"/>
                <w:highlight w:val="none"/>
              </w:rPr>
            </w:pPr>
            <w:r>
              <w:rPr>
                <w:rFonts w:hint="eastAsia"/>
                <w:color w:val="auto"/>
                <w:highlight w:val="none"/>
              </w:rPr>
              <w:t>序号</w:t>
            </w:r>
          </w:p>
        </w:tc>
        <w:tc>
          <w:tcPr>
            <w:tcW w:w="2175" w:type="dxa"/>
            <w:tcBorders>
              <w:top w:val="single" w:color="auto" w:sz="6" w:space="0"/>
              <w:left w:val="single" w:color="auto" w:sz="4" w:space="0"/>
              <w:bottom w:val="single" w:color="auto" w:sz="4" w:space="0"/>
              <w:right w:val="single" w:color="auto" w:sz="4" w:space="0"/>
            </w:tcBorders>
            <w:noWrap w:val="0"/>
            <w:vAlign w:val="center"/>
          </w:tcPr>
          <w:p w14:paraId="7C233879">
            <w:pPr>
              <w:jc w:val="center"/>
              <w:rPr>
                <w:color w:val="auto"/>
                <w:szCs w:val="24"/>
                <w:highlight w:val="none"/>
              </w:rPr>
            </w:pPr>
            <w:r>
              <w:rPr>
                <w:rFonts w:hint="eastAsia"/>
                <w:color w:val="auto"/>
                <w:highlight w:val="none"/>
              </w:rPr>
              <w:t>工程名称</w:t>
            </w:r>
          </w:p>
        </w:tc>
        <w:tc>
          <w:tcPr>
            <w:tcW w:w="1080" w:type="dxa"/>
            <w:tcBorders>
              <w:top w:val="single" w:color="auto" w:sz="6" w:space="0"/>
              <w:left w:val="single" w:color="auto" w:sz="4" w:space="0"/>
              <w:bottom w:val="single" w:color="auto" w:sz="4" w:space="0"/>
              <w:right w:val="single" w:color="auto" w:sz="6" w:space="0"/>
            </w:tcBorders>
            <w:noWrap w:val="0"/>
            <w:vAlign w:val="center"/>
          </w:tcPr>
          <w:p w14:paraId="5D504627">
            <w:pPr>
              <w:jc w:val="center"/>
              <w:rPr>
                <w:color w:val="auto"/>
                <w:szCs w:val="24"/>
                <w:highlight w:val="none"/>
              </w:rPr>
            </w:pPr>
            <w:r>
              <w:rPr>
                <w:rFonts w:hint="eastAsia"/>
                <w:color w:val="auto"/>
                <w:highlight w:val="none"/>
              </w:rPr>
              <w:t>项目价值（元）</w:t>
            </w:r>
          </w:p>
        </w:tc>
        <w:tc>
          <w:tcPr>
            <w:tcW w:w="1080" w:type="dxa"/>
            <w:tcBorders>
              <w:top w:val="single" w:color="auto" w:sz="6" w:space="0"/>
              <w:left w:val="single" w:color="auto" w:sz="6" w:space="0"/>
              <w:bottom w:val="single" w:color="auto" w:sz="4" w:space="0"/>
              <w:right w:val="single" w:color="auto" w:sz="4" w:space="0"/>
            </w:tcBorders>
            <w:noWrap w:val="0"/>
            <w:vAlign w:val="center"/>
          </w:tcPr>
          <w:p w14:paraId="213702E5">
            <w:pPr>
              <w:jc w:val="center"/>
              <w:rPr>
                <w:color w:val="auto"/>
                <w:szCs w:val="24"/>
                <w:highlight w:val="none"/>
              </w:rPr>
            </w:pPr>
            <w:r>
              <w:rPr>
                <w:rFonts w:hint="eastAsia"/>
                <w:color w:val="auto"/>
                <w:highlight w:val="none"/>
              </w:rPr>
              <w:t>服务内容</w:t>
            </w:r>
          </w:p>
        </w:tc>
        <w:tc>
          <w:tcPr>
            <w:tcW w:w="1164" w:type="dxa"/>
            <w:tcBorders>
              <w:top w:val="single" w:color="auto" w:sz="6" w:space="0"/>
              <w:left w:val="single" w:color="auto" w:sz="4" w:space="0"/>
              <w:bottom w:val="single" w:color="auto" w:sz="4" w:space="0"/>
              <w:right w:val="single" w:color="auto" w:sz="4" w:space="0"/>
            </w:tcBorders>
            <w:noWrap w:val="0"/>
            <w:vAlign w:val="center"/>
          </w:tcPr>
          <w:p w14:paraId="7A756626">
            <w:pPr>
              <w:jc w:val="center"/>
              <w:rPr>
                <w:color w:val="auto"/>
                <w:szCs w:val="24"/>
                <w:highlight w:val="none"/>
              </w:rPr>
            </w:pPr>
            <w:r>
              <w:rPr>
                <w:rFonts w:hint="eastAsia"/>
                <w:color w:val="auto"/>
                <w:highlight w:val="none"/>
              </w:rPr>
              <w:t>计算基础</w:t>
            </w:r>
          </w:p>
        </w:tc>
        <w:tc>
          <w:tcPr>
            <w:tcW w:w="830" w:type="dxa"/>
            <w:tcBorders>
              <w:top w:val="single" w:color="auto" w:sz="6" w:space="0"/>
              <w:left w:val="single" w:color="auto" w:sz="4" w:space="0"/>
              <w:bottom w:val="single" w:color="auto" w:sz="4" w:space="0"/>
              <w:right w:val="single" w:color="auto" w:sz="4" w:space="0"/>
            </w:tcBorders>
            <w:noWrap w:val="0"/>
            <w:vAlign w:val="center"/>
          </w:tcPr>
          <w:p w14:paraId="0F9E7DEC">
            <w:pPr>
              <w:jc w:val="center"/>
              <w:rPr>
                <w:color w:val="auto"/>
                <w:szCs w:val="24"/>
                <w:highlight w:val="none"/>
              </w:rPr>
            </w:pPr>
            <w:r>
              <w:rPr>
                <w:rFonts w:hint="eastAsia"/>
                <w:color w:val="auto"/>
                <w:highlight w:val="none"/>
              </w:rPr>
              <w:t>费率</w:t>
            </w:r>
            <w:r>
              <w:rPr>
                <w:rFonts w:hint="eastAsia" w:ascii="宋体" w:hAnsi="宋体"/>
                <w:color w:val="auto"/>
                <w:highlight w:val="none"/>
              </w:rPr>
              <w:t>（%）</w:t>
            </w:r>
          </w:p>
        </w:tc>
        <w:tc>
          <w:tcPr>
            <w:tcW w:w="1572" w:type="dxa"/>
            <w:tcBorders>
              <w:top w:val="single" w:color="auto" w:sz="6" w:space="0"/>
              <w:left w:val="single" w:color="auto" w:sz="4" w:space="0"/>
              <w:bottom w:val="single" w:color="auto" w:sz="4" w:space="0"/>
              <w:right w:val="single" w:color="auto" w:sz="6" w:space="0"/>
            </w:tcBorders>
            <w:noWrap w:val="0"/>
            <w:vAlign w:val="center"/>
          </w:tcPr>
          <w:p w14:paraId="69A841F3">
            <w:pPr>
              <w:jc w:val="center"/>
              <w:rPr>
                <w:color w:val="auto"/>
                <w:szCs w:val="24"/>
                <w:highlight w:val="none"/>
              </w:rPr>
            </w:pPr>
            <w:r>
              <w:rPr>
                <w:rFonts w:hint="eastAsia"/>
                <w:color w:val="auto"/>
                <w:highlight w:val="none"/>
              </w:rPr>
              <w:t>金额（元）</w:t>
            </w:r>
          </w:p>
        </w:tc>
      </w:tr>
      <w:tr w14:paraId="54918D8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4" w:space="0"/>
              <w:left w:val="single" w:color="auto" w:sz="6" w:space="0"/>
              <w:bottom w:val="single" w:color="auto" w:sz="4" w:space="0"/>
              <w:right w:val="single" w:color="auto" w:sz="4" w:space="0"/>
            </w:tcBorders>
            <w:noWrap w:val="0"/>
            <w:vAlign w:val="center"/>
          </w:tcPr>
          <w:p w14:paraId="116472AE">
            <w:pPr>
              <w:jc w:val="center"/>
              <w:rPr>
                <w:rFonts w:ascii="黑体" w:eastAsia="黑体"/>
                <w:color w:val="auto"/>
                <w:szCs w:val="24"/>
                <w:highlight w:val="none"/>
              </w:rPr>
            </w:pPr>
            <w:r>
              <w:rPr>
                <w:rFonts w:hint="eastAsia" w:ascii="黑体" w:eastAsia="黑体"/>
                <w:color w:val="auto"/>
                <w:highlight w:val="none"/>
              </w:rPr>
              <w:t>1</w:t>
            </w:r>
          </w:p>
        </w:tc>
        <w:tc>
          <w:tcPr>
            <w:tcW w:w="2175" w:type="dxa"/>
            <w:tcBorders>
              <w:top w:val="single" w:color="auto" w:sz="4" w:space="0"/>
              <w:left w:val="single" w:color="auto" w:sz="4" w:space="0"/>
              <w:bottom w:val="single" w:color="auto" w:sz="4" w:space="0"/>
              <w:right w:val="single" w:color="auto" w:sz="4" w:space="0"/>
            </w:tcBorders>
            <w:noWrap w:val="0"/>
            <w:vAlign w:val="center"/>
          </w:tcPr>
          <w:p w14:paraId="7829D707">
            <w:pPr>
              <w:rPr>
                <w:color w:val="auto"/>
                <w:szCs w:val="24"/>
                <w:highlight w:val="none"/>
              </w:rPr>
            </w:pPr>
            <w:r>
              <w:rPr>
                <w:rFonts w:hint="eastAsia"/>
                <w:color w:val="auto"/>
                <w:highlight w:val="none"/>
              </w:rPr>
              <w:t>发包人发包专业工程</w:t>
            </w:r>
          </w:p>
        </w:tc>
        <w:tc>
          <w:tcPr>
            <w:tcW w:w="1080" w:type="dxa"/>
            <w:tcBorders>
              <w:top w:val="single" w:color="auto" w:sz="4" w:space="0"/>
              <w:left w:val="single" w:color="auto" w:sz="4" w:space="0"/>
              <w:bottom w:val="single" w:color="auto" w:sz="4" w:space="0"/>
              <w:right w:val="single" w:color="auto" w:sz="6" w:space="0"/>
            </w:tcBorders>
            <w:noWrap w:val="0"/>
            <w:vAlign w:val="center"/>
          </w:tcPr>
          <w:p w14:paraId="6213D1AA">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63D3563F">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389ABF5">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0A43D0AC">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6ECA4D53">
            <w:pPr>
              <w:jc w:val="center"/>
              <w:rPr>
                <w:color w:val="auto"/>
                <w:szCs w:val="24"/>
                <w:highlight w:val="none"/>
              </w:rPr>
            </w:pPr>
          </w:p>
        </w:tc>
      </w:tr>
      <w:tr w14:paraId="430A61A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4" w:space="0"/>
              <w:left w:val="single" w:color="auto" w:sz="6" w:space="0"/>
              <w:bottom w:val="single" w:color="auto" w:sz="6" w:space="0"/>
              <w:right w:val="single" w:color="auto" w:sz="4" w:space="0"/>
            </w:tcBorders>
            <w:noWrap w:val="0"/>
            <w:vAlign w:val="center"/>
          </w:tcPr>
          <w:p w14:paraId="0A9D8F8B">
            <w:pPr>
              <w:jc w:val="center"/>
              <w:rPr>
                <w:rFonts w:ascii="黑体" w:eastAsia="黑体"/>
                <w:color w:val="auto"/>
                <w:szCs w:val="24"/>
                <w:highlight w:val="none"/>
              </w:rPr>
            </w:pPr>
            <w:r>
              <w:rPr>
                <w:rFonts w:hint="eastAsia" w:ascii="黑体" w:eastAsia="黑体"/>
                <w:color w:val="auto"/>
                <w:highlight w:val="none"/>
              </w:rPr>
              <w:t>2</w:t>
            </w:r>
          </w:p>
        </w:tc>
        <w:tc>
          <w:tcPr>
            <w:tcW w:w="2175" w:type="dxa"/>
            <w:tcBorders>
              <w:top w:val="single" w:color="auto" w:sz="4" w:space="0"/>
              <w:left w:val="single" w:color="auto" w:sz="4" w:space="0"/>
              <w:bottom w:val="single" w:color="auto" w:sz="4" w:space="0"/>
              <w:right w:val="single" w:color="auto" w:sz="4" w:space="0"/>
            </w:tcBorders>
            <w:noWrap w:val="0"/>
            <w:vAlign w:val="center"/>
          </w:tcPr>
          <w:p w14:paraId="19C0290D">
            <w:pPr>
              <w:rPr>
                <w:color w:val="auto"/>
                <w:szCs w:val="24"/>
                <w:highlight w:val="none"/>
              </w:rPr>
            </w:pPr>
            <w:r>
              <w:rPr>
                <w:rFonts w:hint="eastAsia"/>
                <w:color w:val="auto"/>
                <w:highlight w:val="none"/>
              </w:rPr>
              <w:t>发包人提供材料</w:t>
            </w:r>
          </w:p>
        </w:tc>
        <w:tc>
          <w:tcPr>
            <w:tcW w:w="1080" w:type="dxa"/>
            <w:tcBorders>
              <w:top w:val="single" w:color="auto" w:sz="4" w:space="0"/>
              <w:left w:val="single" w:color="auto" w:sz="4" w:space="0"/>
              <w:bottom w:val="single" w:color="auto" w:sz="4" w:space="0"/>
              <w:right w:val="single" w:color="auto" w:sz="6" w:space="0"/>
            </w:tcBorders>
            <w:noWrap w:val="0"/>
            <w:vAlign w:val="center"/>
          </w:tcPr>
          <w:p w14:paraId="4BF5F433">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5424A83C">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0F0C60C0">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62A3C9BD">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6A141EC7">
            <w:pPr>
              <w:jc w:val="center"/>
              <w:rPr>
                <w:color w:val="auto"/>
                <w:szCs w:val="24"/>
                <w:highlight w:val="none"/>
              </w:rPr>
            </w:pPr>
          </w:p>
        </w:tc>
      </w:tr>
      <w:tr w14:paraId="566ACC1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6" w:space="0"/>
              <w:left w:val="single" w:color="auto" w:sz="6" w:space="0"/>
              <w:bottom w:val="single" w:color="auto" w:sz="4" w:space="0"/>
              <w:right w:val="single" w:color="auto" w:sz="4" w:space="0"/>
            </w:tcBorders>
            <w:noWrap w:val="0"/>
            <w:vAlign w:val="center"/>
          </w:tcPr>
          <w:p w14:paraId="1D1D424A">
            <w:pPr>
              <w:jc w:val="center"/>
              <w:rPr>
                <w:rFonts w:ascii="黑体" w:eastAsia="黑体"/>
                <w:color w:val="auto"/>
                <w:szCs w:val="24"/>
                <w:highlight w:val="none"/>
              </w:rPr>
            </w:pPr>
          </w:p>
        </w:tc>
        <w:tc>
          <w:tcPr>
            <w:tcW w:w="2175" w:type="dxa"/>
            <w:tcBorders>
              <w:top w:val="single" w:color="auto" w:sz="4" w:space="0"/>
              <w:left w:val="single" w:color="auto" w:sz="4" w:space="0"/>
              <w:bottom w:val="single" w:color="auto" w:sz="4" w:space="0"/>
              <w:right w:val="single" w:color="auto" w:sz="4" w:space="0"/>
            </w:tcBorders>
            <w:noWrap w:val="0"/>
            <w:vAlign w:val="center"/>
          </w:tcPr>
          <w:p w14:paraId="272342A1">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6" w:space="0"/>
            </w:tcBorders>
            <w:noWrap w:val="0"/>
            <w:vAlign w:val="center"/>
          </w:tcPr>
          <w:p w14:paraId="31EBE988">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007774AA">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7E30F218">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7F617A87">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05FCDB15">
            <w:pPr>
              <w:jc w:val="center"/>
              <w:rPr>
                <w:color w:val="auto"/>
                <w:szCs w:val="24"/>
                <w:highlight w:val="none"/>
              </w:rPr>
            </w:pPr>
          </w:p>
        </w:tc>
      </w:tr>
      <w:tr w14:paraId="30C1B3D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40" w:type="dxa"/>
            <w:tcBorders>
              <w:top w:val="single" w:color="auto" w:sz="4" w:space="0"/>
              <w:left w:val="single" w:color="auto" w:sz="6" w:space="0"/>
              <w:bottom w:val="single" w:color="auto" w:sz="4" w:space="0"/>
              <w:right w:val="single" w:color="auto" w:sz="4" w:space="0"/>
            </w:tcBorders>
            <w:noWrap w:val="0"/>
            <w:vAlign w:val="center"/>
          </w:tcPr>
          <w:p w14:paraId="5511CBB2">
            <w:pPr>
              <w:jc w:val="center"/>
              <w:rPr>
                <w:rFonts w:ascii="黑体" w:eastAsia="黑体"/>
                <w:color w:val="auto"/>
                <w:szCs w:val="24"/>
                <w:highlight w:val="none"/>
              </w:rPr>
            </w:pPr>
          </w:p>
        </w:tc>
        <w:tc>
          <w:tcPr>
            <w:tcW w:w="2175" w:type="dxa"/>
            <w:tcBorders>
              <w:top w:val="single" w:color="auto" w:sz="4" w:space="0"/>
              <w:left w:val="single" w:color="auto" w:sz="4" w:space="0"/>
              <w:bottom w:val="single" w:color="auto" w:sz="4" w:space="0"/>
              <w:right w:val="single" w:color="auto" w:sz="4" w:space="0"/>
            </w:tcBorders>
            <w:noWrap w:val="0"/>
            <w:vAlign w:val="center"/>
          </w:tcPr>
          <w:p w14:paraId="6024C63A">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6" w:space="0"/>
            </w:tcBorders>
            <w:noWrap w:val="0"/>
            <w:vAlign w:val="center"/>
          </w:tcPr>
          <w:p w14:paraId="4EA7BE00">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0B545737">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629D7AC7">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53F4830E">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58BDABB5">
            <w:pPr>
              <w:jc w:val="center"/>
              <w:rPr>
                <w:color w:val="auto"/>
                <w:szCs w:val="24"/>
                <w:highlight w:val="none"/>
              </w:rPr>
            </w:pPr>
          </w:p>
        </w:tc>
      </w:tr>
      <w:tr w14:paraId="3BF99B3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4" w:space="0"/>
              <w:left w:val="single" w:color="auto" w:sz="6" w:space="0"/>
              <w:bottom w:val="single" w:color="auto" w:sz="4" w:space="0"/>
              <w:right w:val="single" w:color="auto" w:sz="4" w:space="0"/>
            </w:tcBorders>
            <w:noWrap w:val="0"/>
            <w:vAlign w:val="center"/>
          </w:tcPr>
          <w:p w14:paraId="5F8143F1">
            <w:pPr>
              <w:jc w:val="center"/>
              <w:rPr>
                <w:rFonts w:ascii="黑体" w:eastAsia="黑体"/>
                <w:color w:val="auto"/>
                <w:szCs w:val="24"/>
                <w:highlight w:val="none"/>
              </w:rPr>
            </w:pPr>
          </w:p>
        </w:tc>
        <w:tc>
          <w:tcPr>
            <w:tcW w:w="2175" w:type="dxa"/>
            <w:tcBorders>
              <w:top w:val="single" w:color="auto" w:sz="4" w:space="0"/>
              <w:left w:val="single" w:color="auto" w:sz="4" w:space="0"/>
              <w:bottom w:val="single" w:color="auto" w:sz="4" w:space="0"/>
              <w:right w:val="single" w:color="auto" w:sz="4" w:space="0"/>
            </w:tcBorders>
            <w:noWrap w:val="0"/>
            <w:vAlign w:val="center"/>
          </w:tcPr>
          <w:p w14:paraId="16B046C3">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6" w:space="0"/>
            </w:tcBorders>
            <w:noWrap w:val="0"/>
            <w:vAlign w:val="center"/>
          </w:tcPr>
          <w:p w14:paraId="77FEB41F">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54D624C8">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39815237">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2D9760F4">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73D4065E">
            <w:pPr>
              <w:jc w:val="center"/>
              <w:rPr>
                <w:color w:val="auto"/>
                <w:szCs w:val="24"/>
                <w:highlight w:val="none"/>
              </w:rPr>
            </w:pPr>
          </w:p>
        </w:tc>
      </w:tr>
      <w:tr w14:paraId="297D56A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4" w:space="0"/>
              <w:left w:val="single" w:color="auto" w:sz="6" w:space="0"/>
              <w:bottom w:val="single" w:color="auto" w:sz="4" w:space="0"/>
              <w:right w:val="single" w:color="auto" w:sz="4" w:space="0"/>
            </w:tcBorders>
            <w:noWrap w:val="0"/>
            <w:vAlign w:val="center"/>
          </w:tcPr>
          <w:p w14:paraId="0FFE7FBA">
            <w:pPr>
              <w:jc w:val="center"/>
              <w:rPr>
                <w:rFonts w:ascii="黑体" w:eastAsia="黑体"/>
                <w:color w:val="auto"/>
                <w:szCs w:val="24"/>
                <w:highlight w:val="none"/>
              </w:rPr>
            </w:pPr>
          </w:p>
        </w:tc>
        <w:tc>
          <w:tcPr>
            <w:tcW w:w="2175" w:type="dxa"/>
            <w:tcBorders>
              <w:top w:val="single" w:color="auto" w:sz="4" w:space="0"/>
              <w:left w:val="single" w:color="auto" w:sz="4" w:space="0"/>
              <w:bottom w:val="single" w:color="auto" w:sz="4" w:space="0"/>
              <w:right w:val="single" w:color="auto" w:sz="4" w:space="0"/>
            </w:tcBorders>
            <w:noWrap w:val="0"/>
            <w:vAlign w:val="center"/>
          </w:tcPr>
          <w:p w14:paraId="7FB06CC3">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6" w:space="0"/>
            </w:tcBorders>
            <w:noWrap w:val="0"/>
            <w:vAlign w:val="center"/>
          </w:tcPr>
          <w:p w14:paraId="57884198">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326111D9">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057220E3">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31601EDF">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78A10B19">
            <w:pPr>
              <w:jc w:val="center"/>
              <w:rPr>
                <w:color w:val="auto"/>
                <w:szCs w:val="24"/>
                <w:highlight w:val="none"/>
              </w:rPr>
            </w:pPr>
          </w:p>
        </w:tc>
      </w:tr>
      <w:tr w14:paraId="12FB5F4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4" w:space="0"/>
              <w:left w:val="single" w:color="auto" w:sz="6" w:space="0"/>
              <w:bottom w:val="single" w:color="auto" w:sz="4" w:space="0"/>
              <w:right w:val="single" w:color="auto" w:sz="4" w:space="0"/>
            </w:tcBorders>
            <w:noWrap w:val="0"/>
            <w:vAlign w:val="center"/>
          </w:tcPr>
          <w:p w14:paraId="54D9AC4F">
            <w:pPr>
              <w:jc w:val="center"/>
              <w:rPr>
                <w:color w:val="auto"/>
                <w:szCs w:val="24"/>
                <w:highlight w:val="none"/>
              </w:rPr>
            </w:pPr>
          </w:p>
        </w:tc>
        <w:tc>
          <w:tcPr>
            <w:tcW w:w="2175" w:type="dxa"/>
            <w:tcBorders>
              <w:top w:val="single" w:color="auto" w:sz="4" w:space="0"/>
              <w:left w:val="single" w:color="auto" w:sz="4" w:space="0"/>
              <w:bottom w:val="single" w:color="auto" w:sz="4" w:space="0"/>
              <w:right w:val="single" w:color="auto" w:sz="4" w:space="0"/>
            </w:tcBorders>
            <w:noWrap w:val="0"/>
            <w:vAlign w:val="center"/>
          </w:tcPr>
          <w:p w14:paraId="523FDD2D">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6" w:space="0"/>
            </w:tcBorders>
            <w:noWrap w:val="0"/>
            <w:vAlign w:val="center"/>
          </w:tcPr>
          <w:p w14:paraId="4C84D88D">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26E6D575">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B507AC2">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54C0CBCD">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06256405">
            <w:pPr>
              <w:jc w:val="center"/>
              <w:rPr>
                <w:color w:val="auto"/>
                <w:szCs w:val="24"/>
                <w:highlight w:val="none"/>
              </w:rPr>
            </w:pPr>
          </w:p>
        </w:tc>
      </w:tr>
      <w:tr w14:paraId="6F815C7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40" w:type="dxa"/>
            <w:tcBorders>
              <w:top w:val="single" w:color="auto" w:sz="4" w:space="0"/>
              <w:left w:val="single" w:color="auto" w:sz="6" w:space="0"/>
              <w:bottom w:val="single" w:color="auto" w:sz="4" w:space="0"/>
              <w:right w:val="single" w:color="auto" w:sz="4" w:space="0"/>
            </w:tcBorders>
            <w:noWrap w:val="0"/>
            <w:vAlign w:val="center"/>
          </w:tcPr>
          <w:p w14:paraId="4E540070">
            <w:pPr>
              <w:jc w:val="center"/>
              <w:rPr>
                <w:color w:val="auto"/>
                <w:szCs w:val="24"/>
                <w:highlight w:val="none"/>
              </w:rPr>
            </w:pPr>
          </w:p>
        </w:tc>
        <w:tc>
          <w:tcPr>
            <w:tcW w:w="2175" w:type="dxa"/>
            <w:tcBorders>
              <w:top w:val="single" w:color="auto" w:sz="4" w:space="0"/>
              <w:left w:val="single" w:color="auto" w:sz="4" w:space="0"/>
              <w:bottom w:val="single" w:color="auto" w:sz="4" w:space="0"/>
              <w:right w:val="single" w:color="auto" w:sz="4" w:space="0"/>
            </w:tcBorders>
            <w:noWrap w:val="0"/>
            <w:vAlign w:val="center"/>
          </w:tcPr>
          <w:p w14:paraId="6CBBB7C4">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6" w:space="0"/>
            </w:tcBorders>
            <w:noWrap w:val="0"/>
            <w:vAlign w:val="center"/>
          </w:tcPr>
          <w:p w14:paraId="3478A7FF">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6CD34077">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25A1F3FC">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1D978D44">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21BDD6D8">
            <w:pPr>
              <w:jc w:val="center"/>
              <w:rPr>
                <w:color w:val="auto"/>
                <w:szCs w:val="24"/>
                <w:highlight w:val="none"/>
              </w:rPr>
            </w:pPr>
          </w:p>
        </w:tc>
      </w:tr>
      <w:tr w14:paraId="679E7EC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4" w:space="0"/>
              <w:left w:val="single" w:color="auto" w:sz="6" w:space="0"/>
              <w:bottom w:val="single" w:color="auto" w:sz="4" w:space="0"/>
              <w:right w:val="single" w:color="auto" w:sz="4" w:space="0"/>
            </w:tcBorders>
            <w:noWrap w:val="0"/>
            <w:vAlign w:val="center"/>
          </w:tcPr>
          <w:p w14:paraId="2AD9BBC4">
            <w:pPr>
              <w:jc w:val="center"/>
              <w:rPr>
                <w:color w:val="auto"/>
                <w:szCs w:val="24"/>
                <w:highlight w:val="none"/>
              </w:rPr>
            </w:pPr>
          </w:p>
        </w:tc>
        <w:tc>
          <w:tcPr>
            <w:tcW w:w="2175" w:type="dxa"/>
            <w:tcBorders>
              <w:top w:val="single" w:color="auto" w:sz="4" w:space="0"/>
              <w:left w:val="single" w:color="auto" w:sz="4" w:space="0"/>
              <w:bottom w:val="single" w:color="auto" w:sz="4" w:space="0"/>
              <w:right w:val="single" w:color="auto" w:sz="4" w:space="0"/>
            </w:tcBorders>
            <w:noWrap w:val="0"/>
            <w:vAlign w:val="center"/>
          </w:tcPr>
          <w:p w14:paraId="3C89F6C9">
            <w:pPr>
              <w:jc w:val="center"/>
              <w:rPr>
                <w:color w:val="auto"/>
                <w:szCs w:val="24"/>
                <w:highlight w:val="none"/>
              </w:rPr>
            </w:pPr>
          </w:p>
        </w:tc>
        <w:tc>
          <w:tcPr>
            <w:tcW w:w="1080" w:type="dxa"/>
            <w:tcBorders>
              <w:top w:val="single" w:color="auto" w:sz="4" w:space="0"/>
              <w:left w:val="single" w:color="auto" w:sz="4" w:space="0"/>
              <w:bottom w:val="single" w:color="auto" w:sz="4" w:space="0"/>
              <w:right w:val="single" w:color="auto" w:sz="6" w:space="0"/>
            </w:tcBorders>
            <w:noWrap w:val="0"/>
            <w:vAlign w:val="center"/>
          </w:tcPr>
          <w:p w14:paraId="06DD537D">
            <w:pPr>
              <w:jc w:val="center"/>
              <w:rPr>
                <w:color w:val="auto"/>
                <w:szCs w:val="24"/>
                <w:highlight w:val="none"/>
              </w:rPr>
            </w:pPr>
          </w:p>
        </w:tc>
        <w:tc>
          <w:tcPr>
            <w:tcW w:w="1080" w:type="dxa"/>
            <w:tcBorders>
              <w:top w:val="single" w:color="auto" w:sz="4" w:space="0"/>
              <w:left w:val="single" w:color="auto" w:sz="6" w:space="0"/>
              <w:bottom w:val="single" w:color="auto" w:sz="4" w:space="0"/>
              <w:right w:val="single" w:color="auto" w:sz="4" w:space="0"/>
            </w:tcBorders>
            <w:noWrap w:val="0"/>
            <w:vAlign w:val="center"/>
          </w:tcPr>
          <w:p w14:paraId="6D2BFFDF">
            <w:pPr>
              <w:jc w:val="center"/>
              <w:rPr>
                <w:color w:val="auto"/>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59026F5E">
            <w:pPr>
              <w:jc w:val="center"/>
              <w:rPr>
                <w:color w:val="auto"/>
                <w:szCs w:val="24"/>
                <w:highlight w:val="none"/>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34890B6A">
            <w:pPr>
              <w:jc w:val="center"/>
              <w:rPr>
                <w:color w:val="auto"/>
                <w:szCs w:val="24"/>
                <w:highlight w:val="none"/>
              </w:rPr>
            </w:pPr>
          </w:p>
        </w:tc>
        <w:tc>
          <w:tcPr>
            <w:tcW w:w="1572" w:type="dxa"/>
            <w:tcBorders>
              <w:top w:val="single" w:color="auto" w:sz="4" w:space="0"/>
              <w:left w:val="single" w:color="auto" w:sz="4" w:space="0"/>
              <w:bottom w:val="single" w:color="auto" w:sz="4" w:space="0"/>
              <w:right w:val="single" w:color="auto" w:sz="6" w:space="0"/>
            </w:tcBorders>
            <w:noWrap w:val="0"/>
            <w:vAlign w:val="center"/>
          </w:tcPr>
          <w:p w14:paraId="24B49EEB">
            <w:pPr>
              <w:jc w:val="center"/>
              <w:rPr>
                <w:color w:val="auto"/>
                <w:szCs w:val="24"/>
                <w:highlight w:val="none"/>
              </w:rPr>
            </w:pPr>
          </w:p>
        </w:tc>
      </w:tr>
      <w:tr w14:paraId="256E0C8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4" w:space="0"/>
              <w:left w:val="single" w:color="auto" w:sz="6" w:space="0"/>
              <w:bottom w:val="single" w:color="auto" w:sz="6" w:space="0"/>
              <w:right w:val="single" w:color="auto" w:sz="4" w:space="0"/>
            </w:tcBorders>
            <w:noWrap w:val="0"/>
            <w:vAlign w:val="center"/>
          </w:tcPr>
          <w:p w14:paraId="6693B66F">
            <w:pPr>
              <w:jc w:val="center"/>
              <w:rPr>
                <w:color w:val="auto"/>
                <w:szCs w:val="24"/>
                <w:highlight w:val="none"/>
              </w:rPr>
            </w:pPr>
          </w:p>
        </w:tc>
        <w:tc>
          <w:tcPr>
            <w:tcW w:w="2175" w:type="dxa"/>
            <w:tcBorders>
              <w:top w:val="single" w:color="auto" w:sz="4" w:space="0"/>
              <w:left w:val="single" w:color="auto" w:sz="4" w:space="0"/>
              <w:bottom w:val="single" w:color="auto" w:sz="6" w:space="0"/>
              <w:right w:val="single" w:color="auto" w:sz="4" w:space="0"/>
            </w:tcBorders>
            <w:noWrap w:val="0"/>
            <w:vAlign w:val="center"/>
          </w:tcPr>
          <w:p w14:paraId="2AD5F286">
            <w:pPr>
              <w:jc w:val="center"/>
              <w:rPr>
                <w:rFonts w:ascii="宋体" w:hAnsi="宋体"/>
                <w:color w:val="auto"/>
                <w:szCs w:val="24"/>
                <w:highlight w:val="none"/>
              </w:rPr>
            </w:pPr>
            <w:r>
              <w:rPr>
                <w:rFonts w:hint="eastAsia"/>
                <w:color w:val="auto"/>
                <w:highlight w:val="none"/>
              </w:rPr>
              <w:t>合计</w:t>
            </w:r>
          </w:p>
        </w:tc>
        <w:tc>
          <w:tcPr>
            <w:tcW w:w="1080" w:type="dxa"/>
            <w:tcBorders>
              <w:top w:val="single" w:color="auto" w:sz="4" w:space="0"/>
              <w:left w:val="single" w:color="auto" w:sz="4" w:space="0"/>
              <w:bottom w:val="single" w:color="auto" w:sz="6" w:space="0"/>
              <w:right w:val="single" w:color="auto" w:sz="6" w:space="0"/>
            </w:tcBorders>
            <w:noWrap w:val="0"/>
            <w:vAlign w:val="center"/>
          </w:tcPr>
          <w:p w14:paraId="42614F1A">
            <w:pPr>
              <w:jc w:val="center"/>
              <w:rPr>
                <w:color w:val="auto"/>
                <w:szCs w:val="24"/>
                <w:highlight w:val="none"/>
              </w:rPr>
            </w:pPr>
            <w:r>
              <w:rPr>
                <w:rFonts w:hint="eastAsia" w:ascii="宋体" w:hAnsi="宋体"/>
                <w:color w:val="auto"/>
                <w:highlight w:val="none"/>
              </w:rPr>
              <w:t>—</w:t>
            </w:r>
          </w:p>
        </w:tc>
        <w:tc>
          <w:tcPr>
            <w:tcW w:w="1080" w:type="dxa"/>
            <w:tcBorders>
              <w:top w:val="single" w:color="auto" w:sz="4" w:space="0"/>
              <w:left w:val="single" w:color="auto" w:sz="6" w:space="0"/>
              <w:bottom w:val="single" w:color="auto" w:sz="6" w:space="0"/>
              <w:right w:val="single" w:color="auto" w:sz="4" w:space="0"/>
            </w:tcBorders>
            <w:noWrap w:val="0"/>
            <w:vAlign w:val="center"/>
          </w:tcPr>
          <w:p w14:paraId="5A6962A0">
            <w:pPr>
              <w:jc w:val="center"/>
              <w:rPr>
                <w:color w:val="auto"/>
                <w:szCs w:val="24"/>
                <w:highlight w:val="none"/>
              </w:rPr>
            </w:pPr>
            <w:r>
              <w:rPr>
                <w:rFonts w:hint="eastAsia" w:ascii="宋体" w:hAnsi="宋体"/>
                <w:color w:val="auto"/>
                <w:highlight w:val="none"/>
              </w:rPr>
              <w:t>—</w:t>
            </w:r>
          </w:p>
        </w:tc>
        <w:tc>
          <w:tcPr>
            <w:tcW w:w="1164" w:type="dxa"/>
            <w:tcBorders>
              <w:top w:val="single" w:color="auto" w:sz="4" w:space="0"/>
              <w:left w:val="single" w:color="auto" w:sz="4" w:space="0"/>
              <w:bottom w:val="single" w:color="auto" w:sz="6" w:space="0"/>
              <w:right w:val="single" w:color="auto" w:sz="4" w:space="0"/>
            </w:tcBorders>
            <w:noWrap w:val="0"/>
            <w:vAlign w:val="center"/>
          </w:tcPr>
          <w:p w14:paraId="58B1D33E">
            <w:pPr>
              <w:jc w:val="center"/>
              <w:rPr>
                <w:color w:val="auto"/>
                <w:szCs w:val="24"/>
                <w:highlight w:val="none"/>
              </w:rPr>
            </w:pPr>
          </w:p>
        </w:tc>
        <w:tc>
          <w:tcPr>
            <w:tcW w:w="830" w:type="dxa"/>
            <w:tcBorders>
              <w:top w:val="single" w:color="auto" w:sz="4" w:space="0"/>
              <w:left w:val="single" w:color="auto" w:sz="4" w:space="0"/>
              <w:bottom w:val="single" w:color="auto" w:sz="6" w:space="0"/>
              <w:right w:val="single" w:color="auto" w:sz="4" w:space="0"/>
            </w:tcBorders>
            <w:noWrap w:val="0"/>
            <w:vAlign w:val="center"/>
          </w:tcPr>
          <w:p w14:paraId="124A6854">
            <w:pPr>
              <w:jc w:val="center"/>
              <w:rPr>
                <w:color w:val="auto"/>
                <w:szCs w:val="24"/>
                <w:highlight w:val="none"/>
              </w:rPr>
            </w:pPr>
            <w:r>
              <w:rPr>
                <w:rFonts w:hint="eastAsia" w:ascii="宋体" w:hAnsi="宋体"/>
                <w:color w:val="auto"/>
                <w:highlight w:val="none"/>
              </w:rPr>
              <w:t>—</w:t>
            </w:r>
          </w:p>
        </w:tc>
        <w:tc>
          <w:tcPr>
            <w:tcW w:w="1572" w:type="dxa"/>
            <w:tcBorders>
              <w:top w:val="single" w:color="auto" w:sz="4" w:space="0"/>
              <w:left w:val="single" w:color="auto" w:sz="4" w:space="0"/>
              <w:bottom w:val="single" w:color="auto" w:sz="6" w:space="0"/>
              <w:right w:val="single" w:color="auto" w:sz="6" w:space="0"/>
            </w:tcBorders>
            <w:noWrap w:val="0"/>
            <w:vAlign w:val="center"/>
          </w:tcPr>
          <w:p w14:paraId="5116B80D">
            <w:pPr>
              <w:jc w:val="center"/>
              <w:rPr>
                <w:color w:val="auto"/>
                <w:szCs w:val="24"/>
                <w:highlight w:val="none"/>
              </w:rPr>
            </w:pPr>
          </w:p>
        </w:tc>
      </w:tr>
    </w:tbl>
    <w:p w14:paraId="1E6E0762">
      <w:pPr>
        <w:spacing w:before="120" w:beforeLines="50"/>
        <w:rPr>
          <w:rFonts w:ascii="Times New Roman" w:hAnsi="Times New Roman"/>
          <w:color w:val="auto"/>
          <w:highlight w:val="none"/>
        </w:rPr>
      </w:pPr>
    </w:p>
    <w:p w14:paraId="41827CE2">
      <w:pPr>
        <w:spacing w:before="120" w:beforeLines="50"/>
        <w:ind w:left="420" w:hanging="420" w:hangingChars="200"/>
        <w:rPr>
          <w:rFonts w:ascii="宋体" w:hAnsi="宋体"/>
          <w:color w:val="auto"/>
          <w:highlight w:val="none"/>
        </w:rPr>
      </w:pPr>
      <w:r>
        <w:rPr>
          <w:rFonts w:hint="eastAsia" w:ascii="宋体" w:hAnsi="宋体"/>
          <w:color w:val="auto"/>
          <w:highlight w:val="none"/>
        </w:rPr>
        <w:t>注：此表项目名称、服务内容由招标人填写，编制招标控制价时，费率及金额由招标人按有关计价规定确定：投标时，费率及金额由投标人自主报价，计入投标总价中。</w:t>
      </w:r>
    </w:p>
    <w:p w14:paraId="5076055B">
      <w:pPr>
        <w:pStyle w:val="33"/>
        <w:rPr>
          <w:rFonts w:hint="eastAsia" w:ascii="Times New Roman" w:hAnsi="Times New Roman"/>
          <w:color w:val="auto"/>
          <w:highlight w:val="none"/>
        </w:rPr>
      </w:pPr>
      <w:bookmarkStart w:id="2352" w:name="_Toc521075255"/>
      <w:bookmarkStart w:id="2353" w:name="_Toc521075680"/>
      <w:bookmarkStart w:id="2354" w:name="_Toc11274"/>
      <w:r>
        <w:rPr>
          <w:color w:val="auto"/>
          <w:highlight w:val="none"/>
        </w:rPr>
        <w:t>4.13</w:t>
      </w:r>
      <w:r>
        <w:rPr>
          <w:rFonts w:hint="eastAsia"/>
          <w:color w:val="auto"/>
          <w:highlight w:val="none"/>
        </w:rPr>
        <w:t>规费、税金项目计价表</w:t>
      </w:r>
      <w:bookmarkEnd w:id="2352"/>
      <w:bookmarkEnd w:id="2353"/>
      <w:bookmarkEnd w:id="2354"/>
    </w:p>
    <w:p w14:paraId="02537380">
      <w:pPr>
        <w:rPr>
          <w:rFonts w:ascii="黑体" w:eastAsia="黑体"/>
          <w:color w:val="auto"/>
          <w:sz w:val="24"/>
          <w:highlight w:val="none"/>
        </w:rPr>
      </w:pPr>
    </w:p>
    <w:p w14:paraId="285B9CC2">
      <w:pPr>
        <w:spacing w:before="120" w:beforeLines="50" w:after="120"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规费、税金项目计价表</w:t>
      </w:r>
    </w:p>
    <w:p w14:paraId="337EC954">
      <w:pPr>
        <w:spacing w:before="120" w:beforeLines="50" w:after="120" w:afterLines="50"/>
        <w:jc w:val="center"/>
        <w:rPr>
          <w:rFonts w:hint="eastAsia" w:ascii="黑体" w:eastAsia="黑体"/>
          <w:color w:val="auto"/>
          <w:sz w:val="28"/>
          <w:szCs w:val="28"/>
          <w:highlight w:val="none"/>
        </w:rPr>
      </w:pPr>
    </w:p>
    <w:p w14:paraId="2EA83988">
      <w:pPr>
        <w:rPr>
          <w:rFonts w:hint="eastAsia" w:ascii="Times New Roman"/>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52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790"/>
        <w:gridCol w:w="1790"/>
        <w:gridCol w:w="1226"/>
        <w:gridCol w:w="1365"/>
        <w:gridCol w:w="1373"/>
      </w:tblGrid>
      <w:tr w14:paraId="4BB7C12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84" w:type="dxa"/>
            <w:tcBorders>
              <w:top w:val="single" w:color="auto" w:sz="6" w:space="0"/>
              <w:left w:val="single" w:color="auto" w:sz="6" w:space="0"/>
              <w:bottom w:val="single" w:color="auto" w:sz="4" w:space="0"/>
              <w:right w:val="single" w:color="auto" w:sz="4" w:space="0"/>
            </w:tcBorders>
            <w:noWrap w:val="0"/>
            <w:vAlign w:val="center"/>
          </w:tcPr>
          <w:p w14:paraId="7A056719">
            <w:pPr>
              <w:jc w:val="center"/>
              <w:rPr>
                <w:color w:val="auto"/>
                <w:szCs w:val="24"/>
                <w:highlight w:val="none"/>
              </w:rPr>
            </w:pPr>
            <w:r>
              <w:rPr>
                <w:rFonts w:hint="eastAsia"/>
                <w:color w:val="auto"/>
                <w:highlight w:val="none"/>
              </w:rPr>
              <w:t>序号</w:t>
            </w:r>
          </w:p>
        </w:tc>
        <w:tc>
          <w:tcPr>
            <w:tcW w:w="1790" w:type="dxa"/>
            <w:tcBorders>
              <w:top w:val="single" w:color="auto" w:sz="6" w:space="0"/>
              <w:left w:val="single" w:color="auto" w:sz="4" w:space="0"/>
              <w:bottom w:val="single" w:color="auto" w:sz="4" w:space="0"/>
              <w:right w:val="single" w:color="auto" w:sz="4" w:space="0"/>
            </w:tcBorders>
            <w:noWrap w:val="0"/>
            <w:vAlign w:val="center"/>
          </w:tcPr>
          <w:p w14:paraId="3F37C958">
            <w:pPr>
              <w:jc w:val="center"/>
              <w:rPr>
                <w:color w:val="auto"/>
                <w:szCs w:val="24"/>
                <w:highlight w:val="none"/>
              </w:rPr>
            </w:pPr>
            <w:r>
              <w:rPr>
                <w:rFonts w:hint="eastAsia"/>
                <w:color w:val="auto"/>
                <w:highlight w:val="none"/>
              </w:rPr>
              <w:t>项目名称</w:t>
            </w:r>
          </w:p>
        </w:tc>
        <w:tc>
          <w:tcPr>
            <w:tcW w:w="1790" w:type="dxa"/>
            <w:tcBorders>
              <w:top w:val="single" w:color="auto" w:sz="6" w:space="0"/>
              <w:left w:val="single" w:color="auto" w:sz="4" w:space="0"/>
              <w:bottom w:val="single" w:color="auto" w:sz="4" w:space="0"/>
              <w:right w:val="single" w:color="auto" w:sz="4" w:space="0"/>
            </w:tcBorders>
            <w:noWrap w:val="0"/>
            <w:vAlign w:val="center"/>
          </w:tcPr>
          <w:p w14:paraId="4BEEE719">
            <w:pPr>
              <w:jc w:val="center"/>
              <w:rPr>
                <w:color w:val="auto"/>
                <w:szCs w:val="24"/>
                <w:highlight w:val="none"/>
              </w:rPr>
            </w:pPr>
            <w:r>
              <w:rPr>
                <w:rFonts w:hint="eastAsia"/>
                <w:color w:val="auto"/>
                <w:highlight w:val="none"/>
              </w:rPr>
              <w:t>计算基础</w:t>
            </w:r>
          </w:p>
        </w:tc>
        <w:tc>
          <w:tcPr>
            <w:tcW w:w="1226" w:type="dxa"/>
            <w:tcBorders>
              <w:top w:val="single" w:color="auto" w:sz="6" w:space="0"/>
              <w:left w:val="single" w:color="auto" w:sz="4" w:space="0"/>
              <w:bottom w:val="single" w:color="auto" w:sz="4" w:space="0"/>
              <w:right w:val="single" w:color="auto" w:sz="4" w:space="0"/>
            </w:tcBorders>
            <w:noWrap w:val="0"/>
            <w:vAlign w:val="center"/>
          </w:tcPr>
          <w:p w14:paraId="486937DC">
            <w:pPr>
              <w:jc w:val="center"/>
              <w:rPr>
                <w:color w:val="auto"/>
                <w:szCs w:val="24"/>
                <w:highlight w:val="none"/>
              </w:rPr>
            </w:pPr>
            <w:r>
              <w:rPr>
                <w:rFonts w:hint="eastAsia"/>
                <w:color w:val="auto"/>
                <w:highlight w:val="none"/>
              </w:rPr>
              <w:t>计算基数</w:t>
            </w:r>
          </w:p>
        </w:tc>
        <w:tc>
          <w:tcPr>
            <w:tcW w:w="1365" w:type="dxa"/>
            <w:tcBorders>
              <w:top w:val="single" w:color="auto" w:sz="6" w:space="0"/>
              <w:left w:val="single" w:color="auto" w:sz="4" w:space="0"/>
              <w:bottom w:val="single" w:color="auto" w:sz="4" w:space="0"/>
              <w:right w:val="single" w:color="auto" w:sz="4" w:space="0"/>
            </w:tcBorders>
            <w:noWrap w:val="0"/>
            <w:vAlign w:val="center"/>
          </w:tcPr>
          <w:p w14:paraId="191BF09C">
            <w:pPr>
              <w:jc w:val="center"/>
              <w:rPr>
                <w:color w:val="auto"/>
                <w:szCs w:val="24"/>
                <w:highlight w:val="none"/>
              </w:rPr>
            </w:pPr>
            <w:r>
              <w:rPr>
                <w:rFonts w:hint="eastAsia"/>
                <w:color w:val="auto"/>
                <w:highlight w:val="none"/>
              </w:rPr>
              <w:t>费率（</w:t>
            </w:r>
            <w:r>
              <w:rPr>
                <w:color w:val="auto"/>
                <w:highlight w:val="none"/>
              </w:rPr>
              <w:t>%</w:t>
            </w:r>
            <w:r>
              <w:rPr>
                <w:rFonts w:hint="eastAsia"/>
                <w:color w:val="auto"/>
                <w:highlight w:val="none"/>
              </w:rPr>
              <w:t>）</w:t>
            </w:r>
          </w:p>
        </w:tc>
        <w:tc>
          <w:tcPr>
            <w:tcW w:w="1373" w:type="dxa"/>
            <w:tcBorders>
              <w:top w:val="single" w:color="auto" w:sz="6" w:space="0"/>
              <w:left w:val="single" w:color="auto" w:sz="4" w:space="0"/>
              <w:bottom w:val="single" w:color="auto" w:sz="4" w:space="0"/>
              <w:right w:val="single" w:color="auto" w:sz="6" w:space="0"/>
            </w:tcBorders>
            <w:noWrap w:val="0"/>
            <w:vAlign w:val="center"/>
          </w:tcPr>
          <w:p w14:paraId="5443FADA">
            <w:pPr>
              <w:jc w:val="center"/>
              <w:rPr>
                <w:color w:val="auto"/>
                <w:szCs w:val="24"/>
                <w:highlight w:val="none"/>
              </w:rPr>
            </w:pPr>
            <w:r>
              <w:rPr>
                <w:rFonts w:hint="eastAsia"/>
                <w:color w:val="auto"/>
                <w:highlight w:val="none"/>
              </w:rPr>
              <w:t>金额（元）</w:t>
            </w:r>
          </w:p>
        </w:tc>
      </w:tr>
      <w:tr w14:paraId="13C5653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3F3669B0">
            <w:pPr>
              <w:jc w:val="center"/>
              <w:rPr>
                <w:rFonts w:ascii="黑体" w:eastAsia="黑体"/>
                <w:color w:val="auto"/>
                <w:szCs w:val="24"/>
                <w:highlight w:val="none"/>
              </w:rPr>
            </w:pPr>
            <w:r>
              <w:rPr>
                <w:rFonts w:hint="eastAsia" w:ascii="黑体" w:eastAsia="黑体"/>
                <w:color w:val="auto"/>
                <w:highlight w:val="none"/>
              </w:rPr>
              <w:t>1</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3EF875D3">
            <w:pPr>
              <w:jc w:val="center"/>
              <w:rPr>
                <w:color w:val="auto"/>
                <w:szCs w:val="24"/>
                <w:highlight w:val="none"/>
              </w:rPr>
            </w:pPr>
            <w:r>
              <w:rPr>
                <w:rFonts w:hint="eastAsia"/>
                <w:color w:val="auto"/>
                <w:highlight w:val="none"/>
              </w:rPr>
              <w:t>规费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3D4E1FF8">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6F0001EB">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D0BC99E">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43A96BA2">
            <w:pPr>
              <w:jc w:val="center"/>
              <w:rPr>
                <w:color w:val="auto"/>
                <w:szCs w:val="24"/>
                <w:highlight w:val="none"/>
              </w:rPr>
            </w:pPr>
          </w:p>
        </w:tc>
      </w:tr>
      <w:tr w14:paraId="59167F4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84" w:type="dxa"/>
            <w:tcBorders>
              <w:top w:val="single" w:color="auto" w:sz="4" w:space="0"/>
              <w:left w:val="single" w:color="auto" w:sz="6" w:space="0"/>
              <w:bottom w:val="single" w:color="auto" w:sz="6" w:space="0"/>
              <w:right w:val="single" w:color="auto" w:sz="4" w:space="0"/>
            </w:tcBorders>
            <w:noWrap w:val="0"/>
            <w:vAlign w:val="center"/>
          </w:tcPr>
          <w:p w14:paraId="694A9369">
            <w:pPr>
              <w:jc w:val="center"/>
              <w:rPr>
                <w:rFonts w:ascii="黑体" w:eastAsia="黑体"/>
                <w:color w:val="auto"/>
                <w:szCs w:val="24"/>
                <w:highlight w:val="none"/>
              </w:rPr>
            </w:pPr>
            <w:r>
              <w:rPr>
                <w:rFonts w:hint="eastAsia" w:ascii="黑体" w:eastAsia="黑体"/>
                <w:color w:val="auto"/>
                <w:highlight w:val="none"/>
              </w:rPr>
              <w:t>1.1</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604871AA">
            <w:pPr>
              <w:jc w:val="center"/>
              <w:rPr>
                <w:color w:val="auto"/>
                <w:szCs w:val="24"/>
                <w:highlight w:val="none"/>
              </w:rPr>
            </w:pPr>
            <w:r>
              <w:rPr>
                <w:rFonts w:hint="eastAsia"/>
                <w:color w:val="auto"/>
                <w:highlight w:val="none"/>
              </w:rPr>
              <w:t>社会保险费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355EF5E7">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3947D20C">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34E2F6D1">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4FEAF0D8">
            <w:pPr>
              <w:jc w:val="center"/>
              <w:rPr>
                <w:color w:val="auto"/>
                <w:szCs w:val="24"/>
                <w:highlight w:val="none"/>
              </w:rPr>
            </w:pPr>
          </w:p>
        </w:tc>
      </w:tr>
      <w:tr w14:paraId="5D531B8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84" w:type="dxa"/>
            <w:tcBorders>
              <w:top w:val="single" w:color="auto" w:sz="6" w:space="0"/>
              <w:left w:val="single" w:color="auto" w:sz="6" w:space="0"/>
              <w:bottom w:val="single" w:color="auto" w:sz="4" w:space="0"/>
              <w:right w:val="single" w:color="auto" w:sz="4" w:space="0"/>
            </w:tcBorders>
            <w:noWrap w:val="0"/>
            <w:vAlign w:val="center"/>
          </w:tcPr>
          <w:p w14:paraId="6CEBB3A2">
            <w:pPr>
              <w:jc w:val="center"/>
              <w:rPr>
                <w:rFonts w:ascii="黑体" w:eastAsia="黑体"/>
                <w:color w:val="auto"/>
                <w:szCs w:val="24"/>
                <w:highlight w:val="none"/>
              </w:rPr>
            </w:pPr>
            <w:r>
              <w:rPr>
                <w:rFonts w:hint="eastAsia" w:ascii="黑体" w:eastAsia="黑体"/>
                <w:color w:val="auto"/>
                <w:highlight w:val="none"/>
              </w:rPr>
              <w:t>（1）</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74CA5D46">
            <w:pPr>
              <w:jc w:val="center"/>
              <w:rPr>
                <w:color w:val="auto"/>
                <w:szCs w:val="24"/>
                <w:highlight w:val="none"/>
              </w:rPr>
            </w:pPr>
            <w:r>
              <w:rPr>
                <w:rFonts w:hint="eastAsia"/>
                <w:color w:val="auto"/>
                <w:highlight w:val="none"/>
              </w:rPr>
              <w:t>养老保险费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1D0D36FD">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186F7A1B">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423E527">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0B59AF39">
            <w:pPr>
              <w:jc w:val="center"/>
              <w:rPr>
                <w:color w:val="auto"/>
                <w:szCs w:val="24"/>
                <w:highlight w:val="none"/>
              </w:rPr>
            </w:pPr>
          </w:p>
        </w:tc>
      </w:tr>
      <w:tr w14:paraId="218BFF2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49922588">
            <w:pPr>
              <w:jc w:val="center"/>
              <w:rPr>
                <w:rFonts w:ascii="黑体" w:eastAsia="黑体"/>
                <w:color w:val="auto"/>
                <w:szCs w:val="24"/>
                <w:highlight w:val="none"/>
              </w:rPr>
            </w:pPr>
            <w:r>
              <w:rPr>
                <w:rFonts w:hint="eastAsia" w:ascii="黑体" w:eastAsia="黑体"/>
                <w:color w:val="auto"/>
                <w:highlight w:val="none"/>
              </w:rPr>
              <w:t>（2）</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0F87AD01">
            <w:pPr>
              <w:jc w:val="center"/>
              <w:rPr>
                <w:color w:val="auto"/>
                <w:szCs w:val="24"/>
                <w:highlight w:val="none"/>
              </w:rPr>
            </w:pPr>
            <w:r>
              <w:rPr>
                <w:rFonts w:hint="eastAsia"/>
                <w:color w:val="auto"/>
                <w:highlight w:val="none"/>
              </w:rPr>
              <w:t>失业保险费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2DF9AA4D">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6E86D1F3">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8D13A41">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5C0E32E0">
            <w:pPr>
              <w:jc w:val="center"/>
              <w:rPr>
                <w:color w:val="auto"/>
                <w:szCs w:val="24"/>
                <w:highlight w:val="none"/>
              </w:rPr>
            </w:pPr>
          </w:p>
        </w:tc>
      </w:tr>
      <w:tr w14:paraId="533F159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0D151D22">
            <w:pPr>
              <w:jc w:val="center"/>
              <w:rPr>
                <w:rFonts w:ascii="黑体" w:eastAsia="黑体"/>
                <w:color w:val="auto"/>
                <w:szCs w:val="24"/>
                <w:highlight w:val="none"/>
              </w:rPr>
            </w:pPr>
            <w:r>
              <w:rPr>
                <w:rFonts w:hint="eastAsia" w:ascii="黑体" w:eastAsia="黑体"/>
                <w:color w:val="auto"/>
                <w:highlight w:val="none"/>
              </w:rPr>
              <w:t>（3）</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570637FF">
            <w:pPr>
              <w:jc w:val="center"/>
              <w:rPr>
                <w:color w:val="auto"/>
                <w:szCs w:val="24"/>
                <w:highlight w:val="none"/>
              </w:rPr>
            </w:pPr>
            <w:r>
              <w:rPr>
                <w:rFonts w:hint="eastAsia"/>
                <w:color w:val="auto"/>
                <w:highlight w:val="none"/>
              </w:rPr>
              <w:t>医疗保险费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7F3C76D8">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3580B84A">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AE6D3E1">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127BDBA4">
            <w:pPr>
              <w:jc w:val="center"/>
              <w:rPr>
                <w:color w:val="auto"/>
                <w:szCs w:val="24"/>
                <w:highlight w:val="none"/>
              </w:rPr>
            </w:pPr>
          </w:p>
        </w:tc>
      </w:tr>
      <w:tr w14:paraId="553D266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0364B0B1">
            <w:pPr>
              <w:jc w:val="center"/>
              <w:rPr>
                <w:rFonts w:ascii="黑体" w:eastAsia="黑体"/>
                <w:color w:val="auto"/>
                <w:szCs w:val="24"/>
                <w:highlight w:val="none"/>
              </w:rPr>
            </w:pPr>
            <w:r>
              <w:rPr>
                <w:rFonts w:hint="eastAsia" w:ascii="黑体" w:eastAsia="黑体"/>
                <w:color w:val="auto"/>
                <w:highlight w:val="none"/>
              </w:rPr>
              <w:t>（4）</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54A3182A">
            <w:pPr>
              <w:jc w:val="center"/>
              <w:rPr>
                <w:color w:val="auto"/>
                <w:szCs w:val="24"/>
                <w:highlight w:val="none"/>
              </w:rPr>
            </w:pPr>
            <w:r>
              <w:rPr>
                <w:rFonts w:hint="eastAsia"/>
                <w:color w:val="auto"/>
                <w:highlight w:val="none"/>
              </w:rPr>
              <w:t>工伤保险费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3877FFFE">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6BEED9AE">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61CDED07">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71EC7D7F">
            <w:pPr>
              <w:jc w:val="center"/>
              <w:rPr>
                <w:color w:val="auto"/>
                <w:szCs w:val="24"/>
                <w:highlight w:val="none"/>
              </w:rPr>
            </w:pPr>
          </w:p>
        </w:tc>
      </w:tr>
      <w:tr w14:paraId="32E4713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706B427B">
            <w:pPr>
              <w:jc w:val="center"/>
              <w:rPr>
                <w:rFonts w:ascii="黑体" w:eastAsia="黑体"/>
                <w:color w:val="auto"/>
                <w:szCs w:val="24"/>
                <w:highlight w:val="none"/>
              </w:rPr>
            </w:pPr>
            <w:r>
              <w:rPr>
                <w:rFonts w:hint="eastAsia" w:ascii="黑体" w:eastAsia="黑体"/>
                <w:color w:val="auto"/>
                <w:highlight w:val="none"/>
              </w:rPr>
              <w:t>（5）</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433A862F">
            <w:pPr>
              <w:jc w:val="center"/>
              <w:rPr>
                <w:color w:val="auto"/>
                <w:szCs w:val="24"/>
                <w:highlight w:val="none"/>
              </w:rPr>
            </w:pPr>
            <w:r>
              <w:rPr>
                <w:rFonts w:hint="eastAsia"/>
                <w:color w:val="auto"/>
                <w:highlight w:val="none"/>
              </w:rPr>
              <w:t>生育保险费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24476F1B">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33FFA1DA">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F95D89C">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1C8A0967">
            <w:pPr>
              <w:jc w:val="center"/>
              <w:rPr>
                <w:color w:val="auto"/>
                <w:szCs w:val="24"/>
                <w:highlight w:val="none"/>
              </w:rPr>
            </w:pPr>
          </w:p>
        </w:tc>
      </w:tr>
      <w:tr w14:paraId="71DEF85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1684BFAF">
            <w:pPr>
              <w:jc w:val="center"/>
              <w:rPr>
                <w:rFonts w:ascii="黑体" w:eastAsia="黑体"/>
                <w:color w:val="auto"/>
                <w:szCs w:val="24"/>
                <w:highlight w:val="none"/>
              </w:rPr>
            </w:pPr>
            <w:r>
              <w:rPr>
                <w:rFonts w:hint="eastAsia" w:ascii="黑体" w:eastAsia="黑体"/>
                <w:color w:val="auto"/>
                <w:highlight w:val="none"/>
              </w:rPr>
              <w:t>1.2</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3E77A77B">
            <w:pPr>
              <w:jc w:val="center"/>
              <w:rPr>
                <w:color w:val="auto"/>
                <w:szCs w:val="24"/>
                <w:highlight w:val="none"/>
              </w:rPr>
            </w:pPr>
            <w:r>
              <w:rPr>
                <w:rFonts w:hint="eastAsia"/>
                <w:color w:val="auto"/>
                <w:highlight w:val="none"/>
              </w:rPr>
              <w:t>住房公积金</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5FE4AF5F">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091C3926">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D9F1020">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79FC59ED">
            <w:pPr>
              <w:jc w:val="center"/>
              <w:rPr>
                <w:color w:val="auto"/>
                <w:szCs w:val="24"/>
                <w:highlight w:val="none"/>
              </w:rPr>
            </w:pPr>
          </w:p>
        </w:tc>
      </w:tr>
      <w:tr w14:paraId="3740E5E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1B2D49D6">
            <w:pPr>
              <w:jc w:val="center"/>
              <w:rPr>
                <w:rFonts w:ascii="黑体" w:eastAsia="黑体"/>
                <w:color w:val="auto"/>
                <w:szCs w:val="24"/>
                <w:highlight w:val="none"/>
              </w:rPr>
            </w:pPr>
            <w:r>
              <w:rPr>
                <w:rFonts w:hint="eastAsia" w:ascii="黑体" w:eastAsia="黑体"/>
                <w:color w:val="auto"/>
                <w:highlight w:val="none"/>
              </w:rPr>
              <w:t>1.3</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537978BB">
            <w:pPr>
              <w:jc w:val="center"/>
              <w:rPr>
                <w:color w:val="auto"/>
                <w:szCs w:val="24"/>
                <w:highlight w:val="none"/>
              </w:rPr>
            </w:pPr>
            <w:r>
              <w:rPr>
                <w:rFonts w:hint="eastAsia"/>
                <w:color w:val="auto"/>
                <w:highlight w:val="none"/>
              </w:rPr>
              <w:t>工程排污费</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49B9D573">
            <w:pPr>
              <w:jc w:val="center"/>
              <w:rPr>
                <w:color w:val="auto"/>
                <w:szCs w:val="24"/>
                <w:highlight w:val="none"/>
              </w:rPr>
            </w:pPr>
            <w:r>
              <w:rPr>
                <w:rFonts w:hint="eastAsia"/>
                <w:color w:val="auto"/>
                <w:highlight w:val="none"/>
              </w:rPr>
              <w:t>人工费</w:t>
            </w:r>
            <w:r>
              <w:rPr>
                <w:color w:val="auto"/>
                <w:highlight w:val="none"/>
              </w:rPr>
              <w:t>+</w:t>
            </w:r>
            <w:r>
              <w:rPr>
                <w:rFonts w:hint="eastAsia"/>
                <w:color w:val="auto"/>
                <w:highlight w:val="none"/>
              </w:rPr>
              <w:t>机械费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0E7CBB3E">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1A432D0">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7BA428A6">
            <w:pPr>
              <w:jc w:val="center"/>
              <w:rPr>
                <w:color w:val="auto"/>
                <w:szCs w:val="24"/>
                <w:highlight w:val="none"/>
              </w:rPr>
            </w:pPr>
          </w:p>
        </w:tc>
      </w:tr>
      <w:tr w14:paraId="062B241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70AFDE83">
            <w:pPr>
              <w:jc w:val="center"/>
              <w:rPr>
                <w:color w:val="auto"/>
                <w:szCs w:val="24"/>
                <w:highlight w:val="none"/>
              </w:rPr>
            </w:pPr>
          </w:p>
        </w:tc>
        <w:tc>
          <w:tcPr>
            <w:tcW w:w="1790" w:type="dxa"/>
            <w:tcBorders>
              <w:top w:val="single" w:color="auto" w:sz="4" w:space="0"/>
              <w:left w:val="single" w:color="auto" w:sz="4" w:space="0"/>
              <w:bottom w:val="single" w:color="auto" w:sz="4" w:space="0"/>
              <w:right w:val="single" w:color="auto" w:sz="4" w:space="0"/>
            </w:tcBorders>
            <w:noWrap w:val="0"/>
            <w:vAlign w:val="center"/>
          </w:tcPr>
          <w:p w14:paraId="3D80F4A9">
            <w:pPr>
              <w:jc w:val="center"/>
              <w:rPr>
                <w:color w:val="auto"/>
                <w:szCs w:val="24"/>
                <w:highlight w:val="none"/>
              </w:rPr>
            </w:pPr>
          </w:p>
        </w:tc>
        <w:tc>
          <w:tcPr>
            <w:tcW w:w="1790" w:type="dxa"/>
            <w:tcBorders>
              <w:top w:val="single" w:color="auto" w:sz="4" w:space="0"/>
              <w:left w:val="single" w:color="auto" w:sz="4" w:space="0"/>
              <w:bottom w:val="single" w:color="auto" w:sz="4" w:space="0"/>
              <w:right w:val="single" w:color="auto" w:sz="4" w:space="0"/>
            </w:tcBorders>
            <w:noWrap w:val="0"/>
            <w:vAlign w:val="center"/>
          </w:tcPr>
          <w:p w14:paraId="1D1F7687">
            <w:pPr>
              <w:jc w:val="center"/>
              <w:rPr>
                <w:color w:val="auto"/>
                <w:szCs w:val="24"/>
                <w:highlight w:val="none"/>
              </w:rPr>
            </w:pPr>
          </w:p>
        </w:tc>
        <w:tc>
          <w:tcPr>
            <w:tcW w:w="1226" w:type="dxa"/>
            <w:tcBorders>
              <w:top w:val="single" w:color="auto" w:sz="4" w:space="0"/>
              <w:left w:val="single" w:color="auto" w:sz="4" w:space="0"/>
              <w:bottom w:val="single" w:color="auto" w:sz="4" w:space="0"/>
              <w:right w:val="single" w:color="auto" w:sz="4" w:space="0"/>
            </w:tcBorders>
            <w:noWrap w:val="0"/>
            <w:vAlign w:val="center"/>
          </w:tcPr>
          <w:p w14:paraId="5103EDBF">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311F7B0E">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3AEAEA4A">
            <w:pPr>
              <w:jc w:val="center"/>
              <w:rPr>
                <w:color w:val="auto"/>
                <w:szCs w:val="24"/>
                <w:highlight w:val="none"/>
              </w:rPr>
            </w:pPr>
          </w:p>
        </w:tc>
      </w:tr>
      <w:tr w14:paraId="230E2A9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84" w:type="dxa"/>
            <w:tcBorders>
              <w:top w:val="single" w:color="auto" w:sz="4" w:space="0"/>
              <w:left w:val="single" w:color="auto" w:sz="6" w:space="0"/>
              <w:bottom w:val="single" w:color="auto" w:sz="4" w:space="0"/>
              <w:right w:val="single" w:color="auto" w:sz="4" w:space="0"/>
            </w:tcBorders>
            <w:noWrap w:val="0"/>
            <w:vAlign w:val="center"/>
          </w:tcPr>
          <w:p w14:paraId="1C9DCA09">
            <w:pPr>
              <w:jc w:val="center"/>
              <w:rPr>
                <w:color w:val="auto"/>
                <w:szCs w:val="24"/>
                <w:highlight w:val="none"/>
              </w:rPr>
            </w:pPr>
            <w:r>
              <w:rPr>
                <w:color w:val="auto"/>
                <w:highlight w:val="none"/>
              </w:rPr>
              <w:t>2</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7DD39950">
            <w:pPr>
              <w:jc w:val="center"/>
              <w:rPr>
                <w:color w:val="auto"/>
                <w:szCs w:val="24"/>
                <w:highlight w:val="none"/>
              </w:rPr>
            </w:pPr>
            <w:r>
              <w:rPr>
                <w:rFonts w:hint="eastAsia"/>
                <w:color w:val="auto"/>
                <w:highlight w:val="none"/>
              </w:rPr>
              <w:t>税金</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4B6D9B58">
            <w:pPr>
              <w:jc w:val="center"/>
              <w:rPr>
                <w:color w:val="auto"/>
                <w:szCs w:val="24"/>
                <w:highlight w:val="none"/>
              </w:rPr>
            </w:pPr>
            <w:r>
              <w:rPr>
                <w:rFonts w:hint="eastAsia"/>
                <w:color w:val="auto"/>
                <w:highlight w:val="none"/>
              </w:rPr>
              <w:t>分部分项工程费</w:t>
            </w:r>
            <w:r>
              <w:rPr>
                <w:color w:val="auto"/>
                <w:highlight w:val="none"/>
              </w:rPr>
              <w:t>+</w:t>
            </w:r>
            <w:r>
              <w:rPr>
                <w:rFonts w:hint="eastAsia"/>
                <w:color w:val="auto"/>
                <w:highlight w:val="none"/>
              </w:rPr>
              <w:t>措施项目费</w:t>
            </w:r>
            <w:r>
              <w:rPr>
                <w:color w:val="auto"/>
                <w:highlight w:val="none"/>
              </w:rPr>
              <w:t>+</w:t>
            </w:r>
            <w:r>
              <w:rPr>
                <w:rFonts w:hint="eastAsia"/>
                <w:color w:val="auto"/>
                <w:highlight w:val="none"/>
              </w:rPr>
              <w:t>其他项目费</w:t>
            </w:r>
            <w:r>
              <w:rPr>
                <w:color w:val="auto"/>
                <w:highlight w:val="none"/>
              </w:rPr>
              <w:t>+</w:t>
            </w:r>
            <w:r>
              <w:rPr>
                <w:rFonts w:hint="eastAsia"/>
                <w:color w:val="auto"/>
                <w:highlight w:val="none"/>
              </w:rPr>
              <w:t>规</w:t>
            </w:r>
            <w:r>
              <w:rPr>
                <w:rFonts w:hint="eastAsia" w:ascii="宋体" w:hAnsi="宋体"/>
                <w:color w:val="auto"/>
                <w:highlight w:val="none"/>
              </w:rPr>
              <w:t>费</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1CDEB4BE">
            <w:pPr>
              <w:jc w:val="center"/>
              <w:rPr>
                <w:color w:val="auto"/>
                <w:szCs w:val="24"/>
                <w:highlight w:val="none"/>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69A23D3">
            <w:pPr>
              <w:jc w:val="center"/>
              <w:rPr>
                <w:color w:val="auto"/>
                <w:szCs w:val="24"/>
                <w:highlight w:val="none"/>
              </w:rPr>
            </w:pPr>
          </w:p>
        </w:tc>
        <w:tc>
          <w:tcPr>
            <w:tcW w:w="1373" w:type="dxa"/>
            <w:tcBorders>
              <w:top w:val="single" w:color="auto" w:sz="4" w:space="0"/>
              <w:left w:val="single" w:color="auto" w:sz="4" w:space="0"/>
              <w:bottom w:val="single" w:color="auto" w:sz="4" w:space="0"/>
              <w:right w:val="single" w:color="auto" w:sz="6" w:space="0"/>
            </w:tcBorders>
            <w:noWrap w:val="0"/>
            <w:vAlign w:val="center"/>
          </w:tcPr>
          <w:p w14:paraId="042BA4FB">
            <w:pPr>
              <w:jc w:val="center"/>
              <w:rPr>
                <w:color w:val="auto"/>
                <w:szCs w:val="24"/>
                <w:highlight w:val="none"/>
              </w:rPr>
            </w:pPr>
          </w:p>
        </w:tc>
      </w:tr>
      <w:tr w14:paraId="0F77B4F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790" w:type="dxa"/>
            <w:gridSpan w:val="4"/>
            <w:tcBorders>
              <w:top w:val="single" w:color="auto" w:sz="4" w:space="0"/>
              <w:left w:val="single" w:color="auto" w:sz="6" w:space="0"/>
              <w:bottom w:val="single" w:color="auto" w:sz="6" w:space="0"/>
              <w:right w:val="single" w:color="auto" w:sz="4" w:space="0"/>
            </w:tcBorders>
            <w:noWrap w:val="0"/>
            <w:vAlign w:val="center"/>
          </w:tcPr>
          <w:p w14:paraId="7D561EF8">
            <w:pPr>
              <w:jc w:val="center"/>
              <w:rPr>
                <w:color w:val="auto"/>
                <w:szCs w:val="24"/>
                <w:highlight w:val="none"/>
              </w:rPr>
            </w:pPr>
            <w:r>
              <w:rPr>
                <w:rFonts w:hint="eastAsia"/>
                <w:color w:val="auto"/>
                <w:highlight w:val="none"/>
              </w:rPr>
              <w:t>合计</w:t>
            </w:r>
          </w:p>
        </w:tc>
        <w:tc>
          <w:tcPr>
            <w:tcW w:w="1365" w:type="dxa"/>
            <w:tcBorders>
              <w:top w:val="single" w:color="auto" w:sz="4" w:space="0"/>
              <w:left w:val="single" w:color="auto" w:sz="4" w:space="0"/>
              <w:bottom w:val="single" w:color="auto" w:sz="6" w:space="0"/>
              <w:right w:val="single" w:color="auto" w:sz="4" w:space="0"/>
            </w:tcBorders>
            <w:noWrap w:val="0"/>
            <w:vAlign w:val="center"/>
          </w:tcPr>
          <w:p w14:paraId="0CE8E74A">
            <w:pPr>
              <w:jc w:val="center"/>
              <w:rPr>
                <w:color w:val="auto"/>
                <w:szCs w:val="24"/>
                <w:highlight w:val="none"/>
              </w:rPr>
            </w:pPr>
          </w:p>
        </w:tc>
        <w:tc>
          <w:tcPr>
            <w:tcW w:w="1373" w:type="dxa"/>
            <w:tcBorders>
              <w:top w:val="single" w:color="auto" w:sz="4" w:space="0"/>
              <w:left w:val="single" w:color="auto" w:sz="4" w:space="0"/>
              <w:bottom w:val="single" w:color="auto" w:sz="6" w:space="0"/>
              <w:right w:val="single" w:color="auto" w:sz="6" w:space="0"/>
            </w:tcBorders>
            <w:noWrap w:val="0"/>
            <w:vAlign w:val="center"/>
          </w:tcPr>
          <w:p w14:paraId="0806E46F">
            <w:pPr>
              <w:jc w:val="center"/>
              <w:rPr>
                <w:color w:val="auto"/>
                <w:szCs w:val="24"/>
                <w:highlight w:val="none"/>
              </w:rPr>
            </w:pPr>
          </w:p>
        </w:tc>
      </w:tr>
    </w:tbl>
    <w:p w14:paraId="0948D6E5">
      <w:pPr>
        <w:rPr>
          <w:rFonts w:ascii="Times New Roman" w:hAnsi="Times New Roman"/>
          <w:color w:val="auto"/>
          <w:highlight w:val="none"/>
        </w:rPr>
      </w:pPr>
    </w:p>
    <w:p w14:paraId="4F106623">
      <w:pPr>
        <w:rPr>
          <w:color w:val="auto"/>
          <w:highlight w:val="none"/>
        </w:rPr>
      </w:pPr>
    </w:p>
    <w:p w14:paraId="145606B7">
      <w:pPr>
        <w:rPr>
          <w:color w:val="auto"/>
          <w:highlight w:val="none"/>
        </w:rPr>
      </w:pPr>
      <w:r>
        <w:rPr>
          <w:rFonts w:hint="eastAsia"/>
          <w:color w:val="auto"/>
          <w:highlight w:val="none"/>
        </w:rPr>
        <w:t>编制人（造价人员）：</w:t>
      </w:r>
      <w:r>
        <w:rPr>
          <w:color w:val="auto"/>
          <w:highlight w:val="none"/>
        </w:rPr>
        <w:t xml:space="preserve">                           </w:t>
      </w:r>
      <w:r>
        <w:rPr>
          <w:rFonts w:hint="eastAsia"/>
          <w:color w:val="auto"/>
          <w:highlight w:val="none"/>
        </w:rPr>
        <w:t>复核人（造价工程师）：</w:t>
      </w:r>
    </w:p>
    <w:p w14:paraId="1B029D4C">
      <w:pPr>
        <w:rPr>
          <w:color w:val="auto"/>
          <w:highlight w:val="none"/>
        </w:rPr>
      </w:pPr>
    </w:p>
    <w:p w14:paraId="137DD905">
      <w:pPr>
        <w:rPr>
          <w:color w:val="auto"/>
          <w:highlight w:val="none"/>
        </w:rPr>
      </w:pPr>
    </w:p>
    <w:p w14:paraId="249FBF0C">
      <w:pPr>
        <w:widowControl/>
        <w:jc w:val="left"/>
        <w:rPr>
          <w:color w:val="auto"/>
          <w:highlight w:val="none"/>
        </w:rPr>
        <w:sectPr>
          <w:footerReference r:id="rId4" w:type="default"/>
          <w:footerReference r:id="rId5" w:type="even"/>
          <w:pgSz w:w="11907" w:h="16840"/>
          <w:pgMar w:top="1701" w:right="1531" w:bottom="1588" w:left="1474" w:header="851" w:footer="851" w:gutter="0"/>
          <w:pgNumType w:fmt="decimal"/>
          <w:cols w:space="720" w:num="1"/>
        </w:sectPr>
      </w:pPr>
    </w:p>
    <w:p w14:paraId="6543B8D7">
      <w:pPr>
        <w:pStyle w:val="33"/>
        <w:rPr>
          <w:color w:val="auto"/>
          <w:highlight w:val="none"/>
        </w:rPr>
      </w:pPr>
      <w:bookmarkStart w:id="2355" w:name="_Toc521075256"/>
      <w:bookmarkStart w:id="2356" w:name="_Toc521075681"/>
      <w:bookmarkStart w:id="2357" w:name="_Toc19753"/>
      <w:r>
        <w:rPr>
          <w:color w:val="auto"/>
          <w:highlight w:val="none"/>
        </w:rPr>
        <w:t>4.14</w:t>
      </w:r>
      <w:r>
        <w:rPr>
          <w:rFonts w:hint="eastAsia"/>
          <w:color w:val="auto"/>
          <w:highlight w:val="none"/>
        </w:rPr>
        <w:t>发包人提供材料和工程设备一览表</w:t>
      </w:r>
      <w:bookmarkEnd w:id="2355"/>
      <w:bookmarkEnd w:id="2356"/>
      <w:bookmarkEnd w:id="2357"/>
    </w:p>
    <w:p w14:paraId="59A70142">
      <w:pPr>
        <w:rPr>
          <w:color w:val="auto"/>
          <w:szCs w:val="21"/>
          <w:highlight w:val="none"/>
        </w:rPr>
      </w:pPr>
    </w:p>
    <w:p w14:paraId="5995090B">
      <w:pPr>
        <w:rPr>
          <w:color w:val="auto"/>
          <w:szCs w:val="21"/>
          <w:highlight w:val="none"/>
        </w:rPr>
      </w:pPr>
    </w:p>
    <w:p w14:paraId="538C5486">
      <w:pPr>
        <w:jc w:val="center"/>
        <w:rPr>
          <w:rFonts w:ascii="黑体" w:eastAsia="黑体"/>
          <w:color w:val="auto"/>
          <w:sz w:val="28"/>
          <w:szCs w:val="28"/>
          <w:highlight w:val="none"/>
        </w:rPr>
      </w:pPr>
      <w:r>
        <w:rPr>
          <w:rFonts w:hint="eastAsia" w:ascii="黑体" w:eastAsia="黑体"/>
          <w:color w:val="auto"/>
          <w:sz w:val="28"/>
          <w:szCs w:val="28"/>
          <w:highlight w:val="none"/>
        </w:rPr>
        <w:t>发包人提供材料和工程设备一览表</w:t>
      </w:r>
    </w:p>
    <w:p w14:paraId="0FA9AF99">
      <w:pPr>
        <w:jc w:val="center"/>
        <w:rPr>
          <w:rFonts w:hint="eastAsia" w:ascii="Times New Roman"/>
          <w:color w:val="auto"/>
          <w:szCs w:val="21"/>
          <w:highlight w:val="none"/>
        </w:rPr>
      </w:pPr>
    </w:p>
    <w:p w14:paraId="2E10AC98">
      <w:pPr>
        <w:rPr>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980"/>
        <w:gridCol w:w="900"/>
        <w:gridCol w:w="900"/>
        <w:gridCol w:w="846"/>
        <w:gridCol w:w="1355"/>
        <w:gridCol w:w="1579"/>
        <w:gridCol w:w="900"/>
      </w:tblGrid>
      <w:tr w14:paraId="53BFD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5D74845E">
            <w:pPr>
              <w:jc w:val="center"/>
              <w:rPr>
                <w:color w:val="auto"/>
                <w:szCs w:val="21"/>
                <w:highlight w:val="none"/>
              </w:rPr>
            </w:pPr>
            <w:r>
              <w:rPr>
                <w:rFonts w:hint="eastAsia"/>
                <w:color w:val="auto"/>
                <w:szCs w:val="21"/>
                <w:highlight w:val="none"/>
              </w:rPr>
              <w:t>序号</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4F4D0E86">
            <w:pPr>
              <w:jc w:val="center"/>
              <w:rPr>
                <w:color w:val="auto"/>
                <w:szCs w:val="21"/>
                <w:highlight w:val="none"/>
              </w:rPr>
            </w:pPr>
            <w:r>
              <w:rPr>
                <w:rFonts w:hint="eastAsia"/>
                <w:color w:val="auto"/>
                <w:szCs w:val="21"/>
                <w:highlight w:val="none"/>
              </w:rPr>
              <w:t>材料（工程设备）名称、规格、型号</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52011DF">
            <w:pPr>
              <w:jc w:val="center"/>
              <w:rPr>
                <w:color w:val="auto"/>
                <w:szCs w:val="21"/>
                <w:highlight w:val="none"/>
              </w:rPr>
            </w:pPr>
            <w:r>
              <w:rPr>
                <w:rFonts w:hint="eastAsia"/>
                <w:color w:val="auto"/>
                <w:szCs w:val="21"/>
                <w:highlight w:val="none"/>
              </w:rPr>
              <w:t>单位</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B4405DF">
            <w:pPr>
              <w:jc w:val="center"/>
              <w:rPr>
                <w:color w:val="auto"/>
                <w:szCs w:val="21"/>
                <w:highlight w:val="none"/>
              </w:rPr>
            </w:pPr>
            <w:r>
              <w:rPr>
                <w:rFonts w:hint="eastAsia"/>
                <w:color w:val="auto"/>
                <w:szCs w:val="21"/>
                <w:highlight w:val="none"/>
              </w:rPr>
              <w:t>数量</w:t>
            </w:r>
          </w:p>
        </w:tc>
        <w:tc>
          <w:tcPr>
            <w:tcW w:w="846" w:type="dxa"/>
            <w:tcBorders>
              <w:top w:val="single" w:color="auto" w:sz="4" w:space="0"/>
              <w:left w:val="single" w:color="auto" w:sz="4" w:space="0"/>
              <w:bottom w:val="single" w:color="auto" w:sz="4" w:space="0"/>
              <w:right w:val="single" w:color="auto" w:sz="4" w:space="0"/>
            </w:tcBorders>
            <w:noWrap w:val="0"/>
            <w:vAlign w:val="center"/>
          </w:tcPr>
          <w:p w14:paraId="16A007B3">
            <w:pPr>
              <w:jc w:val="center"/>
              <w:rPr>
                <w:color w:val="auto"/>
                <w:szCs w:val="21"/>
                <w:highlight w:val="none"/>
              </w:rPr>
            </w:pPr>
            <w:r>
              <w:rPr>
                <w:rFonts w:hint="eastAsia"/>
                <w:color w:val="auto"/>
                <w:szCs w:val="21"/>
                <w:highlight w:val="none"/>
              </w:rPr>
              <w:t>单价（元）</w:t>
            </w:r>
          </w:p>
        </w:tc>
        <w:tc>
          <w:tcPr>
            <w:tcW w:w="1355" w:type="dxa"/>
            <w:tcBorders>
              <w:top w:val="single" w:color="auto" w:sz="4" w:space="0"/>
              <w:left w:val="single" w:color="auto" w:sz="4" w:space="0"/>
              <w:bottom w:val="single" w:color="auto" w:sz="4" w:space="0"/>
              <w:right w:val="single" w:color="auto" w:sz="4" w:space="0"/>
            </w:tcBorders>
            <w:noWrap w:val="0"/>
            <w:vAlign w:val="center"/>
          </w:tcPr>
          <w:p w14:paraId="6C9EB0D2">
            <w:pPr>
              <w:jc w:val="center"/>
              <w:rPr>
                <w:color w:val="auto"/>
                <w:szCs w:val="21"/>
                <w:highlight w:val="none"/>
              </w:rPr>
            </w:pPr>
            <w:r>
              <w:rPr>
                <w:rFonts w:hint="eastAsia"/>
                <w:color w:val="auto"/>
                <w:szCs w:val="21"/>
                <w:highlight w:val="none"/>
              </w:rPr>
              <w:t>交货</w:t>
            </w:r>
          </w:p>
          <w:p w14:paraId="024FBD7B">
            <w:pPr>
              <w:jc w:val="center"/>
              <w:rPr>
                <w:color w:val="auto"/>
                <w:szCs w:val="21"/>
                <w:highlight w:val="none"/>
              </w:rPr>
            </w:pPr>
            <w:r>
              <w:rPr>
                <w:rFonts w:hint="eastAsia"/>
                <w:color w:val="auto"/>
                <w:szCs w:val="21"/>
                <w:highlight w:val="none"/>
              </w:rPr>
              <w:t>方式</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44DE211">
            <w:pPr>
              <w:jc w:val="center"/>
              <w:rPr>
                <w:color w:val="auto"/>
                <w:szCs w:val="21"/>
                <w:highlight w:val="none"/>
              </w:rPr>
            </w:pPr>
            <w:r>
              <w:rPr>
                <w:rFonts w:hint="eastAsia"/>
                <w:color w:val="auto"/>
                <w:szCs w:val="21"/>
                <w:highlight w:val="none"/>
              </w:rPr>
              <w:t>送达</w:t>
            </w:r>
          </w:p>
          <w:p w14:paraId="4154FC46">
            <w:pPr>
              <w:jc w:val="center"/>
              <w:rPr>
                <w:color w:val="auto"/>
                <w:szCs w:val="21"/>
                <w:highlight w:val="none"/>
              </w:rPr>
            </w:pPr>
            <w:r>
              <w:rPr>
                <w:rFonts w:hint="eastAsia"/>
                <w:color w:val="auto"/>
                <w:szCs w:val="21"/>
                <w:highlight w:val="none"/>
              </w:rPr>
              <w:t>地点</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A891B0B">
            <w:pPr>
              <w:jc w:val="center"/>
              <w:rPr>
                <w:color w:val="auto"/>
                <w:szCs w:val="21"/>
                <w:highlight w:val="none"/>
              </w:rPr>
            </w:pPr>
            <w:r>
              <w:rPr>
                <w:rFonts w:hint="eastAsia"/>
                <w:color w:val="auto"/>
                <w:szCs w:val="21"/>
                <w:highlight w:val="none"/>
              </w:rPr>
              <w:t>备注</w:t>
            </w:r>
          </w:p>
        </w:tc>
      </w:tr>
      <w:tr w14:paraId="32543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691353D7">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17563B24">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729A1ACB">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5CD70538">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63F2B01E">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08162950">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4018FCC">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5564FD1C">
            <w:pPr>
              <w:jc w:val="center"/>
              <w:rPr>
                <w:color w:val="auto"/>
                <w:szCs w:val="21"/>
                <w:highlight w:val="none"/>
              </w:rPr>
            </w:pPr>
          </w:p>
        </w:tc>
      </w:tr>
      <w:tr w14:paraId="55145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1F996E98">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24BD1D19">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1B19E936">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007AA560">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6817328E">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701A742F">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782B5DC">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EC43611">
            <w:pPr>
              <w:jc w:val="center"/>
              <w:rPr>
                <w:color w:val="auto"/>
                <w:szCs w:val="21"/>
                <w:highlight w:val="none"/>
              </w:rPr>
            </w:pPr>
          </w:p>
        </w:tc>
      </w:tr>
      <w:tr w14:paraId="3C15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2082A409">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33E92D5E">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3807DFF">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A677727">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48D5DD0C">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4B355A35">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4791329">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6652A589">
            <w:pPr>
              <w:jc w:val="center"/>
              <w:rPr>
                <w:color w:val="auto"/>
                <w:szCs w:val="21"/>
                <w:highlight w:val="none"/>
              </w:rPr>
            </w:pPr>
          </w:p>
        </w:tc>
      </w:tr>
      <w:tr w14:paraId="6AE5F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57382B36">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15623B86">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00B4A9AE">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51C92C72">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6000B659">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0C6E47DB">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5D1DE2F">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4C45606B">
            <w:pPr>
              <w:jc w:val="center"/>
              <w:rPr>
                <w:color w:val="auto"/>
                <w:szCs w:val="21"/>
                <w:highlight w:val="none"/>
              </w:rPr>
            </w:pPr>
          </w:p>
        </w:tc>
      </w:tr>
      <w:tr w14:paraId="69581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7C60513E">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4311A1E0">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0858CC8">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689812CC">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15AC6E04">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7FD406D8">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7731806">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771C371B">
            <w:pPr>
              <w:jc w:val="center"/>
              <w:rPr>
                <w:color w:val="auto"/>
                <w:szCs w:val="21"/>
                <w:highlight w:val="none"/>
              </w:rPr>
            </w:pPr>
          </w:p>
        </w:tc>
      </w:tr>
      <w:tr w14:paraId="12FDF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634DD885">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12E7BA54">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69D8C7CA">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A2013B7">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00B688EF">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514CE361">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5307695">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11B8E528">
            <w:pPr>
              <w:jc w:val="center"/>
              <w:rPr>
                <w:color w:val="auto"/>
                <w:szCs w:val="21"/>
                <w:highlight w:val="none"/>
              </w:rPr>
            </w:pPr>
          </w:p>
        </w:tc>
      </w:tr>
      <w:tr w14:paraId="73DF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7C817BC7">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23AFAC89">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0ADBD160">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47763E14">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3D90D889">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0FB98F92">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1939238">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977717C">
            <w:pPr>
              <w:jc w:val="center"/>
              <w:rPr>
                <w:color w:val="auto"/>
                <w:szCs w:val="21"/>
                <w:highlight w:val="none"/>
              </w:rPr>
            </w:pPr>
          </w:p>
        </w:tc>
      </w:tr>
      <w:tr w14:paraId="36F9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6E9121C4">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65AC74F3">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3237E11">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08C262FC">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76C9D728">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5F4A2170">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FF28BB8">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79EE05D0">
            <w:pPr>
              <w:jc w:val="center"/>
              <w:rPr>
                <w:color w:val="auto"/>
                <w:szCs w:val="21"/>
                <w:highlight w:val="none"/>
              </w:rPr>
            </w:pPr>
          </w:p>
        </w:tc>
      </w:tr>
      <w:tr w14:paraId="56BA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668AB4CB">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0AE05FC0">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16E78DAF">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CCAF552">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6DA02B3B">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6398D287">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0F56BAE">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911CB1C">
            <w:pPr>
              <w:jc w:val="center"/>
              <w:rPr>
                <w:color w:val="auto"/>
                <w:szCs w:val="21"/>
                <w:highlight w:val="none"/>
              </w:rPr>
            </w:pPr>
          </w:p>
        </w:tc>
      </w:tr>
      <w:tr w14:paraId="62B8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5E63EFF5">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4A4849C8">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75B8A862">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4897402F">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7AE00479">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5ADDA868">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F78F26E">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2A36F78">
            <w:pPr>
              <w:jc w:val="center"/>
              <w:rPr>
                <w:color w:val="auto"/>
                <w:szCs w:val="21"/>
                <w:highlight w:val="none"/>
              </w:rPr>
            </w:pPr>
          </w:p>
        </w:tc>
      </w:tr>
      <w:tr w14:paraId="70124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14:paraId="332F7BE1">
            <w:pPr>
              <w:jc w:val="center"/>
              <w:rPr>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510C0007">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53D099B6">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48E70FEF">
            <w:pPr>
              <w:jc w:val="center"/>
              <w:rPr>
                <w:color w:val="auto"/>
                <w:szCs w:val="21"/>
                <w:highlight w:val="none"/>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274BEC21">
            <w:pPr>
              <w:jc w:val="center"/>
              <w:rPr>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0"/>
            <w:vAlign w:val="center"/>
          </w:tcPr>
          <w:p w14:paraId="5CD1F5EC">
            <w:pPr>
              <w:jc w:val="center"/>
              <w:rPr>
                <w:color w:val="auto"/>
                <w:szCs w:val="21"/>
                <w:highlight w:val="none"/>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5071154">
            <w:pPr>
              <w:jc w:val="center"/>
              <w:rPr>
                <w:color w:val="auto"/>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59094954">
            <w:pPr>
              <w:jc w:val="center"/>
              <w:rPr>
                <w:color w:val="auto"/>
                <w:szCs w:val="21"/>
                <w:highlight w:val="none"/>
              </w:rPr>
            </w:pPr>
          </w:p>
        </w:tc>
      </w:tr>
    </w:tbl>
    <w:p w14:paraId="7186B653">
      <w:pPr>
        <w:rPr>
          <w:rFonts w:ascii="Times New Roman" w:hAnsi="Times New Roman"/>
          <w:color w:val="auto"/>
          <w:szCs w:val="21"/>
          <w:highlight w:val="none"/>
        </w:rPr>
      </w:pPr>
    </w:p>
    <w:p w14:paraId="774985FC">
      <w:pPr>
        <w:rPr>
          <w:color w:val="auto"/>
          <w:szCs w:val="21"/>
          <w:highlight w:val="none"/>
        </w:rPr>
      </w:pPr>
    </w:p>
    <w:p w14:paraId="7A932A35">
      <w:pPr>
        <w:rPr>
          <w:color w:val="auto"/>
          <w:szCs w:val="21"/>
          <w:highlight w:val="none"/>
        </w:rPr>
      </w:pPr>
      <w:r>
        <w:rPr>
          <w:rFonts w:hint="eastAsia"/>
          <w:color w:val="auto"/>
          <w:szCs w:val="21"/>
          <w:highlight w:val="none"/>
        </w:rPr>
        <w:t>注：此表由招标人填写，供投标人在投标报价、确定总承包服务费时参考。</w:t>
      </w:r>
    </w:p>
    <w:p w14:paraId="1D7697DC">
      <w:pPr>
        <w:rPr>
          <w:color w:val="auto"/>
          <w:szCs w:val="21"/>
          <w:highlight w:val="none"/>
        </w:rPr>
      </w:pPr>
    </w:p>
    <w:p w14:paraId="7720256A">
      <w:pPr>
        <w:pStyle w:val="33"/>
        <w:rPr>
          <w:rFonts w:ascii="宋体" w:hAnsi="宋体" w:eastAsia="宋体"/>
          <w:color w:val="auto"/>
          <w:highlight w:val="none"/>
        </w:rPr>
      </w:pPr>
      <w:bookmarkStart w:id="2358" w:name="_Toc30087"/>
      <w:bookmarkStart w:id="2359" w:name="_Toc521075682"/>
      <w:bookmarkStart w:id="2360" w:name="_Toc521075257"/>
      <w:r>
        <w:rPr>
          <w:color w:val="auto"/>
          <w:highlight w:val="none"/>
        </w:rPr>
        <w:t>4.15</w:t>
      </w:r>
      <w:r>
        <w:rPr>
          <w:rFonts w:hint="eastAsia"/>
          <w:color w:val="auto"/>
          <w:highlight w:val="none"/>
        </w:rPr>
        <w:t>承包人提供主要材料和工程设备一览表</w:t>
      </w:r>
      <w:r>
        <w:rPr>
          <w:rFonts w:hint="eastAsia" w:ascii="宋体" w:hAnsi="宋体" w:eastAsia="宋体"/>
          <w:color w:val="auto"/>
          <w:highlight w:val="none"/>
        </w:rPr>
        <w:t>（适用于造价信息差额调整法）</w:t>
      </w:r>
      <w:bookmarkEnd w:id="2358"/>
      <w:bookmarkEnd w:id="2359"/>
      <w:bookmarkEnd w:id="2360"/>
    </w:p>
    <w:p w14:paraId="45A2448D">
      <w:pPr>
        <w:rPr>
          <w:rFonts w:hint="eastAsia" w:ascii="Times New Roman" w:hAnsi="Times New Roman"/>
          <w:color w:val="auto"/>
          <w:szCs w:val="21"/>
          <w:highlight w:val="none"/>
        </w:rPr>
      </w:pPr>
    </w:p>
    <w:p w14:paraId="7EC28080">
      <w:pPr>
        <w:rPr>
          <w:color w:val="auto"/>
          <w:szCs w:val="21"/>
          <w:highlight w:val="none"/>
        </w:rPr>
      </w:pPr>
    </w:p>
    <w:p w14:paraId="13B63A7F">
      <w:pPr>
        <w:jc w:val="center"/>
        <w:rPr>
          <w:rFonts w:ascii="黑体" w:eastAsia="黑体"/>
          <w:color w:val="auto"/>
          <w:sz w:val="28"/>
          <w:szCs w:val="28"/>
          <w:highlight w:val="none"/>
        </w:rPr>
      </w:pPr>
      <w:r>
        <w:rPr>
          <w:rFonts w:hint="eastAsia" w:ascii="黑体" w:eastAsia="黑体"/>
          <w:color w:val="auto"/>
          <w:sz w:val="28"/>
          <w:szCs w:val="28"/>
          <w:highlight w:val="none"/>
        </w:rPr>
        <w:t>承包人提供主要材料和工程设备一览表</w:t>
      </w:r>
    </w:p>
    <w:p w14:paraId="78F9F628">
      <w:pPr>
        <w:jc w:val="center"/>
        <w:rPr>
          <w:rFonts w:hint="eastAsia" w:ascii="Times New Roman"/>
          <w:color w:val="auto"/>
          <w:szCs w:val="21"/>
          <w:highlight w:val="none"/>
        </w:rPr>
      </w:pPr>
    </w:p>
    <w:p w14:paraId="27ECA33D">
      <w:pPr>
        <w:rPr>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1725"/>
        <w:gridCol w:w="649"/>
        <w:gridCol w:w="768"/>
        <w:gridCol w:w="880"/>
        <w:gridCol w:w="929"/>
        <w:gridCol w:w="1374"/>
        <w:gridCol w:w="1551"/>
        <w:gridCol w:w="655"/>
      </w:tblGrid>
      <w:tr w14:paraId="3AB8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614A8641">
            <w:pPr>
              <w:jc w:val="center"/>
              <w:rPr>
                <w:color w:val="auto"/>
                <w:szCs w:val="21"/>
                <w:highlight w:val="none"/>
              </w:rPr>
            </w:pPr>
            <w:r>
              <w:rPr>
                <w:rFonts w:hint="eastAsia"/>
                <w:color w:val="auto"/>
                <w:szCs w:val="21"/>
                <w:highlight w:val="none"/>
              </w:rPr>
              <w:t>序号</w:t>
            </w:r>
          </w:p>
        </w:tc>
        <w:tc>
          <w:tcPr>
            <w:tcW w:w="1725" w:type="dxa"/>
            <w:tcBorders>
              <w:top w:val="single" w:color="auto" w:sz="4" w:space="0"/>
              <w:left w:val="single" w:color="auto" w:sz="4" w:space="0"/>
              <w:bottom w:val="single" w:color="auto" w:sz="4" w:space="0"/>
              <w:right w:val="single" w:color="auto" w:sz="4" w:space="0"/>
            </w:tcBorders>
            <w:noWrap w:val="0"/>
            <w:vAlign w:val="center"/>
          </w:tcPr>
          <w:p w14:paraId="1336A5DE">
            <w:pPr>
              <w:jc w:val="center"/>
              <w:rPr>
                <w:color w:val="auto"/>
                <w:szCs w:val="21"/>
                <w:highlight w:val="none"/>
              </w:rPr>
            </w:pPr>
            <w:r>
              <w:rPr>
                <w:rFonts w:hint="eastAsia"/>
                <w:color w:val="auto"/>
                <w:szCs w:val="21"/>
                <w:highlight w:val="none"/>
              </w:rPr>
              <w:t>名称、规格、型号</w:t>
            </w:r>
          </w:p>
        </w:tc>
        <w:tc>
          <w:tcPr>
            <w:tcW w:w="649" w:type="dxa"/>
            <w:tcBorders>
              <w:top w:val="single" w:color="auto" w:sz="4" w:space="0"/>
              <w:left w:val="single" w:color="auto" w:sz="4" w:space="0"/>
              <w:bottom w:val="single" w:color="auto" w:sz="4" w:space="0"/>
              <w:right w:val="single" w:color="auto" w:sz="4" w:space="0"/>
            </w:tcBorders>
            <w:noWrap w:val="0"/>
            <w:vAlign w:val="center"/>
          </w:tcPr>
          <w:p w14:paraId="67BC0FC2">
            <w:pPr>
              <w:jc w:val="center"/>
              <w:rPr>
                <w:color w:val="auto"/>
                <w:szCs w:val="21"/>
                <w:highlight w:val="none"/>
              </w:rPr>
            </w:pPr>
            <w:r>
              <w:rPr>
                <w:rFonts w:hint="eastAsia"/>
                <w:color w:val="auto"/>
                <w:szCs w:val="21"/>
                <w:highlight w:val="none"/>
              </w:rPr>
              <w:t>单位</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75A7FAF3">
            <w:pPr>
              <w:jc w:val="center"/>
              <w:rPr>
                <w:color w:val="auto"/>
                <w:szCs w:val="21"/>
                <w:highlight w:val="none"/>
              </w:rPr>
            </w:pPr>
            <w:r>
              <w:rPr>
                <w:rFonts w:hint="eastAsia"/>
                <w:color w:val="auto"/>
                <w:szCs w:val="21"/>
                <w:highlight w:val="none"/>
              </w:rPr>
              <w:t>数量</w:t>
            </w:r>
          </w:p>
        </w:tc>
        <w:tc>
          <w:tcPr>
            <w:tcW w:w="880" w:type="dxa"/>
            <w:tcBorders>
              <w:top w:val="single" w:color="auto" w:sz="4" w:space="0"/>
              <w:left w:val="single" w:color="auto" w:sz="4" w:space="0"/>
              <w:bottom w:val="single" w:color="auto" w:sz="4" w:space="0"/>
              <w:right w:val="single" w:color="auto" w:sz="4" w:space="0"/>
            </w:tcBorders>
            <w:noWrap w:val="0"/>
            <w:vAlign w:val="center"/>
          </w:tcPr>
          <w:p w14:paraId="79D62730">
            <w:pPr>
              <w:jc w:val="center"/>
              <w:rPr>
                <w:color w:val="auto"/>
                <w:szCs w:val="21"/>
                <w:highlight w:val="none"/>
              </w:rPr>
            </w:pPr>
            <w:r>
              <w:rPr>
                <w:rFonts w:hint="eastAsia"/>
                <w:color w:val="auto"/>
                <w:szCs w:val="21"/>
                <w:highlight w:val="none"/>
              </w:rPr>
              <w:t>风险</w:t>
            </w:r>
          </w:p>
          <w:p w14:paraId="4873A876">
            <w:pPr>
              <w:jc w:val="center"/>
              <w:rPr>
                <w:color w:val="auto"/>
                <w:szCs w:val="21"/>
                <w:highlight w:val="none"/>
              </w:rPr>
            </w:pPr>
            <w:r>
              <w:rPr>
                <w:rFonts w:hint="eastAsia"/>
                <w:color w:val="auto"/>
                <w:szCs w:val="21"/>
                <w:highlight w:val="none"/>
              </w:rPr>
              <w:t>系数（</w:t>
            </w:r>
            <w:r>
              <w:rPr>
                <w:color w:val="auto"/>
                <w:szCs w:val="21"/>
                <w:highlight w:val="none"/>
              </w:rPr>
              <w:t>%</w:t>
            </w:r>
            <w:r>
              <w:rPr>
                <w:rFonts w:hint="eastAsia"/>
                <w:color w:val="auto"/>
                <w:szCs w:val="21"/>
                <w:highlight w:val="none"/>
              </w:rPr>
              <w:t>）</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13DA2FEA">
            <w:pPr>
              <w:jc w:val="center"/>
              <w:rPr>
                <w:color w:val="auto"/>
                <w:szCs w:val="21"/>
                <w:highlight w:val="none"/>
              </w:rPr>
            </w:pPr>
            <w:r>
              <w:rPr>
                <w:rFonts w:hint="eastAsia"/>
                <w:color w:val="auto"/>
                <w:szCs w:val="21"/>
                <w:highlight w:val="none"/>
              </w:rPr>
              <w:t>基准</w:t>
            </w:r>
          </w:p>
          <w:p w14:paraId="62255477">
            <w:pPr>
              <w:jc w:val="center"/>
              <w:rPr>
                <w:color w:val="auto"/>
                <w:szCs w:val="21"/>
                <w:highlight w:val="none"/>
              </w:rPr>
            </w:pPr>
            <w:r>
              <w:rPr>
                <w:rFonts w:hint="eastAsia"/>
                <w:color w:val="auto"/>
                <w:szCs w:val="21"/>
                <w:highlight w:val="none"/>
              </w:rPr>
              <w:t>单价（元）</w:t>
            </w:r>
          </w:p>
        </w:tc>
        <w:tc>
          <w:tcPr>
            <w:tcW w:w="1374" w:type="dxa"/>
            <w:tcBorders>
              <w:top w:val="single" w:color="auto" w:sz="4" w:space="0"/>
              <w:left w:val="single" w:color="auto" w:sz="4" w:space="0"/>
              <w:bottom w:val="single" w:color="auto" w:sz="4" w:space="0"/>
              <w:right w:val="single" w:color="auto" w:sz="4" w:space="0"/>
            </w:tcBorders>
            <w:noWrap w:val="0"/>
            <w:vAlign w:val="center"/>
          </w:tcPr>
          <w:p w14:paraId="2F920B71">
            <w:pPr>
              <w:jc w:val="center"/>
              <w:rPr>
                <w:color w:val="auto"/>
                <w:szCs w:val="21"/>
                <w:highlight w:val="none"/>
              </w:rPr>
            </w:pPr>
            <w:r>
              <w:rPr>
                <w:rFonts w:hint="eastAsia"/>
                <w:color w:val="auto"/>
                <w:szCs w:val="21"/>
                <w:highlight w:val="none"/>
              </w:rPr>
              <w:t>投标单价（元）</w:t>
            </w:r>
          </w:p>
        </w:tc>
        <w:tc>
          <w:tcPr>
            <w:tcW w:w="1551" w:type="dxa"/>
            <w:tcBorders>
              <w:top w:val="single" w:color="auto" w:sz="4" w:space="0"/>
              <w:left w:val="single" w:color="auto" w:sz="4" w:space="0"/>
              <w:bottom w:val="single" w:color="auto" w:sz="4" w:space="0"/>
              <w:right w:val="single" w:color="auto" w:sz="4" w:space="0"/>
            </w:tcBorders>
            <w:noWrap w:val="0"/>
            <w:vAlign w:val="center"/>
          </w:tcPr>
          <w:p w14:paraId="13C111BC">
            <w:pPr>
              <w:jc w:val="center"/>
              <w:rPr>
                <w:color w:val="auto"/>
                <w:szCs w:val="21"/>
                <w:highlight w:val="none"/>
              </w:rPr>
            </w:pPr>
            <w:r>
              <w:rPr>
                <w:rFonts w:hint="eastAsia"/>
                <w:color w:val="auto"/>
                <w:szCs w:val="21"/>
                <w:highlight w:val="none"/>
              </w:rPr>
              <w:t>发承包人确认单价（元）</w:t>
            </w:r>
          </w:p>
        </w:tc>
        <w:tc>
          <w:tcPr>
            <w:tcW w:w="655" w:type="dxa"/>
            <w:tcBorders>
              <w:top w:val="single" w:color="auto" w:sz="4" w:space="0"/>
              <w:left w:val="single" w:color="auto" w:sz="4" w:space="0"/>
              <w:bottom w:val="single" w:color="auto" w:sz="4" w:space="0"/>
              <w:right w:val="single" w:color="auto" w:sz="4" w:space="0"/>
            </w:tcBorders>
            <w:noWrap w:val="0"/>
            <w:vAlign w:val="center"/>
          </w:tcPr>
          <w:p w14:paraId="0B63A2BA">
            <w:pPr>
              <w:jc w:val="center"/>
              <w:rPr>
                <w:color w:val="auto"/>
                <w:szCs w:val="21"/>
                <w:highlight w:val="none"/>
              </w:rPr>
            </w:pPr>
            <w:r>
              <w:rPr>
                <w:rFonts w:hint="eastAsia"/>
                <w:color w:val="auto"/>
                <w:szCs w:val="21"/>
                <w:highlight w:val="none"/>
              </w:rPr>
              <w:t>备注</w:t>
            </w:r>
          </w:p>
        </w:tc>
      </w:tr>
      <w:tr w14:paraId="5A60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081BF167">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31A3AFF1">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6B2B9456">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71BD74C5">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67D8315B">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5748789A">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5A7438DC">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66CA4120">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03D28865">
            <w:pPr>
              <w:jc w:val="center"/>
              <w:rPr>
                <w:color w:val="auto"/>
                <w:szCs w:val="21"/>
                <w:highlight w:val="none"/>
              </w:rPr>
            </w:pPr>
          </w:p>
        </w:tc>
      </w:tr>
      <w:tr w14:paraId="6AA3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0EB4A6EB">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6DD042C7">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0204CBEE">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6AB5B63A">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68FCAAEE">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35ABB36F">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51D59D53">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1C0BB8A6">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1E20B039">
            <w:pPr>
              <w:jc w:val="center"/>
              <w:rPr>
                <w:color w:val="auto"/>
                <w:szCs w:val="21"/>
                <w:highlight w:val="none"/>
              </w:rPr>
            </w:pPr>
          </w:p>
        </w:tc>
      </w:tr>
      <w:tr w14:paraId="3343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2371E43B">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44FDC95F">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7AF5AC5C">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5AD6F993">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534DBEEC">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7F66AB2D">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732E4FDA">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52F47811">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691A00B2">
            <w:pPr>
              <w:jc w:val="center"/>
              <w:rPr>
                <w:color w:val="auto"/>
                <w:szCs w:val="21"/>
                <w:highlight w:val="none"/>
              </w:rPr>
            </w:pPr>
          </w:p>
        </w:tc>
      </w:tr>
      <w:tr w14:paraId="5D4B4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1379DF42">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46848C2A">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60C2E8C5">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72C51723">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3F216972">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26CA4342">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0B2B1444">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74DDF258">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4E7BBA5A">
            <w:pPr>
              <w:jc w:val="center"/>
              <w:rPr>
                <w:color w:val="auto"/>
                <w:szCs w:val="21"/>
                <w:highlight w:val="none"/>
              </w:rPr>
            </w:pPr>
          </w:p>
        </w:tc>
      </w:tr>
      <w:tr w14:paraId="3D4C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599FCE37">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4B5BA024">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0B9715CB">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6B3EA30E">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5E70255F">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723AE30B">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704CAEDD">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143B51F1">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7A489A9B">
            <w:pPr>
              <w:jc w:val="center"/>
              <w:rPr>
                <w:color w:val="auto"/>
                <w:szCs w:val="21"/>
                <w:highlight w:val="none"/>
              </w:rPr>
            </w:pPr>
          </w:p>
        </w:tc>
      </w:tr>
      <w:tr w14:paraId="1652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71FAB935">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7A164E76">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5FEBAE31">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290F4F2C">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46A294F7">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5DDD52AD">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5C3BF7FB">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0DDC510E">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58FF4D7E">
            <w:pPr>
              <w:jc w:val="center"/>
              <w:rPr>
                <w:color w:val="auto"/>
                <w:szCs w:val="21"/>
                <w:highlight w:val="none"/>
              </w:rPr>
            </w:pPr>
          </w:p>
        </w:tc>
      </w:tr>
      <w:tr w14:paraId="3335B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67BAECBC">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55B24D21">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12BAD897">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4606680B">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3795F7D8">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7ADDC63D">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1DFF28C5">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0B533B28">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54EC8942">
            <w:pPr>
              <w:jc w:val="center"/>
              <w:rPr>
                <w:color w:val="auto"/>
                <w:szCs w:val="21"/>
                <w:highlight w:val="none"/>
              </w:rPr>
            </w:pPr>
          </w:p>
        </w:tc>
      </w:tr>
      <w:tr w14:paraId="41F1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2716E2A7">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0C7456DE">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28995ED2">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439A0524">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45C43771">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7ADDC235">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5B99167D">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69C97CDE">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172AF683">
            <w:pPr>
              <w:jc w:val="center"/>
              <w:rPr>
                <w:color w:val="auto"/>
                <w:szCs w:val="21"/>
                <w:highlight w:val="none"/>
              </w:rPr>
            </w:pPr>
          </w:p>
        </w:tc>
      </w:tr>
      <w:tr w14:paraId="3E749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1920BBDE">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71D28D03">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7D8E5AAD">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54D6D450">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3A8282A7">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736A9E57">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58FD1419">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0D65DD26">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5C72975B">
            <w:pPr>
              <w:jc w:val="center"/>
              <w:rPr>
                <w:color w:val="auto"/>
                <w:szCs w:val="21"/>
                <w:highlight w:val="none"/>
              </w:rPr>
            </w:pPr>
          </w:p>
        </w:tc>
      </w:tr>
      <w:tr w14:paraId="09F89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19E43D2E">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2282EC01">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41FF5451">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1470C9F6">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0D458829">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7615E345">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38F1E821">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31C4F720">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657E5AB5">
            <w:pPr>
              <w:jc w:val="center"/>
              <w:rPr>
                <w:color w:val="auto"/>
                <w:szCs w:val="21"/>
                <w:highlight w:val="none"/>
              </w:rPr>
            </w:pPr>
          </w:p>
        </w:tc>
      </w:tr>
      <w:tr w14:paraId="1296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tcBorders>
              <w:top w:val="single" w:color="auto" w:sz="4" w:space="0"/>
              <w:left w:val="single" w:color="auto" w:sz="4" w:space="0"/>
              <w:bottom w:val="single" w:color="auto" w:sz="4" w:space="0"/>
              <w:right w:val="single" w:color="auto" w:sz="4" w:space="0"/>
            </w:tcBorders>
            <w:noWrap w:val="0"/>
            <w:vAlign w:val="center"/>
          </w:tcPr>
          <w:p w14:paraId="5B53894F">
            <w:pPr>
              <w:jc w:val="center"/>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09C729EA">
            <w:pPr>
              <w:jc w:val="center"/>
              <w:rPr>
                <w:color w:val="auto"/>
                <w:szCs w:val="21"/>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4E94F814">
            <w:pPr>
              <w:jc w:val="center"/>
              <w:rPr>
                <w:color w:val="auto"/>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372B69DE">
            <w:pPr>
              <w:jc w:val="center"/>
              <w:rPr>
                <w:color w:val="auto"/>
                <w:szCs w:val="21"/>
                <w:highlight w:val="none"/>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4382362D">
            <w:pPr>
              <w:jc w:val="center"/>
              <w:rPr>
                <w:color w:val="auto"/>
                <w:szCs w:val="21"/>
                <w:highlight w:val="none"/>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41B112D3">
            <w:pPr>
              <w:jc w:val="center"/>
              <w:rPr>
                <w:color w:val="auto"/>
                <w:szCs w:val="21"/>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4784B948">
            <w:pPr>
              <w:jc w:val="center"/>
              <w:rPr>
                <w:color w:val="auto"/>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041F38E6">
            <w:pPr>
              <w:jc w:val="center"/>
              <w:rPr>
                <w:color w:val="auto"/>
                <w:szCs w:val="21"/>
                <w:highlight w:val="none"/>
              </w:rPr>
            </w:pPr>
          </w:p>
        </w:tc>
        <w:tc>
          <w:tcPr>
            <w:tcW w:w="655" w:type="dxa"/>
            <w:tcBorders>
              <w:top w:val="single" w:color="auto" w:sz="4" w:space="0"/>
              <w:left w:val="single" w:color="auto" w:sz="4" w:space="0"/>
              <w:bottom w:val="single" w:color="auto" w:sz="4" w:space="0"/>
              <w:right w:val="single" w:color="auto" w:sz="4" w:space="0"/>
            </w:tcBorders>
            <w:noWrap w:val="0"/>
            <w:vAlign w:val="center"/>
          </w:tcPr>
          <w:p w14:paraId="325C64B7">
            <w:pPr>
              <w:jc w:val="center"/>
              <w:rPr>
                <w:color w:val="auto"/>
                <w:szCs w:val="21"/>
                <w:highlight w:val="none"/>
              </w:rPr>
            </w:pPr>
          </w:p>
        </w:tc>
      </w:tr>
    </w:tbl>
    <w:p w14:paraId="44EA25E4">
      <w:pPr>
        <w:rPr>
          <w:rFonts w:ascii="Times New Roman" w:hAnsi="Times New Roman"/>
          <w:color w:val="auto"/>
          <w:szCs w:val="21"/>
          <w:highlight w:val="none"/>
        </w:rPr>
      </w:pPr>
    </w:p>
    <w:p w14:paraId="01A13C7B">
      <w:pPr>
        <w:rPr>
          <w:rFonts w:ascii="宋体" w:hAnsi="宋体"/>
          <w:color w:val="auto"/>
          <w:szCs w:val="21"/>
          <w:highlight w:val="none"/>
        </w:rPr>
      </w:pPr>
      <w:r>
        <w:rPr>
          <w:rFonts w:hint="eastAsia" w:ascii="宋体" w:hAnsi="宋体"/>
          <w:color w:val="auto"/>
          <w:szCs w:val="21"/>
          <w:highlight w:val="none"/>
        </w:rPr>
        <w:t>注：1．此表由招标人填写除“投标单价”栏的内容，投标人在投标时自主确定投标单价。</w:t>
      </w:r>
    </w:p>
    <w:p w14:paraId="30326707">
      <w:pPr>
        <w:ind w:left="735" w:hanging="735" w:hangingChars="350"/>
        <w:rPr>
          <w:rFonts w:hint="eastAsia" w:ascii="宋体" w:hAnsi="宋体"/>
          <w:color w:val="auto"/>
          <w:szCs w:val="21"/>
          <w:highlight w:val="none"/>
        </w:rPr>
      </w:pPr>
      <w:r>
        <w:rPr>
          <w:rFonts w:hint="eastAsia" w:ascii="宋体" w:hAnsi="宋体"/>
          <w:color w:val="auto"/>
          <w:szCs w:val="21"/>
          <w:highlight w:val="none"/>
        </w:rPr>
        <w:t xml:space="preserve">    2．招标人应优先采用工程造价管理机构发布的单价作为基准单价，未发布的，通过市场调查确定其基准单价。</w:t>
      </w:r>
    </w:p>
    <w:p w14:paraId="4451C124">
      <w:pPr>
        <w:pStyle w:val="33"/>
        <w:rPr>
          <w:rFonts w:hint="eastAsia" w:ascii="宋体" w:hAnsi="宋体" w:eastAsia="宋体"/>
          <w:color w:val="auto"/>
          <w:highlight w:val="none"/>
        </w:rPr>
      </w:pPr>
      <w:bookmarkStart w:id="2361" w:name="_Toc521075683"/>
      <w:bookmarkStart w:id="2362" w:name="_Toc15402"/>
      <w:bookmarkStart w:id="2363" w:name="_Toc521075258"/>
      <w:r>
        <w:rPr>
          <w:color w:val="auto"/>
          <w:highlight w:val="none"/>
        </w:rPr>
        <w:t>4.16</w:t>
      </w:r>
      <w:r>
        <w:rPr>
          <w:rFonts w:hint="eastAsia"/>
          <w:color w:val="auto"/>
          <w:highlight w:val="none"/>
        </w:rPr>
        <w:t>承包人提供主要材料和工程设备一览表</w:t>
      </w:r>
      <w:r>
        <w:rPr>
          <w:rFonts w:hint="eastAsia" w:ascii="宋体" w:hAnsi="宋体" w:eastAsia="宋体"/>
          <w:color w:val="auto"/>
          <w:highlight w:val="none"/>
        </w:rPr>
        <w:t>（适用于价格指数差额调整法）</w:t>
      </w:r>
      <w:bookmarkEnd w:id="2361"/>
      <w:bookmarkEnd w:id="2362"/>
      <w:bookmarkEnd w:id="2363"/>
    </w:p>
    <w:p w14:paraId="6B974C01">
      <w:pPr>
        <w:rPr>
          <w:rFonts w:hint="eastAsia" w:ascii="Times New Roman" w:hAnsi="Times New Roman"/>
          <w:color w:val="auto"/>
          <w:szCs w:val="21"/>
          <w:highlight w:val="none"/>
        </w:rPr>
      </w:pPr>
    </w:p>
    <w:p w14:paraId="2494BD14">
      <w:pPr>
        <w:rPr>
          <w:color w:val="auto"/>
          <w:szCs w:val="21"/>
          <w:highlight w:val="none"/>
        </w:rPr>
      </w:pPr>
    </w:p>
    <w:p w14:paraId="25710A25">
      <w:pPr>
        <w:jc w:val="center"/>
        <w:rPr>
          <w:rFonts w:ascii="黑体" w:eastAsia="黑体"/>
          <w:color w:val="auto"/>
          <w:sz w:val="28"/>
          <w:szCs w:val="28"/>
          <w:highlight w:val="none"/>
        </w:rPr>
      </w:pPr>
      <w:r>
        <w:rPr>
          <w:rFonts w:hint="eastAsia" w:ascii="黑体" w:eastAsia="黑体"/>
          <w:color w:val="auto"/>
          <w:sz w:val="28"/>
          <w:szCs w:val="28"/>
          <w:highlight w:val="none"/>
        </w:rPr>
        <w:t>承包人提供主要材料和工程设备一览表</w:t>
      </w:r>
    </w:p>
    <w:p w14:paraId="668E691E">
      <w:pPr>
        <w:jc w:val="center"/>
        <w:rPr>
          <w:rFonts w:hint="eastAsia" w:ascii="Times New Roman"/>
          <w:color w:val="auto"/>
          <w:szCs w:val="21"/>
          <w:highlight w:val="none"/>
        </w:rPr>
      </w:pPr>
    </w:p>
    <w:p w14:paraId="215A4DFC">
      <w:pPr>
        <w:rPr>
          <w:color w:val="auto"/>
          <w:szCs w:val="24"/>
          <w:highlight w:val="none"/>
        </w:rPr>
      </w:pPr>
      <w:r>
        <w:rPr>
          <w:rFonts w:hint="eastAsia"/>
          <w:color w:val="auto"/>
          <w:highlight w:val="none"/>
        </w:rPr>
        <w:t>工程名称：</w:t>
      </w:r>
      <w:r>
        <w:rPr>
          <w:color w:val="auto"/>
          <w:highlight w:val="none"/>
        </w:rPr>
        <w:t xml:space="preserve">                        </w:t>
      </w:r>
      <w:r>
        <w:rPr>
          <w:rFonts w:hint="eastAsia"/>
          <w:color w:val="auto"/>
          <w:highlight w:val="none"/>
        </w:rPr>
        <w:t>标段名称：</w:t>
      </w:r>
      <w:r>
        <w:rPr>
          <w:color w:val="auto"/>
          <w:highlight w:val="none"/>
        </w:rPr>
        <w:t xml:space="preserve">                 </w:t>
      </w:r>
      <w:r>
        <w:rPr>
          <w:rFonts w:hint="eastAsia"/>
          <w:color w:val="auto"/>
          <w:highlight w:val="none"/>
        </w:rPr>
        <w:t>第</w:t>
      </w:r>
      <w:r>
        <w:rPr>
          <w:color w:val="auto"/>
          <w:highlight w:val="none"/>
        </w:rPr>
        <w:t xml:space="preserve">  </w:t>
      </w:r>
      <w:r>
        <w:rPr>
          <w:rFonts w:hint="eastAsia"/>
          <w:color w:val="auto"/>
          <w:highlight w:val="none"/>
        </w:rPr>
        <w:t>页</w:t>
      </w:r>
      <w:r>
        <w:rPr>
          <w:color w:val="auto"/>
          <w:highlight w:val="none"/>
        </w:rPr>
        <w:t xml:space="preserve">  </w:t>
      </w:r>
      <w:r>
        <w:rPr>
          <w:rFonts w:hint="eastAsia"/>
          <w:color w:val="auto"/>
          <w:highlight w:val="none"/>
        </w:rPr>
        <w:t>共</w:t>
      </w:r>
      <w:r>
        <w:rPr>
          <w:color w:val="auto"/>
          <w:highlight w:val="none"/>
        </w:rPr>
        <w:t xml:space="preserve">  </w:t>
      </w:r>
      <w:r>
        <w:rPr>
          <w:rFonts w:hint="eastAsia"/>
          <w:color w:val="auto"/>
          <w:highlight w:val="none"/>
        </w:rPr>
        <w:t>页</w:t>
      </w:r>
    </w:p>
    <w:tbl>
      <w:tblPr>
        <w:tblStyle w:val="1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1844"/>
        <w:gridCol w:w="1440"/>
        <w:gridCol w:w="1800"/>
        <w:gridCol w:w="1732"/>
        <w:gridCol w:w="1477"/>
      </w:tblGrid>
      <w:tr w14:paraId="15F8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0EEC507E">
            <w:pPr>
              <w:jc w:val="center"/>
              <w:rPr>
                <w:color w:val="auto"/>
                <w:szCs w:val="21"/>
                <w:highlight w:val="none"/>
              </w:rPr>
            </w:pPr>
            <w:r>
              <w:rPr>
                <w:rFonts w:hint="eastAsia"/>
                <w:color w:val="auto"/>
                <w:szCs w:val="21"/>
                <w:highlight w:val="none"/>
              </w:rPr>
              <w:t>序号</w:t>
            </w:r>
          </w:p>
        </w:tc>
        <w:tc>
          <w:tcPr>
            <w:tcW w:w="1844" w:type="dxa"/>
            <w:tcBorders>
              <w:top w:val="single" w:color="auto" w:sz="4" w:space="0"/>
              <w:left w:val="single" w:color="auto" w:sz="4" w:space="0"/>
              <w:bottom w:val="single" w:color="auto" w:sz="4" w:space="0"/>
              <w:right w:val="single" w:color="auto" w:sz="4" w:space="0"/>
            </w:tcBorders>
            <w:noWrap w:val="0"/>
            <w:vAlign w:val="center"/>
          </w:tcPr>
          <w:p w14:paraId="1878B3DA">
            <w:pPr>
              <w:jc w:val="center"/>
              <w:rPr>
                <w:color w:val="auto"/>
                <w:szCs w:val="21"/>
                <w:highlight w:val="none"/>
              </w:rPr>
            </w:pPr>
            <w:r>
              <w:rPr>
                <w:rFonts w:hint="eastAsia"/>
                <w:color w:val="auto"/>
                <w:szCs w:val="21"/>
                <w:highlight w:val="none"/>
              </w:rPr>
              <w:t>名称、规格、型号</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CBB7797">
            <w:pPr>
              <w:jc w:val="center"/>
              <w:rPr>
                <w:color w:val="auto"/>
                <w:szCs w:val="21"/>
                <w:highlight w:val="none"/>
              </w:rPr>
            </w:pPr>
            <w:r>
              <w:rPr>
                <w:rFonts w:hint="eastAsia"/>
                <w:color w:val="auto"/>
                <w:szCs w:val="21"/>
                <w:highlight w:val="none"/>
              </w:rPr>
              <w:t>变值权重</w:t>
            </w:r>
            <w:r>
              <w:rPr>
                <w:color w:val="auto"/>
                <w:szCs w:val="21"/>
                <w:highlight w:val="none"/>
              </w:rPr>
              <w:t>B</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DDE2BAD">
            <w:pPr>
              <w:jc w:val="center"/>
              <w:rPr>
                <w:color w:val="auto"/>
                <w:szCs w:val="21"/>
                <w:highlight w:val="none"/>
                <w:vertAlign w:val="subscript"/>
              </w:rPr>
            </w:pPr>
            <w:r>
              <w:rPr>
                <w:rFonts w:hint="eastAsia"/>
                <w:color w:val="auto"/>
                <w:szCs w:val="21"/>
                <w:highlight w:val="none"/>
              </w:rPr>
              <w:t>基本价格指数</w:t>
            </w:r>
            <w:r>
              <w:rPr>
                <w:color w:val="auto"/>
                <w:szCs w:val="21"/>
                <w:highlight w:val="none"/>
              </w:rPr>
              <w:t>F</w:t>
            </w:r>
            <w:r>
              <w:rPr>
                <w:color w:val="auto"/>
                <w:szCs w:val="21"/>
                <w:highlight w:val="none"/>
                <w:vertAlign w:val="subscript"/>
              </w:rPr>
              <w:t>0</w:t>
            </w:r>
          </w:p>
        </w:tc>
        <w:tc>
          <w:tcPr>
            <w:tcW w:w="1732" w:type="dxa"/>
            <w:tcBorders>
              <w:top w:val="single" w:color="auto" w:sz="4" w:space="0"/>
              <w:left w:val="single" w:color="auto" w:sz="4" w:space="0"/>
              <w:bottom w:val="single" w:color="auto" w:sz="4" w:space="0"/>
              <w:right w:val="single" w:color="auto" w:sz="4" w:space="0"/>
            </w:tcBorders>
            <w:noWrap w:val="0"/>
            <w:vAlign w:val="center"/>
          </w:tcPr>
          <w:p w14:paraId="72805081">
            <w:pPr>
              <w:jc w:val="center"/>
              <w:rPr>
                <w:color w:val="auto"/>
                <w:szCs w:val="21"/>
                <w:highlight w:val="none"/>
                <w:vertAlign w:val="subscript"/>
              </w:rPr>
            </w:pPr>
            <w:r>
              <w:rPr>
                <w:rFonts w:hint="eastAsia"/>
                <w:color w:val="auto"/>
                <w:szCs w:val="21"/>
                <w:highlight w:val="none"/>
              </w:rPr>
              <w:t>现行价格指数</w:t>
            </w:r>
            <w:r>
              <w:rPr>
                <w:color w:val="auto"/>
                <w:szCs w:val="21"/>
                <w:highlight w:val="none"/>
              </w:rPr>
              <w:t>F</w:t>
            </w:r>
            <w:r>
              <w:rPr>
                <w:color w:val="auto"/>
                <w:szCs w:val="21"/>
                <w:highlight w:val="none"/>
                <w:vertAlign w:val="subscript"/>
              </w:rPr>
              <w:t>t</w:t>
            </w:r>
          </w:p>
        </w:tc>
        <w:tc>
          <w:tcPr>
            <w:tcW w:w="1477" w:type="dxa"/>
            <w:tcBorders>
              <w:top w:val="single" w:color="auto" w:sz="4" w:space="0"/>
              <w:left w:val="single" w:color="auto" w:sz="4" w:space="0"/>
              <w:bottom w:val="single" w:color="auto" w:sz="4" w:space="0"/>
              <w:right w:val="single" w:color="auto" w:sz="4" w:space="0"/>
            </w:tcBorders>
            <w:noWrap w:val="0"/>
            <w:vAlign w:val="center"/>
          </w:tcPr>
          <w:p w14:paraId="00F8407F">
            <w:pPr>
              <w:jc w:val="center"/>
              <w:rPr>
                <w:color w:val="auto"/>
                <w:szCs w:val="21"/>
                <w:highlight w:val="none"/>
              </w:rPr>
            </w:pPr>
            <w:r>
              <w:rPr>
                <w:rFonts w:hint="eastAsia"/>
                <w:color w:val="auto"/>
                <w:szCs w:val="21"/>
                <w:highlight w:val="none"/>
              </w:rPr>
              <w:t>备注</w:t>
            </w:r>
          </w:p>
        </w:tc>
      </w:tr>
      <w:tr w14:paraId="341DC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2404FF2F">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49DD7189">
            <w:pPr>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FA8257D">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529D3939">
            <w:pPr>
              <w:jc w:val="center"/>
              <w:rPr>
                <w:color w:val="auto"/>
                <w:szCs w:val="21"/>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336DFDCC">
            <w:pPr>
              <w:jc w:val="center"/>
              <w:rPr>
                <w:color w:val="auto"/>
                <w:szCs w:val="21"/>
                <w:highlight w:val="none"/>
              </w:rPr>
            </w:pPr>
          </w:p>
        </w:tc>
        <w:tc>
          <w:tcPr>
            <w:tcW w:w="1477" w:type="dxa"/>
            <w:tcBorders>
              <w:top w:val="single" w:color="auto" w:sz="4" w:space="0"/>
              <w:left w:val="single" w:color="auto" w:sz="4" w:space="0"/>
              <w:bottom w:val="single" w:color="auto" w:sz="4" w:space="0"/>
              <w:right w:val="single" w:color="auto" w:sz="4" w:space="0"/>
            </w:tcBorders>
            <w:noWrap w:val="0"/>
            <w:vAlign w:val="center"/>
          </w:tcPr>
          <w:p w14:paraId="39C7ACCA">
            <w:pPr>
              <w:jc w:val="center"/>
              <w:rPr>
                <w:color w:val="auto"/>
                <w:szCs w:val="21"/>
                <w:highlight w:val="none"/>
              </w:rPr>
            </w:pPr>
          </w:p>
        </w:tc>
      </w:tr>
      <w:tr w14:paraId="6916B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3052F5BE">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475A8BEA">
            <w:pPr>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D110601">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B6CDB5F">
            <w:pPr>
              <w:jc w:val="center"/>
              <w:rPr>
                <w:color w:val="auto"/>
                <w:szCs w:val="21"/>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7AAD3F1B">
            <w:pPr>
              <w:jc w:val="center"/>
              <w:rPr>
                <w:color w:val="auto"/>
                <w:szCs w:val="21"/>
                <w:highlight w:val="none"/>
              </w:rPr>
            </w:pPr>
          </w:p>
        </w:tc>
        <w:tc>
          <w:tcPr>
            <w:tcW w:w="1477" w:type="dxa"/>
            <w:tcBorders>
              <w:top w:val="single" w:color="auto" w:sz="4" w:space="0"/>
              <w:left w:val="single" w:color="auto" w:sz="4" w:space="0"/>
              <w:bottom w:val="single" w:color="auto" w:sz="4" w:space="0"/>
              <w:right w:val="single" w:color="auto" w:sz="4" w:space="0"/>
            </w:tcBorders>
            <w:noWrap w:val="0"/>
            <w:vAlign w:val="center"/>
          </w:tcPr>
          <w:p w14:paraId="772D7720">
            <w:pPr>
              <w:jc w:val="center"/>
              <w:rPr>
                <w:color w:val="auto"/>
                <w:szCs w:val="21"/>
                <w:highlight w:val="none"/>
              </w:rPr>
            </w:pPr>
          </w:p>
        </w:tc>
      </w:tr>
      <w:tr w14:paraId="19B0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3E47CE79">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727E30BF">
            <w:pPr>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20352ED">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07F8D01B">
            <w:pPr>
              <w:jc w:val="center"/>
              <w:rPr>
                <w:color w:val="auto"/>
                <w:szCs w:val="21"/>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7B30EC1D">
            <w:pPr>
              <w:jc w:val="center"/>
              <w:rPr>
                <w:color w:val="auto"/>
                <w:szCs w:val="21"/>
                <w:highlight w:val="none"/>
              </w:rPr>
            </w:pPr>
          </w:p>
        </w:tc>
        <w:tc>
          <w:tcPr>
            <w:tcW w:w="1477" w:type="dxa"/>
            <w:tcBorders>
              <w:top w:val="single" w:color="auto" w:sz="4" w:space="0"/>
              <w:left w:val="single" w:color="auto" w:sz="4" w:space="0"/>
              <w:bottom w:val="single" w:color="auto" w:sz="4" w:space="0"/>
              <w:right w:val="single" w:color="auto" w:sz="4" w:space="0"/>
            </w:tcBorders>
            <w:noWrap w:val="0"/>
            <w:vAlign w:val="center"/>
          </w:tcPr>
          <w:p w14:paraId="14052AAD">
            <w:pPr>
              <w:jc w:val="center"/>
              <w:rPr>
                <w:color w:val="auto"/>
                <w:szCs w:val="21"/>
                <w:highlight w:val="none"/>
              </w:rPr>
            </w:pPr>
          </w:p>
        </w:tc>
      </w:tr>
      <w:tr w14:paraId="4D09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64FD72A3">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5A1D5DF1">
            <w:pPr>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7B6A2A9D">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7E7466FE">
            <w:pPr>
              <w:jc w:val="center"/>
              <w:rPr>
                <w:color w:val="auto"/>
                <w:szCs w:val="21"/>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17FEC661">
            <w:pPr>
              <w:jc w:val="center"/>
              <w:rPr>
                <w:color w:val="auto"/>
                <w:szCs w:val="21"/>
                <w:highlight w:val="none"/>
              </w:rPr>
            </w:pPr>
          </w:p>
        </w:tc>
        <w:tc>
          <w:tcPr>
            <w:tcW w:w="1477" w:type="dxa"/>
            <w:tcBorders>
              <w:top w:val="single" w:color="auto" w:sz="4" w:space="0"/>
              <w:left w:val="single" w:color="auto" w:sz="4" w:space="0"/>
              <w:bottom w:val="single" w:color="auto" w:sz="4" w:space="0"/>
              <w:right w:val="single" w:color="auto" w:sz="4" w:space="0"/>
            </w:tcBorders>
            <w:noWrap w:val="0"/>
            <w:vAlign w:val="center"/>
          </w:tcPr>
          <w:p w14:paraId="7B79D79D">
            <w:pPr>
              <w:jc w:val="center"/>
              <w:rPr>
                <w:color w:val="auto"/>
                <w:szCs w:val="21"/>
                <w:highlight w:val="none"/>
              </w:rPr>
            </w:pPr>
          </w:p>
        </w:tc>
      </w:tr>
      <w:tr w14:paraId="1BA7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3FD02CC3">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6E1512C1">
            <w:pPr>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5EBB1296">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083801E0">
            <w:pPr>
              <w:jc w:val="center"/>
              <w:rPr>
                <w:color w:val="auto"/>
                <w:szCs w:val="21"/>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642620DD">
            <w:pPr>
              <w:jc w:val="center"/>
              <w:rPr>
                <w:color w:val="auto"/>
                <w:szCs w:val="21"/>
                <w:highlight w:val="none"/>
              </w:rPr>
            </w:pPr>
          </w:p>
        </w:tc>
        <w:tc>
          <w:tcPr>
            <w:tcW w:w="1477" w:type="dxa"/>
            <w:tcBorders>
              <w:top w:val="single" w:color="auto" w:sz="4" w:space="0"/>
              <w:left w:val="single" w:color="auto" w:sz="4" w:space="0"/>
              <w:bottom w:val="single" w:color="auto" w:sz="4" w:space="0"/>
              <w:right w:val="single" w:color="auto" w:sz="4" w:space="0"/>
            </w:tcBorders>
            <w:noWrap w:val="0"/>
            <w:vAlign w:val="center"/>
          </w:tcPr>
          <w:p w14:paraId="45BD59D6">
            <w:pPr>
              <w:jc w:val="center"/>
              <w:rPr>
                <w:color w:val="auto"/>
                <w:szCs w:val="21"/>
                <w:highlight w:val="none"/>
              </w:rPr>
            </w:pPr>
          </w:p>
        </w:tc>
      </w:tr>
      <w:tr w14:paraId="2B5EA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78C5609C">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46DAA696">
            <w:pPr>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C96233B">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F3B5C38">
            <w:pPr>
              <w:jc w:val="center"/>
              <w:rPr>
                <w:color w:val="auto"/>
                <w:szCs w:val="21"/>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3CBE7604">
            <w:pPr>
              <w:jc w:val="center"/>
              <w:rPr>
                <w:color w:val="auto"/>
                <w:szCs w:val="21"/>
                <w:highlight w:val="none"/>
              </w:rPr>
            </w:pPr>
          </w:p>
        </w:tc>
        <w:tc>
          <w:tcPr>
            <w:tcW w:w="1477" w:type="dxa"/>
            <w:tcBorders>
              <w:top w:val="single" w:color="auto" w:sz="4" w:space="0"/>
              <w:left w:val="single" w:color="auto" w:sz="4" w:space="0"/>
              <w:bottom w:val="single" w:color="auto" w:sz="4" w:space="0"/>
              <w:right w:val="single" w:color="auto" w:sz="4" w:space="0"/>
            </w:tcBorders>
            <w:noWrap w:val="0"/>
            <w:vAlign w:val="center"/>
          </w:tcPr>
          <w:p w14:paraId="235B8BBD">
            <w:pPr>
              <w:jc w:val="center"/>
              <w:rPr>
                <w:color w:val="auto"/>
                <w:szCs w:val="21"/>
                <w:highlight w:val="none"/>
              </w:rPr>
            </w:pPr>
          </w:p>
        </w:tc>
      </w:tr>
      <w:tr w14:paraId="17CE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3F48095C">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6C6EDA8E">
            <w:pPr>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48C193F">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5AA30B2">
            <w:pPr>
              <w:jc w:val="center"/>
              <w:rPr>
                <w:color w:val="auto"/>
                <w:szCs w:val="21"/>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79572ED0">
            <w:pPr>
              <w:jc w:val="center"/>
              <w:rPr>
                <w:color w:val="auto"/>
                <w:szCs w:val="21"/>
                <w:highlight w:val="none"/>
              </w:rPr>
            </w:pPr>
          </w:p>
        </w:tc>
        <w:tc>
          <w:tcPr>
            <w:tcW w:w="1477" w:type="dxa"/>
            <w:tcBorders>
              <w:top w:val="single" w:color="auto" w:sz="4" w:space="0"/>
              <w:left w:val="single" w:color="auto" w:sz="4" w:space="0"/>
              <w:bottom w:val="single" w:color="auto" w:sz="4" w:space="0"/>
              <w:right w:val="single" w:color="auto" w:sz="4" w:space="0"/>
            </w:tcBorders>
            <w:noWrap w:val="0"/>
            <w:vAlign w:val="center"/>
          </w:tcPr>
          <w:p w14:paraId="4A5B0618">
            <w:pPr>
              <w:jc w:val="center"/>
              <w:rPr>
                <w:color w:val="auto"/>
                <w:szCs w:val="21"/>
                <w:highlight w:val="none"/>
              </w:rPr>
            </w:pPr>
          </w:p>
        </w:tc>
      </w:tr>
      <w:tr w14:paraId="29F74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tcBorders>
              <w:top w:val="single" w:color="auto" w:sz="4" w:space="0"/>
              <w:left w:val="single" w:color="auto" w:sz="4" w:space="0"/>
              <w:bottom w:val="single" w:color="auto" w:sz="4" w:space="0"/>
              <w:right w:val="single" w:color="auto" w:sz="4" w:space="0"/>
            </w:tcBorders>
            <w:noWrap w:val="0"/>
            <w:vAlign w:val="center"/>
          </w:tcPr>
          <w:p w14:paraId="49A0F62E">
            <w:pPr>
              <w:jc w:val="center"/>
              <w:rPr>
                <w:color w:val="auto"/>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6F1E39A3">
            <w:pPr>
              <w:jc w:val="center"/>
              <w:rPr>
                <w:color w:val="auto"/>
                <w:szCs w:val="21"/>
                <w:highlight w:val="none"/>
              </w:rPr>
            </w:pPr>
            <w:r>
              <w:rPr>
                <w:rFonts w:hint="eastAsia"/>
                <w:color w:val="auto"/>
                <w:szCs w:val="21"/>
                <w:highlight w:val="none"/>
              </w:rPr>
              <w:t>定值权重</w:t>
            </w:r>
            <w:r>
              <w:rPr>
                <w:color w:val="auto"/>
                <w:szCs w:val="21"/>
                <w:highlight w:val="none"/>
              </w:rPr>
              <w:t>A</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74CEE49B">
            <w:pPr>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71841FE9">
            <w:pPr>
              <w:jc w:val="center"/>
              <w:rPr>
                <w:color w:val="auto"/>
                <w:szCs w:val="21"/>
                <w:highlight w:val="none"/>
              </w:rPr>
            </w:pPr>
            <w:r>
              <w:rPr>
                <w:rFonts w:hint="eastAsia" w:ascii="宋体" w:hAnsi="宋体"/>
                <w:color w:val="auto"/>
                <w:highlight w:val="none"/>
              </w:rPr>
              <w:t>—</w:t>
            </w:r>
          </w:p>
        </w:tc>
        <w:tc>
          <w:tcPr>
            <w:tcW w:w="1732" w:type="dxa"/>
            <w:tcBorders>
              <w:top w:val="single" w:color="auto" w:sz="4" w:space="0"/>
              <w:left w:val="single" w:color="auto" w:sz="4" w:space="0"/>
              <w:bottom w:val="single" w:color="auto" w:sz="4" w:space="0"/>
              <w:right w:val="single" w:color="auto" w:sz="4" w:space="0"/>
            </w:tcBorders>
            <w:noWrap w:val="0"/>
            <w:vAlign w:val="center"/>
          </w:tcPr>
          <w:p w14:paraId="41F5CBDE">
            <w:pPr>
              <w:jc w:val="center"/>
              <w:rPr>
                <w:color w:val="auto"/>
                <w:szCs w:val="21"/>
                <w:highlight w:val="none"/>
              </w:rPr>
            </w:pPr>
            <w:r>
              <w:rPr>
                <w:rFonts w:hint="eastAsia" w:ascii="宋体" w:hAnsi="宋体"/>
                <w:color w:val="auto"/>
                <w:highlight w:val="none"/>
              </w:rPr>
              <w:t>—</w:t>
            </w:r>
          </w:p>
        </w:tc>
        <w:tc>
          <w:tcPr>
            <w:tcW w:w="1477" w:type="dxa"/>
            <w:tcBorders>
              <w:top w:val="single" w:color="auto" w:sz="4" w:space="0"/>
              <w:left w:val="single" w:color="auto" w:sz="4" w:space="0"/>
              <w:bottom w:val="single" w:color="auto" w:sz="4" w:space="0"/>
              <w:right w:val="single" w:color="auto" w:sz="4" w:space="0"/>
            </w:tcBorders>
            <w:noWrap w:val="0"/>
            <w:vAlign w:val="center"/>
          </w:tcPr>
          <w:p w14:paraId="4379BA83">
            <w:pPr>
              <w:jc w:val="center"/>
              <w:rPr>
                <w:color w:val="auto"/>
                <w:szCs w:val="21"/>
                <w:highlight w:val="none"/>
              </w:rPr>
            </w:pPr>
          </w:p>
        </w:tc>
      </w:tr>
      <w:tr w14:paraId="1C29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2448" w:type="dxa"/>
            <w:gridSpan w:val="2"/>
            <w:tcBorders>
              <w:top w:val="single" w:color="auto" w:sz="4" w:space="0"/>
              <w:left w:val="single" w:color="auto" w:sz="4" w:space="0"/>
              <w:bottom w:val="single" w:color="auto" w:sz="4" w:space="0"/>
              <w:right w:val="single" w:color="auto" w:sz="4" w:space="0"/>
            </w:tcBorders>
            <w:noWrap w:val="0"/>
            <w:vAlign w:val="center"/>
          </w:tcPr>
          <w:p w14:paraId="24F9461E">
            <w:pPr>
              <w:jc w:val="center"/>
              <w:rPr>
                <w:color w:val="auto"/>
                <w:szCs w:val="21"/>
                <w:highlight w:val="none"/>
              </w:rPr>
            </w:pPr>
            <w:r>
              <w:rPr>
                <w:rFonts w:hint="eastAsia"/>
                <w:color w:val="auto"/>
                <w:szCs w:val="21"/>
                <w:highlight w:val="none"/>
              </w:rPr>
              <w:t>合计</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5552108D">
            <w:pPr>
              <w:jc w:val="center"/>
              <w:rPr>
                <w:color w:val="auto"/>
                <w:szCs w:val="21"/>
                <w:highlight w:val="none"/>
              </w:rPr>
            </w:pPr>
            <w:r>
              <w:rPr>
                <w:color w:val="auto"/>
                <w:szCs w:val="21"/>
                <w:highlight w:val="none"/>
              </w:rPr>
              <w:t>1</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0454C08">
            <w:pPr>
              <w:jc w:val="center"/>
              <w:rPr>
                <w:color w:val="auto"/>
                <w:szCs w:val="21"/>
                <w:highlight w:val="none"/>
              </w:rPr>
            </w:pPr>
            <w:r>
              <w:rPr>
                <w:rFonts w:hint="eastAsia" w:ascii="宋体" w:hAnsi="宋体"/>
                <w:color w:val="auto"/>
                <w:highlight w:val="none"/>
              </w:rPr>
              <w:t>—</w:t>
            </w:r>
          </w:p>
        </w:tc>
        <w:tc>
          <w:tcPr>
            <w:tcW w:w="1732" w:type="dxa"/>
            <w:tcBorders>
              <w:top w:val="single" w:color="auto" w:sz="4" w:space="0"/>
              <w:left w:val="single" w:color="auto" w:sz="4" w:space="0"/>
              <w:bottom w:val="single" w:color="auto" w:sz="4" w:space="0"/>
              <w:right w:val="single" w:color="auto" w:sz="4" w:space="0"/>
            </w:tcBorders>
            <w:noWrap w:val="0"/>
            <w:vAlign w:val="center"/>
          </w:tcPr>
          <w:p w14:paraId="7E4F6718">
            <w:pPr>
              <w:jc w:val="center"/>
              <w:rPr>
                <w:color w:val="auto"/>
                <w:szCs w:val="21"/>
                <w:highlight w:val="none"/>
              </w:rPr>
            </w:pPr>
            <w:r>
              <w:rPr>
                <w:rFonts w:hint="eastAsia" w:ascii="宋体" w:hAnsi="宋体"/>
                <w:color w:val="auto"/>
                <w:highlight w:val="none"/>
              </w:rPr>
              <w:t>—</w:t>
            </w:r>
          </w:p>
        </w:tc>
        <w:tc>
          <w:tcPr>
            <w:tcW w:w="1477" w:type="dxa"/>
            <w:tcBorders>
              <w:top w:val="single" w:color="auto" w:sz="4" w:space="0"/>
              <w:left w:val="single" w:color="auto" w:sz="4" w:space="0"/>
              <w:bottom w:val="single" w:color="auto" w:sz="4" w:space="0"/>
              <w:right w:val="single" w:color="auto" w:sz="4" w:space="0"/>
            </w:tcBorders>
            <w:noWrap w:val="0"/>
            <w:vAlign w:val="center"/>
          </w:tcPr>
          <w:p w14:paraId="317025F1">
            <w:pPr>
              <w:jc w:val="center"/>
              <w:rPr>
                <w:color w:val="auto"/>
                <w:szCs w:val="21"/>
                <w:highlight w:val="none"/>
              </w:rPr>
            </w:pPr>
          </w:p>
        </w:tc>
      </w:tr>
    </w:tbl>
    <w:p w14:paraId="6D6A2C28">
      <w:pPr>
        <w:rPr>
          <w:color w:val="auto"/>
          <w:szCs w:val="21"/>
          <w:highlight w:val="none"/>
        </w:rPr>
      </w:pPr>
    </w:p>
    <w:p w14:paraId="141839FD">
      <w:pPr>
        <w:ind w:left="840" w:hanging="840" w:hangingChars="400"/>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．“名称、规格、型号”、“</w:t>
      </w:r>
      <w:r>
        <w:rPr>
          <w:color w:val="auto"/>
          <w:szCs w:val="21"/>
          <w:highlight w:val="none"/>
        </w:rPr>
        <w:t xml:space="preserve"> </w:t>
      </w:r>
      <w:r>
        <w:rPr>
          <w:rFonts w:hint="eastAsia"/>
          <w:color w:val="auto"/>
          <w:szCs w:val="21"/>
          <w:highlight w:val="none"/>
        </w:rPr>
        <w:t>基本价格指数”栏由招标人填写，基本价格指数应首先采用工程造价管理机构发布的价格指数，没有时，可用发布的价格代替。如人工、机械也采用本法调整，由招标人在“名称”栏填写。</w:t>
      </w:r>
    </w:p>
    <w:p w14:paraId="0397B28B">
      <w:pPr>
        <w:ind w:left="855" w:leftChars="207" w:hanging="420" w:hangingChars="200"/>
        <w:rPr>
          <w:color w:val="auto"/>
          <w:szCs w:val="21"/>
          <w:highlight w:val="none"/>
        </w:rPr>
      </w:pPr>
      <w:r>
        <w:rPr>
          <w:color w:val="auto"/>
          <w:szCs w:val="21"/>
          <w:highlight w:val="none"/>
        </w:rPr>
        <w:t>2</w:t>
      </w:r>
      <w:r>
        <w:rPr>
          <w:rFonts w:hint="eastAsia"/>
          <w:color w:val="auto"/>
          <w:szCs w:val="21"/>
          <w:highlight w:val="none"/>
        </w:rPr>
        <w:t>．“变值权重”栏由投标人根据该项人工、机械费和材料、工程设备价值在投标总报价中所站比例填写，</w:t>
      </w:r>
      <w:r>
        <w:rPr>
          <w:color w:val="auto"/>
          <w:szCs w:val="21"/>
          <w:highlight w:val="none"/>
        </w:rPr>
        <w:t>1</w:t>
      </w:r>
      <w:r>
        <w:rPr>
          <w:rFonts w:hint="eastAsia"/>
          <w:color w:val="auto"/>
          <w:szCs w:val="21"/>
          <w:highlight w:val="none"/>
        </w:rPr>
        <w:t>减去其比例为定值权重。</w:t>
      </w:r>
    </w:p>
    <w:p w14:paraId="00767E15">
      <w:pPr>
        <w:ind w:left="855" w:leftChars="207" w:hanging="420" w:hangingChars="200"/>
        <w:rPr>
          <w:rFonts w:hint="eastAsia"/>
          <w:color w:val="auto"/>
          <w:szCs w:val="21"/>
          <w:highlight w:val="none"/>
        </w:rPr>
      </w:pPr>
      <w:r>
        <w:rPr>
          <w:color w:val="auto"/>
          <w:szCs w:val="21"/>
          <w:highlight w:val="none"/>
        </w:rPr>
        <w:t>3</w:t>
      </w:r>
      <w:r>
        <w:rPr>
          <w:rFonts w:hint="eastAsia"/>
          <w:color w:val="auto"/>
          <w:szCs w:val="21"/>
          <w:highlight w:val="none"/>
        </w:rPr>
        <w:t>．“现行价格指数”按约定的付款证书相关周期最后一天的前</w:t>
      </w:r>
      <w:r>
        <w:rPr>
          <w:color w:val="auto"/>
          <w:szCs w:val="21"/>
          <w:highlight w:val="none"/>
        </w:rPr>
        <w:t>42</w:t>
      </w:r>
      <w:r>
        <w:rPr>
          <w:rFonts w:hint="eastAsia"/>
          <w:color w:val="auto"/>
          <w:szCs w:val="21"/>
          <w:highlight w:val="none"/>
        </w:rPr>
        <w:t>天的各项价格指数填写，该指数应首先采用工程造价管理机构发布的价格指数，没有时，可用发布的价格代替。</w:t>
      </w:r>
    </w:p>
    <w:p w14:paraId="38D82A39">
      <w:pPr>
        <w:pStyle w:val="2"/>
        <w:pageBreakBefore/>
        <w:spacing w:before="120" w:after="120" w:line="400" w:lineRule="exact"/>
        <w:jc w:val="center"/>
        <w:rPr>
          <w:rFonts w:hint="eastAsia" w:ascii="黑体" w:hAnsi="黑体" w:eastAsia="黑体"/>
          <w:b w:val="0"/>
          <w:bCs w:val="0"/>
          <w:color w:val="auto"/>
          <w:sz w:val="48"/>
          <w:szCs w:val="48"/>
          <w:highlight w:val="none"/>
        </w:rPr>
      </w:pPr>
      <w:bookmarkStart w:id="2364" w:name="_Toc521075684"/>
      <w:bookmarkStart w:id="2365" w:name="_Toc16445"/>
      <w:bookmarkStart w:id="2366" w:name="_Toc521075259"/>
      <w:r>
        <w:rPr>
          <w:rFonts w:hint="eastAsia" w:ascii="黑体" w:hAnsi="黑体" w:eastAsia="黑体"/>
          <w:b w:val="0"/>
          <w:bCs w:val="0"/>
          <w:color w:val="auto"/>
          <w:sz w:val="48"/>
          <w:szCs w:val="48"/>
          <w:highlight w:val="none"/>
        </w:rPr>
        <w:t>第二卷</w:t>
      </w:r>
      <w:bookmarkEnd w:id="2364"/>
      <w:bookmarkEnd w:id="2365"/>
      <w:bookmarkEnd w:id="2366"/>
    </w:p>
    <w:p w14:paraId="3DB2633F">
      <w:pPr>
        <w:pStyle w:val="2"/>
        <w:pageBreakBefore/>
        <w:spacing w:before="120" w:after="120" w:line="400" w:lineRule="exact"/>
        <w:jc w:val="center"/>
        <w:rPr>
          <w:rFonts w:hint="eastAsia" w:ascii="黑体" w:hAnsi="黑体" w:eastAsia="黑体"/>
          <w:b w:val="0"/>
          <w:bCs w:val="0"/>
          <w:color w:val="auto"/>
          <w:sz w:val="32"/>
          <w:highlight w:val="none"/>
        </w:rPr>
      </w:pPr>
      <w:bookmarkStart w:id="2367" w:name="_Toc9855"/>
      <w:bookmarkStart w:id="2368" w:name="_Toc521075685"/>
      <w:bookmarkStart w:id="2369" w:name="_Toc521075260"/>
      <w:r>
        <w:rPr>
          <w:rFonts w:hint="eastAsia" w:ascii="黑体" w:hAnsi="黑体" w:eastAsia="黑体"/>
          <w:b w:val="0"/>
          <w:bCs w:val="0"/>
          <w:color w:val="auto"/>
          <w:sz w:val="32"/>
          <w:highlight w:val="none"/>
        </w:rPr>
        <w:t>第六章  图  纸</w:t>
      </w:r>
      <w:bookmarkEnd w:id="2367"/>
      <w:bookmarkEnd w:id="2368"/>
      <w:bookmarkEnd w:id="2369"/>
    </w:p>
    <w:p w14:paraId="04ECDD64">
      <w:pPr>
        <w:pStyle w:val="31"/>
        <w:rPr>
          <w:rFonts w:hint="eastAsia"/>
          <w:color w:val="auto"/>
          <w:sz w:val="24"/>
          <w:szCs w:val="24"/>
          <w:highlight w:val="none"/>
        </w:rPr>
      </w:pPr>
      <w:bookmarkStart w:id="2370" w:name="_Toc521075686"/>
      <w:bookmarkStart w:id="2371" w:name="_Toc521075261"/>
      <w:bookmarkStart w:id="2372" w:name="_Toc27894"/>
      <w:r>
        <w:rPr>
          <w:rFonts w:hint="eastAsia"/>
          <w:color w:val="auto"/>
          <w:sz w:val="24"/>
          <w:szCs w:val="24"/>
          <w:highlight w:val="none"/>
        </w:rPr>
        <w:t>1．图纸目录</w:t>
      </w:r>
      <w:bookmarkEnd w:id="2370"/>
      <w:bookmarkEnd w:id="2371"/>
      <w:bookmarkEnd w:id="2372"/>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1453"/>
        <w:gridCol w:w="1453"/>
        <w:gridCol w:w="1453"/>
        <w:gridCol w:w="1454"/>
        <w:gridCol w:w="1454"/>
      </w:tblGrid>
      <w:tr w14:paraId="5BD6A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298F15B">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1453" w:type="dxa"/>
            <w:noWrap w:val="0"/>
            <w:vAlign w:val="center"/>
          </w:tcPr>
          <w:p w14:paraId="061FFEB6">
            <w:pPr>
              <w:jc w:val="center"/>
              <w:rPr>
                <w:rFonts w:hint="eastAsia" w:ascii="宋体" w:hAnsi="宋体"/>
                <w:color w:val="auto"/>
                <w:szCs w:val="21"/>
                <w:highlight w:val="none"/>
              </w:rPr>
            </w:pPr>
            <w:r>
              <w:rPr>
                <w:rFonts w:hint="eastAsia" w:ascii="宋体" w:hAnsi="宋体"/>
                <w:color w:val="auto"/>
                <w:szCs w:val="21"/>
                <w:highlight w:val="none"/>
              </w:rPr>
              <w:t>图名</w:t>
            </w:r>
          </w:p>
        </w:tc>
        <w:tc>
          <w:tcPr>
            <w:tcW w:w="1453" w:type="dxa"/>
            <w:noWrap w:val="0"/>
            <w:vAlign w:val="center"/>
          </w:tcPr>
          <w:p w14:paraId="57B4E04F">
            <w:pPr>
              <w:jc w:val="center"/>
              <w:rPr>
                <w:rFonts w:hint="eastAsia" w:ascii="宋体" w:hAnsi="宋体"/>
                <w:color w:val="auto"/>
                <w:szCs w:val="21"/>
                <w:highlight w:val="none"/>
              </w:rPr>
            </w:pPr>
            <w:r>
              <w:rPr>
                <w:rFonts w:hint="eastAsia" w:ascii="宋体" w:hAnsi="宋体"/>
                <w:color w:val="auto"/>
                <w:szCs w:val="21"/>
                <w:highlight w:val="none"/>
              </w:rPr>
              <w:t>图号</w:t>
            </w:r>
          </w:p>
        </w:tc>
        <w:tc>
          <w:tcPr>
            <w:tcW w:w="1453" w:type="dxa"/>
            <w:noWrap w:val="0"/>
            <w:vAlign w:val="center"/>
          </w:tcPr>
          <w:p w14:paraId="7F0891CE">
            <w:pPr>
              <w:jc w:val="center"/>
              <w:rPr>
                <w:rFonts w:hint="eastAsia" w:ascii="宋体" w:hAnsi="宋体"/>
                <w:color w:val="auto"/>
                <w:szCs w:val="21"/>
                <w:highlight w:val="none"/>
              </w:rPr>
            </w:pPr>
            <w:r>
              <w:rPr>
                <w:rFonts w:hint="eastAsia" w:ascii="宋体" w:hAnsi="宋体"/>
                <w:color w:val="auto"/>
                <w:szCs w:val="21"/>
                <w:highlight w:val="none"/>
              </w:rPr>
              <w:t>版本</w:t>
            </w:r>
          </w:p>
        </w:tc>
        <w:tc>
          <w:tcPr>
            <w:tcW w:w="1454" w:type="dxa"/>
            <w:noWrap w:val="0"/>
            <w:vAlign w:val="center"/>
          </w:tcPr>
          <w:p w14:paraId="21B389E2">
            <w:pPr>
              <w:jc w:val="center"/>
              <w:rPr>
                <w:rFonts w:hint="eastAsia" w:ascii="宋体" w:hAnsi="宋体"/>
                <w:color w:val="auto"/>
                <w:szCs w:val="21"/>
                <w:highlight w:val="none"/>
              </w:rPr>
            </w:pPr>
            <w:r>
              <w:rPr>
                <w:rFonts w:hint="eastAsia" w:ascii="宋体" w:hAnsi="宋体"/>
                <w:color w:val="auto"/>
                <w:szCs w:val="21"/>
                <w:highlight w:val="none"/>
              </w:rPr>
              <w:t>出图日期</w:t>
            </w:r>
          </w:p>
        </w:tc>
        <w:tc>
          <w:tcPr>
            <w:tcW w:w="1454" w:type="dxa"/>
            <w:noWrap w:val="0"/>
            <w:vAlign w:val="center"/>
          </w:tcPr>
          <w:p w14:paraId="17EBCDCD">
            <w:pPr>
              <w:jc w:val="center"/>
              <w:rPr>
                <w:rFonts w:hint="eastAsia" w:ascii="宋体" w:hAnsi="宋体"/>
                <w:color w:val="auto"/>
                <w:szCs w:val="21"/>
                <w:highlight w:val="none"/>
              </w:rPr>
            </w:pPr>
            <w:r>
              <w:rPr>
                <w:rFonts w:hint="eastAsia" w:ascii="宋体" w:hAnsi="宋体"/>
                <w:color w:val="auto"/>
                <w:szCs w:val="21"/>
                <w:highlight w:val="none"/>
              </w:rPr>
              <w:t>备注</w:t>
            </w:r>
          </w:p>
        </w:tc>
      </w:tr>
      <w:tr w14:paraId="201A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12C0DBF">
            <w:pPr>
              <w:jc w:val="center"/>
              <w:rPr>
                <w:rFonts w:hint="eastAsia" w:ascii="宋体" w:hAnsi="宋体"/>
                <w:color w:val="auto"/>
                <w:szCs w:val="21"/>
                <w:highlight w:val="none"/>
              </w:rPr>
            </w:pPr>
          </w:p>
        </w:tc>
        <w:tc>
          <w:tcPr>
            <w:tcW w:w="1453" w:type="dxa"/>
            <w:noWrap w:val="0"/>
            <w:vAlign w:val="center"/>
          </w:tcPr>
          <w:p w14:paraId="1C1F6FDB">
            <w:pPr>
              <w:jc w:val="center"/>
              <w:rPr>
                <w:rFonts w:hint="eastAsia" w:ascii="宋体" w:hAnsi="宋体"/>
                <w:color w:val="auto"/>
                <w:szCs w:val="21"/>
                <w:highlight w:val="none"/>
              </w:rPr>
            </w:pPr>
          </w:p>
        </w:tc>
        <w:tc>
          <w:tcPr>
            <w:tcW w:w="1453" w:type="dxa"/>
            <w:noWrap w:val="0"/>
            <w:vAlign w:val="center"/>
          </w:tcPr>
          <w:p w14:paraId="5B9B0AA0">
            <w:pPr>
              <w:jc w:val="center"/>
              <w:rPr>
                <w:rFonts w:hint="eastAsia" w:ascii="宋体" w:hAnsi="宋体"/>
                <w:color w:val="auto"/>
                <w:szCs w:val="21"/>
                <w:highlight w:val="none"/>
              </w:rPr>
            </w:pPr>
          </w:p>
        </w:tc>
        <w:tc>
          <w:tcPr>
            <w:tcW w:w="1453" w:type="dxa"/>
            <w:noWrap w:val="0"/>
            <w:vAlign w:val="center"/>
          </w:tcPr>
          <w:p w14:paraId="44533D52">
            <w:pPr>
              <w:jc w:val="center"/>
              <w:rPr>
                <w:rFonts w:hint="eastAsia" w:ascii="宋体" w:hAnsi="宋体"/>
                <w:color w:val="auto"/>
                <w:szCs w:val="21"/>
                <w:highlight w:val="none"/>
              </w:rPr>
            </w:pPr>
          </w:p>
        </w:tc>
        <w:tc>
          <w:tcPr>
            <w:tcW w:w="1454" w:type="dxa"/>
            <w:noWrap w:val="0"/>
            <w:vAlign w:val="center"/>
          </w:tcPr>
          <w:p w14:paraId="7A122E8E">
            <w:pPr>
              <w:jc w:val="center"/>
              <w:rPr>
                <w:rFonts w:hint="eastAsia" w:ascii="宋体" w:hAnsi="宋体"/>
                <w:color w:val="auto"/>
                <w:szCs w:val="21"/>
                <w:highlight w:val="none"/>
              </w:rPr>
            </w:pPr>
          </w:p>
        </w:tc>
        <w:tc>
          <w:tcPr>
            <w:tcW w:w="1454" w:type="dxa"/>
            <w:noWrap w:val="0"/>
            <w:vAlign w:val="center"/>
          </w:tcPr>
          <w:p w14:paraId="61BBA695">
            <w:pPr>
              <w:jc w:val="center"/>
              <w:rPr>
                <w:rFonts w:hint="eastAsia" w:ascii="宋体" w:hAnsi="宋体"/>
                <w:color w:val="auto"/>
                <w:szCs w:val="21"/>
                <w:highlight w:val="none"/>
              </w:rPr>
            </w:pPr>
          </w:p>
        </w:tc>
      </w:tr>
      <w:tr w14:paraId="7574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7B43257">
            <w:pPr>
              <w:jc w:val="center"/>
              <w:rPr>
                <w:rFonts w:hint="eastAsia" w:ascii="宋体" w:hAnsi="宋体"/>
                <w:color w:val="auto"/>
                <w:szCs w:val="21"/>
                <w:highlight w:val="none"/>
              </w:rPr>
            </w:pPr>
          </w:p>
        </w:tc>
        <w:tc>
          <w:tcPr>
            <w:tcW w:w="1453" w:type="dxa"/>
            <w:noWrap w:val="0"/>
            <w:vAlign w:val="center"/>
          </w:tcPr>
          <w:p w14:paraId="7159B505">
            <w:pPr>
              <w:jc w:val="center"/>
              <w:rPr>
                <w:rFonts w:hint="eastAsia" w:ascii="宋体" w:hAnsi="宋体"/>
                <w:color w:val="auto"/>
                <w:szCs w:val="21"/>
                <w:highlight w:val="none"/>
              </w:rPr>
            </w:pPr>
          </w:p>
        </w:tc>
        <w:tc>
          <w:tcPr>
            <w:tcW w:w="1453" w:type="dxa"/>
            <w:noWrap w:val="0"/>
            <w:vAlign w:val="center"/>
          </w:tcPr>
          <w:p w14:paraId="464C00AC">
            <w:pPr>
              <w:jc w:val="center"/>
              <w:rPr>
                <w:rFonts w:hint="eastAsia" w:ascii="宋体" w:hAnsi="宋体"/>
                <w:color w:val="auto"/>
                <w:szCs w:val="21"/>
                <w:highlight w:val="none"/>
              </w:rPr>
            </w:pPr>
          </w:p>
        </w:tc>
        <w:tc>
          <w:tcPr>
            <w:tcW w:w="1453" w:type="dxa"/>
            <w:noWrap w:val="0"/>
            <w:vAlign w:val="center"/>
          </w:tcPr>
          <w:p w14:paraId="2C4BECC0">
            <w:pPr>
              <w:jc w:val="center"/>
              <w:rPr>
                <w:rFonts w:hint="eastAsia" w:ascii="宋体" w:hAnsi="宋体"/>
                <w:color w:val="auto"/>
                <w:szCs w:val="21"/>
                <w:highlight w:val="none"/>
              </w:rPr>
            </w:pPr>
          </w:p>
        </w:tc>
        <w:tc>
          <w:tcPr>
            <w:tcW w:w="1454" w:type="dxa"/>
            <w:noWrap w:val="0"/>
            <w:vAlign w:val="center"/>
          </w:tcPr>
          <w:p w14:paraId="4EE15354">
            <w:pPr>
              <w:jc w:val="center"/>
              <w:rPr>
                <w:rFonts w:hint="eastAsia" w:ascii="宋体" w:hAnsi="宋体"/>
                <w:color w:val="auto"/>
                <w:szCs w:val="21"/>
                <w:highlight w:val="none"/>
              </w:rPr>
            </w:pPr>
          </w:p>
        </w:tc>
        <w:tc>
          <w:tcPr>
            <w:tcW w:w="1454" w:type="dxa"/>
            <w:noWrap w:val="0"/>
            <w:vAlign w:val="center"/>
          </w:tcPr>
          <w:p w14:paraId="5782EC98">
            <w:pPr>
              <w:jc w:val="center"/>
              <w:rPr>
                <w:rFonts w:hint="eastAsia" w:ascii="宋体" w:hAnsi="宋体"/>
                <w:color w:val="auto"/>
                <w:szCs w:val="21"/>
                <w:highlight w:val="none"/>
              </w:rPr>
            </w:pPr>
          </w:p>
        </w:tc>
      </w:tr>
      <w:tr w14:paraId="1B1EE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60CB444">
            <w:pPr>
              <w:jc w:val="center"/>
              <w:rPr>
                <w:rFonts w:hint="eastAsia" w:ascii="宋体" w:hAnsi="宋体"/>
                <w:color w:val="auto"/>
                <w:szCs w:val="21"/>
                <w:highlight w:val="none"/>
              </w:rPr>
            </w:pPr>
          </w:p>
        </w:tc>
        <w:tc>
          <w:tcPr>
            <w:tcW w:w="1453" w:type="dxa"/>
            <w:noWrap w:val="0"/>
            <w:vAlign w:val="center"/>
          </w:tcPr>
          <w:p w14:paraId="5E617B03">
            <w:pPr>
              <w:jc w:val="center"/>
              <w:rPr>
                <w:rFonts w:hint="eastAsia" w:ascii="宋体" w:hAnsi="宋体"/>
                <w:color w:val="auto"/>
                <w:szCs w:val="21"/>
                <w:highlight w:val="none"/>
              </w:rPr>
            </w:pPr>
          </w:p>
        </w:tc>
        <w:tc>
          <w:tcPr>
            <w:tcW w:w="1453" w:type="dxa"/>
            <w:noWrap w:val="0"/>
            <w:vAlign w:val="center"/>
          </w:tcPr>
          <w:p w14:paraId="6520FE92">
            <w:pPr>
              <w:jc w:val="center"/>
              <w:rPr>
                <w:rFonts w:hint="eastAsia" w:ascii="宋体" w:hAnsi="宋体"/>
                <w:color w:val="auto"/>
                <w:szCs w:val="21"/>
                <w:highlight w:val="none"/>
              </w:rPr>
            </w:pPr>
          </w:p>
        </w:tc>
        <w:tc>
          <w:tcPr>
            <w:tcW w:w="1453" w:type="dxa"/>
            <w:noWrap w:val="0"/>
            <w:vAlign w:val="center"/>
          </w:tcPr>
          <w:p w14:paraId="115A720A">
            <w:pPr>
              <w:jc w:val="center"/>
              <w:rPr>
                <w:rFonts w:hint="eastAsia" w:ascii="宋体" w:hAnsi="宋体"/>
                <w:color w:val="auto"/>
                <w:szCs w:val="21"/>
                <w:highlight w:val="none"/>
              </w:rPr>
            </w:pPr>
          </w:p>
        </w:tc>
        <w:tc>
          <w:tcPr>
            <w:tcW w:w="1454" w:type="dxa"/>
            <w:noWrap w:val="0"/>
            <w:vAlign w:val="center"/>
          </w:tcPr>
          <w:p w14:paraId="2367D11A">
            <w:pPr>
              <w:jc w:val="center"/>
              <w:rPr>
                <w:rFonts w:hint="eastAsia" w:ascii="宋体" w:hAnsi="宋体"/>
                <w:color w:val="auto"/>
                <w:szCs w:val="21"/>
                <w:highlight w:val="none"/>
              </w:rPr>
            </w:pPr>
          </w:p>
        </w:tc>
        <w:tc>
          <w:tcPr>
            <w:tcW w:w="1454" w:type="dxa"/>
            <w:noWrap w:val="0"/>
            <w:vAlign w:val="center"/>
          </w:tcPr>
          <w:p w14:paraId="10C380C5">
            <w:pPr>
              <w:jc w:val="center"/>
              <w:rPr>
                <w:rFonts w:hint="eastAsia" w:ascii="宋体" w:hAnsi="宋体"/>
                <w:color w:val="auto"/>
                <w:szCs w:val="21"/>
                <w:highlight w:val="none"/>
              </w:rPr>
            </w:pPr>
          </w:p>
        </w:tc>
      </w:tr>
      <w:tr w14:paraId="40811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BEAB503">
            <w:pPr>
              <w:jc w:val="center"/>
              <w:rPr>
                <w:rFonts w:hint="eastAsia" w:ascii="宋体" w:hAnsi="宋体"/>
                <w:color w:val="auto"/>
                <w:szCs w:val="21"/>
                <w:highlight w:val="none"/>
              </w:rPr>
            </w:pPr>
          </w:p>
        </w:tc>
        <w:tc>
          <w:tcPr>
            <w:tcW w:w="1453" w:type="dxa"/>
            <w:noWrap w:val="0"/>
            <w:vAlign w:val="center"/>
          </w:tcPr>
          <w:p w14:paraId="544940BB">
            <w:pPr>
              <w:jc w:val="center"/>
              <w:rPr>
                <w:rFonts w:hint="eastAsia" w:ascii="宋体" w:hAnsi="宋体"/>
                <w:color w:val="auto"/>
                <w:szCs w:val="21"/>
                <w:highlight w:val="none"/>
              </w:rPr>
            </w:pPr>
          </w:p>
        </w:tc>
        <w:tc>
          <w:tcPr>
            <w:tcW w:w="1453" w:type="dxa"/>
            <w:noWrap w:val="0"/>
            <w:vAlign w:val="center"/>
          </w:tcPr>
          <w:p w14:paraId="38A2CA4D">
            <w:pPr>
              <w:jc w:val="center"/>
              <w:rPr>
                <w:rFonts w:hint="eastAsia" w:ascii="宋体" w:hAnsi="宋体"/>
                <w:color w:val="auto"/>
                <w:szCs w:val="21"/>
                <w:highlight w:val="none"/>
              </w:rPr>
            </w:pPr>
          </w:p>
        </w:tc>
        <w:tc>
          <w:tcPr>
            <w:tcW w:w="1453" w:type="dxa"/>
            <w:noWrap w:val="0"/>
            <w:vAlign w:val="center"/>
          </w:tcPr>
          <w:p w14:paraId="3E973A13">
            <w:pPr>
              <w:jc w:val="center"/>
              <w:rPr>
                <w:rFonts w:hint="eastAsia" w:ascii="宋体" w:hAnsi="宋体"/>
                <w:color w:val="auto"/>
                <w:szCs w:val="21"/>
                <w:highlight w:val="none"/>
              </w:rPr>
            </w:pPr>
          </w:p>
        </w:tc>
        <w:tc>
          <w:tcPr>
            <w:tcW w:w="1454" w:type="dxa"/>
            <w:noWrap w:val="0"/>
            <w:vAlign w:val="center"/>
          </w:tcPr>
          <w:p w14:paraId="3D34D9FB">
            <w:pPr>
              <w:jc w:val="center"/>
              <w:rPr>
                <w:rFonts w:hint="eastAsia" w:ascii="宋体" w:hAnsi="宋体"/>
                <w:color w:val="auto"/>
                <w:szCs w:val="21"/>
                <w:highlight w:val="none"/>
              </w:rPr>
            </w:pPr>
          </w:p>
        </w:tc>
        <w:tc>
          <w:tcPr>
            <w:tcW w:w="1454" w:type="dxa"/>
            <w:noWrap w:val="0"/>
            <w:vAlign w:val="center"/>
          </w:tcPr>
          <w:p w14:paraId="27CC2568">
            <w:pPr>
              <w:jc w:val="center"/>
              <w:rPr>
                <w:rFonts w:hint="eastAsia" w:ascii="宋体" w:hAnsi="宋体"/>
                <w:color w:val="auto"/>
                <w:szCs w:val="21"/>
                <w:highlight w:val="none"/>
              </w:rPr>
            </w:pPr>
          </w:p>
        </w:tc>
      </w:tr>
      <w:tr w14:paraId="2B53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16185B8">
            <w:pPr>
              <w:jc w:val="center"/>
              <w:rPr>
                <w:rFonts w:hint="eastAsia" w:ascii="宋体" w:hAnsi="宋体"/>
                <w:color w:val="auto"/>
                <w:szCs w:val="21"/>
                <w:highlight w:val="none"/>
              </w:rPr>
            </w:pPr>
          </w:p>
        </w:tc>
        <w:tc>
          <w:tcPr>
            <w:tcW w:w="1453" w:type="dxa"/>
            <w:noWrap w:val="0"/>
            <w:vAlign w:val="center"/>
          </w:tcPr>
          <w:p w14:paraId="7DE90D6B">
            <w:pPr>
              <w:jc w:val="center"/>
              <w:rPr>
                <w:rFonts w:hint="eastAsia" w:ascii="宋体" w:hAnsi="宋体"/>
                <w:color w:val="auto"/>
                <w:szCs w:val="21"/>
                <w:highlight w:val="none"/>
              </w:rPr>
            </w:pPr>
          </w:p>
        </w:tc>
        <w:tc>
          <w:tcPr>
            <w:tcW w:w="1453" w:type="dxa"/>
            <w:noWrap w:val="0"/>
            <w:vAlign w:val="center"/>
          </w:tcPr>
          <w:p w14:paraId="77422385">
            <w:pPr>
              <w:jc w:val="center"/>
              <w:rPr>
                <w:rFonts w:hint="eastAsia" w:ascii="宋体" w:hAnsi="宋体"/>
                <w:color w:val="auto"/>
                <w:szCs w:val="21"/>
                <w:highlight w:val="none"/>
              </w:rPr>
            </w:pPr>
          </w:p>
        </w:tc>
        <w:tc>
          <w:tcPr>
            <w:tcW w:w="1453" w:type="dxa"/>
            <w:noWrap w:val="0"/>
            <w:vAlign w:val="center"/>
          </w:tcPr>
          <w:p w14:paraId="21AFC8F6">
            <w:pPr>
              <w:jc w:val="center"/>
              <w:rPr>
                <w:rFonts w:hint="eastAsia" w:ascii="宋体" w:hAnsi="宋体"/>
                <w:color w:val="auto"/>
                <w:szCs w:val="21"/>
                <w:highlight w:val="none"/>
              </w:rPr>
            </w:pPr>
          </w:p>
        </w:tc>
        <w:tc>
          <w:tcPr>
            <w:tcW w:w="1454" w:type="dxa"/>
            <w:noWrap w:val="0"/>
            <w:vAlign w:val="center"/>
          </w:tcPr>
          <w:p w14:paraId="58D65C48">
            <w:pPr>
              <w:jc w:val="center"/>
              <w:rPr>
                <w:rFonts w:hint="eastAsia" w:ascii="宋体" w:hAnsi="宋体"/>
                <w:color w:val="auto"/>
                <w:szCs w:val="21"/>
                <w:highlight w:val="none"/>
              </w:rPr>
            </w:pPr>
          </w:p>
        </w:tc>
        <w:tc>
          <w:tcPr>
            <w:tcW w:w="1454" w:type="dxa"/>
            <w:noWrap w:val="0"/>
            <w:vAlign w:val="center"/>
          </w:tcPr>
          <w:p w14:paraId="078F2F5B">
            <w:pPr>
              <w:jc w:val="center"/>
              <w:rPr>
                <w:rFonts w:hint="eastAsia" w:ascii="宋体" w:hAnsi="宋体"/>
                <w:color w:val="auto"/>
                <w:szCs w:val="21"/>
                <w:highlight w:val="none"/>
              </w:rPr>
            </w:pPr>
          </w:p>
        </w:tc>
      </w:tr>
      <w:tr w14:paraId="4045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65165F7">
            <w:pPr>
              <w:jc w:val="center"/>
              <w:rPr>
                <w:rFonts w:hint="eastAsia" w:ascii="宋体" w:hAnsi="宋体"/>
                <w:color w:val="auto"/>
                <w:szCs w:val="21"/>
                <w:highlight w:val="none"/>
              </w:rPr>
            </w:pPr>
          </w:p>
        </w:tc>
        <w:tc>
          <w:tcPr>
            <w:tcW w:w="1453" w:type="dxa"/>
            <w:noWrap w:val="0"/>
            <w:vAlign w:val="center"/>
          </w:tcPr>
          <w:p w14:paraId="0CFCCF7A">
            <w:pPr>
              <w:jc w:val="center"/>
              <w:rPr>
                <w:rFonts w:hint="eastAsia" w:ascii="宋体" w:hAnsi="宋体"/>
                <w:color w:val="auto"/>
                <w:szCs w:val="21"/>
                <w:highlight w:val="none"/>
              </w:rPr>
            </w:pPr>
          </w:p>
        </w:tc>
        <w:tc>
          <w:tcPr>
            <w:tcW w:w="1453" w:type="dxa"/>
            <w:noWrap w:val="0"/>
            <w:vAlign w:val="center"/>
          </w:tcPr>
          <w:p w14:paraId="26E77D43">
            <w:pPr>
              <w:jc w:val="center"/>
              <w:rPr>
                <w:rFonts w:hint="eastAsia" w:ascii="宋体" w:hAnsi="宋体"/>
                <w:color w:val="auto"/>
                <w:szCs w:val="21"/>
                <w:highlight w:val="none"/>
              </w:rPr>
            </w:pPr>
          </w:p>
        </w:tc>
        <w:tc>
          <w:tcPr>
            <w:tcW w:w="1453" w:type="dxa"/>
            <w:noWrap w:val="0"/>
            <w:vAlign w:val="center"/>
          </w:tcPr>
          <w:p w14:paraId="70DEA286">
            <w:pPr>
              <w:jc w:val="center"/>
              <w:rPr>
                <w:rFonts w:hint="eastAsia" w:ascii="宋体" w:hAnsi="宋体"/>
                <w:color w:val="auto"/>
                <w:szCs w:val="21"/>
                <w:highlight w:val="none"/>
              </w:rPr>
            </w:pPr>
          </w:p>
        </w:tc>
        <w:tc>
          <w:tcPr>
            <w:tcW w:w="1454" w:type="dxa"/>
            <w:noWrap w:val="0"/>
            <w:vAlign w:val="center"/>
          </w:tcPr>
          <w:p w14:paraId="729C5B91">
            <w:pPr>
              <w:jc w:val="center"/>
              <w:rPr>
                <w:rFonts w:hint="eastAsia" w:ascii="宋体" w:hAnsi="宋体"/>
                <w:color w:val="auto"/>
                <w:szCs w:val="21"/>
                <w:highlight w:val="none"/>
              </w:rPr>
            </w:pPr>
          </w:p>
        </w:tc>
        <w:tc>
          <w:tcPr>
            <w:tcW w:w="1454" w:type="dxa"/>
            <w:noWrap w:val="0"/>
            <w:vAlign w:val="center"/>
          </w:tcPr>
          <w:p w14:paraId="2F77AD88">
            <w:pPr>
              <w:jc w:val="center"/>
              <w:rPr>
                <w:rFonts w:hint="eastAsia" w:ascii="宋体" w:hAnsi="宋体"/>
                <w:color w:val="auto"/>
                <w:szCs w:val="21"/>
                <w:highlight w:val="none"/>
              </w:rPr>
            </w:pPr>
          </w:p>
        </w:tc>
      </w:tr>
      <w:tr w14:paraId="1D506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4C97075">
            <w:pPr>
              <w:jc w:val="center"/>
              <w:rPr>
                <w:rFonts w:hint="eastAsia" w:ascii="宋体" w:hAnsi="宋体"/>
                <w:color w:val="auto"/>
                <w:szCs w:val="21"/>
                <w:highlight w:val="none"/>
              </w:rPr>
            </w:pPr>
          </w:p>
        </w:tc>
        <w:tc>
          <w:tcPr>
            <w:tcW w:w="1453" w:type="dxa"/>
            <w:noWrap w:val="0"/>
            <w:vAlign w:val="center"/>
          </w:tcPr>
          <w:p w14:paraId="248F5D09">
            <w:pPr>
              <w:jc w:val="center"/>
              <w:rPr>
                <w:rFonts w:hint="eastAsia" w:ascii="宋体" w:hAnsi="宋体"/>
                <w:color w:val="auto"/>
                <w:szCs w:val="21"/>
                <w:highlight w:val="none"/>
              </w:rPr>
            </w:pPr>
          </w:p>
        </w:tc>
        <w:tc>
          <w:tcPr>
            <w:tcW w:w="1453" w:type="dxa"/>
            <w:noWrap w:val="0"/>
            <w:vAlign w:val="center"/>
          </w:tcPr>
          <w:p w14:paraId="0315E30C">
            <w:pPr>
              <w:jc w:val="center"/>
              <w:rPr>
                <w:rFonts w:hint="eastAsia" w:ascii="宋体" w:hAnsi="宋体"/>
                <w:color w:val="auto"/>
                <w:szCs w:val="21"/>
                <w:highlight w:val="none"/>
              </w:rPr>
            </w:pPr>
          </w:p>
        </w:tc>
        <w:tc>
          <w:tcPr>
            <w:tcW w:w="1453" w:type="dxa"/>
            <w:noWrap w:val="0"/>
            <w:vAlign w:val="center"/>
          </w:tcPr>
          <w:p w14:paraId="6EFD90DD">
            <w:pPr>
              <w:jc w:val="center"/>
              <w:rPr>
                <w:rFonts w:hint="eastAsia" w:ascii="宋体" w:hAnsi="宋体"/>
                <w:color w:val="auto"/>
                <w:szCs w:val="21"/>
                <w:highlight w:val="none"/>
              </w:rPr>
            </w:pPr>
          </w:p>
        </w:tc>
        <w:tc>
          <w:tcPr>
            <w:tcW w:w="1454" w:type="dxa"/>
            <w:noWrap w:val="0"/>
            <w:vAlign w:val="center"/>
          </w:tcPr>
          <w:p w14:paraId="78B05770">
            <w:pPr>
              <w:jc w:val="center"/>
              <w:rPr>
                <w:rFonts w:hint="eastAsia" w:ascii="宋体" w:hAnsi="宋体"/>
                <w:color w:val="auto"/>
                <w:szCs w:val="21"/>
                <w:highlight w:val="none"/>
              </w:rPr>
            </w:pPr>
          </w:p>
        </w:tc>
        <w:tc>
          <w:tcPr>
            <w:tcW w:w="1454" w:type="dxa"/>
            <w:noWrap w:val="0"/>
            <w:vAlign w:val="center"/>
          </w:tcPr>
          <w:p w14:paraId="2F177CA3">
            <w:pPr>
              <w:jc w:val="center"/>
              <w:rPr>
                <w:rFonts w:hint="eastAsia" w:ascii="宋体" w:hAnsi="宋体"/>
                <w:color w:val="auto"/>
                <w:szCs w:val="21"/>
                <w:highlight w:val="none"/>
              </w:rPr>
            </w:pPr>
          </w:p>
        </w:tc>
      </w:tr>
      <w:tr w14:paraId="33D5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7FD7575">
            <w:pPr>
              <w:jc w:val="center"/>
              <w:rPr>
                <w:rFonts w:hint="eastAsia" w:ascii="宋体" w:hAnsi="宋体"/>
                <w:color w:val="auto"/>
                <w:szCs w:val="21"/>
                <w:highlight w:val="none"/>
              </w:rPr>
            </w:pPr>
          </w:p>
        </w:tc>
        <w:tc>
          <w:tcPr>
            <w:tcW w:w="1453" w:type="dxa"/>
            <w:noWrap w:val="0"/>
            <w:vAlign w:val="center"/>
          </w:tcPr>
          <w:p w14:paraId="4D508E86">
            <w:pPr>
              <w:jc w:val="center"/>
              <w:rPr>
                <w:rFonts w:hint="eastAsia" w:ascii="宋体" w:hAnsi="宋体"/>
                <w:color w:val="auto"/>
                <w:szCs w:val="21"/>
                <w:highlight w:val="none"/>
              </w:rPr>
            </w:pPr>
          </w:p>
        </w:tc>
        <w:tc>
          <w:tcPr>
            <w:tcW w:w="1453" w:type="dxa"/>
            <w:noWrap w:val="0"/>
            <w:vAlign w:val="center"/>
          </w:tcPr>
          <w:p w14:paraId="13ECC77E">
            <w:pPr>
              <w:jc w:val="center"/>
              <w:rPr>
                <w:rFonts w:hint="eastAsia" w:ascii="宋体" w:hAnsi="宋体"/>
                <w:color w:val="auto"/>
                <w:szCs w:val="21"/>
                <w:highlight w:val="none"/>
              </w:rPr>
            </w:pPr>
          </w:p>
        </w:tc>
        <w:tc>
          <w:tcPr>
            <w:tcW w:w="1453" w:type="dxa"/>
            <w:noWrap w:val="0"/>
            <w:vAlign w:val="center"/>
          </w:tcPr>
          <w:p w14:paraId="66F1B19C">
            <w:pPr>
              <w:jc w:val="center"/>
              <w:rPr>
                <w:rFonts w:hint="eastAsia" w:ascii="宋体" w:hAnsi="宋体"/>
                <w:color w:val="auto"/>
                <w:szCs w:val="21"/>
                <w:highlight w:val="none"/>
              </w:rPr>
            </w:pPr>
          </w:p>
        </w:tc>
        <w:tc>
          <w:tcPr>
            <w:tcW w:w="1454" w:type="dxa"/>
            <w:noWrap w:val="0"/>
            <w:vAlign w:val="center"/>
          </w:tcPr>
          <w:p w14:paraId="4F65AABD">
            <w:pPr>
              <w:jc w:val="center"/>
              <w:rPr>
                <w:rFonts w:hint="eastAsia" w:ascii="宋体" w:hAnsi="宋体"/>
                <w:color w:val="auto"/>
                <w:szCs w:val="21"/>
                <w:highlight w:val="none"/>
              </w:rPr>
            </w:pPr>
          </w:p>
        </w:tc>
        <w:tc>
          <w:tcPr>
            <w:tcW w:w="1454" w:type="dxa"/>
            <w:noWrap w:val="0"/>
            <w:vAlign w:val="center"/>
          </w:tcPr>
          <w:p w14:paraId="10FD7A76">
            <w:pPr>
              <w:jc w:val="center"/>
              <w:rPr>
                <w:rFonts w:hint="eastAsia" w:ascii="宋体" w:hAnsi="宋体"/>
                <w:color w:val="auto"/>
                <w:szCs w:val="21"/>
                <w:highlight w:val="none"/>
              </w:rPr>
            </w:pPr>
          </w:p>
        </w:tc>
      </w:tr>
      <w:tr w14:paraId="1969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BADB163">
            <w:pPr>
              <w:jc w:val="center"/>
              <w:rPr>
                <w:rFonts w:hint="eastAsia" w:ascii="宋体" w:hAnsi="宋体"/>
                <w:color w:val="auto"/>
                <w:szCs w:val="21"/>
                <w:highlight w:val="none"/>
              </w:rPr>
            </w:pPr>
          </w:p>
        </w:tc>
        <w:tc>
          <w:tcPr>
            <w:tcW w:w="1453" w:type="dxa"/>
            <w:noWrap w:val="0"/>
            <w:vAlign w:val="center"/>
          </w:tcPr>
          <w:p w14:paraId="482700C3">
            <w:pPr>
              <w:jc w:val="center"/>
              <w:rPr>
                <w:rFonts w:hint="eastAsia" w:ascii="宋体" w:hAnsi="宋体"/>
                <w:color w:val="auto"/>
                <w:szCs w:val="21"/>
                <w:highlight w:val="none"/>
              </w:rPr>
            </w:pPr>
          </w:p>
        </w:tc>
        <w:tc>
          <w:tcPr>
            <w:tcW w:w="1453" w:type="dxa"/>
            <w:noWrap w:val="0"/>
            <w:vAlign w:val="center"/>
          </w:tcPr>
          <w:p w14:paraId="0488FFBE">
            <w:pPr>
              <w:jc w:val="center"/>
              <w:rPr>
                <w:rFonts w:hint="eastAsia" w:ascii="宋体" w:hAnsi="宋体"/>
                <w:color w:val="auto"/>
                <w:szCs w:val="21"/>
                <w:highlight w:val="none"/>
              </w:rPr>
            </w:pPr>
          </w:p>
        </w:tc>
        <w:tc>
          <w:tcPr>
            <w:tcW w:w="1453" w:type="dxa"/>
            <w:noWrap w:val="0"/>
            <w:vAlign w:val="center"/>
          </w:tcPr>
          <w:p w14:paraId="357AD531">
            <w:pPr>
              <w:jc w:val="center"/>
              <w:rPr>
                <w:rFonts w:hint="eastAsia" w:ascii="宋体" w:hAnsi="宋体"/>
                <w:color w:val="auto"/>
                <w:szCs w:val="21"/>
                <w:highlight w:val="none"/>
              </w:rPr>
            </w:pPr>
          </w:p>
        </w:tc>
        <w:tc>
          <w:tcPr>
            <w:tcW w:w="1454" w:type="dxa"/>
            <w:noWrap w:val="0"/>
            <w:vAlign w:val="center"/>
          </w:tcPr>
          <w:p w14:paraId="701D2F11">
            <w:pPr>
              <w:jc w:val="center"/>
              <w:rPr>
                <w:rFonts w:hint="eastAsia" w:ascii="宋体" w:hAnsi="宋体"/>
                <w:color w:val="auto"/>
                <w:szCs w:val="21"/>
                <w:highlight w:val="none"/>
              </w:rPr>
            </w:pPr>
          </w:p>
        </w:tc>
        <w:tc>
          <w:tcPr>
            <w:tcW w:w="1454" w:type="dxa"/>
            <w:noWrap w:val="0"/>
            <w:vAlign w:val="center"/>
          </w:tcPr>
          <w:p w14:paraId="5AD4915A">
            <w:pPr>
              <w:jc w:val="center"/>
              <w:rPr>
                <w:rFonts w:hint="eastAsia" w:ascii="宋体" w:hAnsi="宋体"/>
                <w:color w:val="auto"/>
                <w:szCs w:val="21"/>
                <w:highlight w:val="none"/>
              </w:rPr>
            </w:pPr>
          </w:p>
        </w:tc>
      </w:tr>
      <w:tr w14:paraId="39B8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324B128C">
            <w:pPr>
              <w:jc w:val="center"/>
              <w:rPr>
                <w:rFonts w:hint="eastAsia" w:ascii="宋体" w:hAnsi="宋体"/>
                <w:color w:val="auto"/>
                <w:szCs w:val="21"/>
                <w:highlight w:val="none"/>
              </w:rPr>
            </w:pPr>
          </w:p>
        </w:tc>
        <w:tc>
          <w:tcPr>
            <w:tcW w:w="1453" w:type="dxa"/>
            <w:noWrap w:val="0"/>
            <w:vAlign w:val="center"/>
          </w:tcPr>
          <w:p w14:paraId="5E8E95BE">
            <w:pPr>
              <w:jc w:val="center"/>
              <w:rPr>
                <w:rFonts w:hint="eastAsia" w:ascii="宋体" w:hAnsi="宋体"/>
                <w:color w:val="auto"/>
                <w:szCs w:val="21"/>
                <w:highlight w:val="none"/>
              </w:rPr>
            </w:pPr>
          </w:p>
        </w:tc>
        <w:tc>
          <w:tcPr>
            <w:tcW w:w="1453" w:type="dxa"/>
            <w:noWrap w:val="0"/>
            <w:vAlign w:val="center"/>
          </w:tcPr>
          <w:p w14:paraId="49E09441">
            <w:pPr>
              <w:jc w:val="center"/>
              <w:rPr>
                <w:rFonts w:hint="eastAsia" w:ascii="宋体" w:hAnsi="宋体"/>
                <w:color w:val="auto"/>
                <w:szCs w:val="21"/>
                <w:highlight w:val="none"/>
              </w:rPr>
            </w:pPr>
          </w:p>
        </w:tc>
        <w:tc>
          <w:tcPr>
            <w:tcW w:w="1453" w:type="dxa"/>
            <w:noWrap w:val="0"/>
            <w:vAlign w:val="center"/>
          </w:tcPr>
          <w:p w14:paraId="51E41372">
            <w:pPr>
              <w:jc w:val="center"/>
              <w:rPr>
                <w:rFonts w:hint="eastAsia" w:ascii="宋体" w:hAnsi="宋体"/>
                <w:color w:val="auto"/>
                <w:szCs w:val="21"/>
                <w:highlight w:val="none"/>
              </w:rPr>
            </w:pPr>
          </w:p>
        </w:tc>
        <w:tc>
          <w:tcPr>
            <w:tcW w:w="1454" w:type="dxa"/>
            <w:noWrap w:val="0"/>
            <w:vAlign w:val="center"/>
          </w:tcPr>
          <w:p w14:paraId="43535868">
            <w:pPr>
              <w:jc w:val="center"/>
              <w:rPr>
                <w:rFonts w:hint="eastAsia" w:ascii="宋体" w:hAnsi="宋体"/>
                <w:color w:val="auto"/>
                <w:szCs w:val="21"/>
                <w:highlight w:val="none"/>
              </w:rPr>
            </w:pPr>
          </w:p>
        </w:tc>
        <w:tc>
          <w:tcPr>
            <w:tcW w:w="1454" w:type="dxa"/>
            <w:noWrap w:val="0"/>
            <w:vAlign w:val="center"/>
          </w:tcPr>
          <w:p w14:paraId="3E389AA7">
            <w:pPr>
              <w:jc w:val="center"/>
              <w:rPr>
                <w:rFonts w:hint="eastAsia" w:ascii="宋体" w:hAnsi="宋体"/>
                <w:color w:val="auto"/>
                <w:szCs w:val="21"/>
                <w:highlight w:val="none"/>
              </w:rPr>
            </w:pPr>
          </w:p>
        </w:tc>
      </w:tr>
      <w:tr w14:paraId="7121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3CDBECD">
            <w:pPr>
              <w:jc w:val="center"/>
              <w:rPr>
                <w:rFonts w:hint="eastAsia" w:ascii="宋体" w:hAnsi="宋体"/>
                <w:color w:val="auto"/>
                <w:szCs w:val="21"/>
                <w:highlight w:val="none"/>
              </w:rPr>
            </w:pPr>
          </w:p>
        </w:tc>
        <w:tc>
          <w:tcPr>
            <w:tcW w:w="1453" w:type="dxa"/>
            <w:noWrap w:val="0"/>
            <w:vAlign w:val="center"/>
          </w:tcPr>
          <w:p w14:paraId="1596C1D4">
            <w:pPr>
              <w:jc w:val="center"/>
              <w:rPr>
                <w:rFonts w:hint="eastAsia" w:ascii="宋体" w:hAnsi="宋体"/>
                <w:color w:val="auto"/>
                <w:szCs w:val="21"/>
                <w:highlight w:val="none"/>
              </w:rPr>
            </w:pPr>
          </w:p>
        </w:tc>
        <w:tc>
          <w:tcPr>
            <w:tcW w:w="1453" w:type="dxa"/>
            <w:noWrap w:val="0"/>
            <w:vAlign w:val="center"/>
          </w:tcPr>
          <w:p w14:paraId="2959F164">
            <w:pPr>
              <w:jc w:val="center"/>
              <w:rPr>
                <w:rFonts w:hint="eastAsia" w:ascii="宋体" w:hAnsi="宋体"/>
                <w:color w:val="auto"/>
                <w:szCs w:val="21"/>
                <w:highlight w:val="none"/>
              </w:rPr>
            </w:pPr>
          </w:p>
        </w:tc>
        <w:tc>
          <w:tcPr>
            <w:tcW w:w="1453" w:type="dxa"/>
            <w:noWrap w:val="0"/>
            <w:vAlign w:val="center"/>
          </w:tcPr>
          <w:p w14:paraId="3619DF7F">
            <w:pPr>
              <w:jc w:val="center"/>
              <w:rPr>
                <w:rFonts w:hint="eastAsia" w:ascii="宋体" w:hAnsi="宋体"/>
                <w:color w:val="auto"/>
                <w:szCs w:val="21"/>
                <w:highlight w:val="none"/>
              </w:rPr>
            </w:pPr>
          </w:p>
        </w:tc>
        <w:tc>
          <w:tcPr>
            <w:tcW w:w="1454" w:type="dxa"/>
            <w:noWrap w:val="0"/>
            <w:vAlign w:val="center"/>
          </w:tcPr>
          <w:p w14:paraId="27AB3068">
            <w:pPr>
              <w:jc w:val="center"/>
              <w:rPr>
                <w:rFonts w:hint="eastAsia" w:ascii="宋体" w:hAnsi="宋体"/>
                <w:color w:val="auto"/>
                <w:szCs w:val="21"/>
                <w:highlight w:val="none"/>
              </w:rPr>
            </w:pPr>
          </w:p>
        </w:tc>
        <w:tc>
          <w:tcPr>
            <w:tcW w:w="1454" w:type="dxa"/>
            <w:noWrap w:val="0"/>
            <w:vAlign w:val="center"/>
          </w:tcPr>
          <w:p w14:paraId="5A7B17D7">
            <w:pPr>
              <w:jc w:val="center"/>
              <w:rPr>
                <w:rFonts w:hint="eastAsia" w:ascii="宋体" w:hAnsi="宋体"/>
                <w:color w:val="auto"/>
                <w:szCs w:val="21"/>
                <w:highlight w:val="none"/>
              </w:rPr>
            </w:pPr>
          </w:p>
        </w:tc>
      </w:tr>
      <w:tr w14:paraId="6C1F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BF3435F">
            <w:pPr>
              <w:jc w:val="center"/>
              <w:rPr>
                <w:rFonts w:hint="eastAsia" w:ascii="宋体" w:hAnsi="宋体"/>
                <w:color w:val="auto"/>
                <w:szCs w:val="21"/>
                <w:highlight w:val="none"/>
              </w:rPr>
            </w:pPr>
          </w:p>
        </w:tc>
        <w:tc>
          <w:tcPr>
            <w:tcW w:w="1453" w:type="dxa"/>
            <w:noWrap w:val="0"/>
            <w:vAlign w:val="center"/>
          </w:tcPr>
          <w:p w14:paraId="02FA2875">
            <w:pPr>
              <w:jc w:val="center"/>
              <w:rPr>
                <w:rFonts w:hint="eastAsia" w:ascii="宋体" w:hAnsi="宋体"/>
                <w:color w:val="auto"/>
                <w:szCs w:val="21"/>
                <w:highlight w:val="none"/>
              </w:rPr>
            </w:pPr>
          </w:p>
        </w:tc>
        <w:tc>
          <w:tcPr>
            <w:tcW w:w="1453" w:type="dxa"/>
            <w:noWrap w:val="0"/>
            <w:vAlign w:val="center"/>
          </w:tcPr>
          <w:p w14:paraId="693650A0">
            <w:pPr>
              <w:jc w:val="center"/>
              <w:rPr>
                <w:rFonts w:hint="eastAsia" w:ascii="宋体" w:hAnsi="宋体"/>
                <w:color w:val="auto"/>
                <w:szCs w:val="21"/>
                <w:highlight w:val="none"/>
              </w:rPr>
            </w:pPr>
          </w:p>
        </w:tc>
        <w:tc>
          <w:tcPr>
            <w:tcW w:w="1453" w:type="dxa"/>
            <w:noWrap w:val="0"/>
            <w:vAlign w:val="center"/>
          </w:tcPr>
          <w:p w14:paraId="7B568FC6">
            <w:pPr>
              <w:jc w:val="center"/>
              <w:rPr>
                <w:rFonts w:hint="eastAsia" w:ascii="宋体" w:hAnsi="宋体"/>
                <w:color w:val="auto"/>
                <w:szCs w:val="21"/>
                <w:highlight w:val="none"/>
              </w:rPr>
            </w:pPr>
          </w:p>
        </w:tc>
        <w:tc>
          <w:tcPr>
            <w:tcW w:w="1454" w:type="dxa"/>
            <w:noWrap w:val="0"/>
            <w:vAlign w:val="center"/>
          </w:tcPr>
          <w:p w14:paraId="13D9AE63">
            <w:pPr>
              <w:jc w:val="center"/>
              <w:rPr>
                <w:rFonts w:hint="eastAsia" w:ascii="宋体" w:hAnsi="宋体"/>
                <w:color w:val="auto"/>
                <w:szCs w:val="21"/>
                <w:highlight w:val="none"/>
              </w:rPr>
            </w:pPr>
          </w:p>
        </w:tc>
        <w:tc>
          <w:tcPr>
            <w:tcW w:w="1454" w:type="dxa"/>
            <w:noWrap w:val="0"/>
            <w:vAlign w:val="center"/>
          </w:tcPr>
          <w:p w14:paraId="1F9CA602">
            <w:pPr>
              <w:jc w:val="center"/>
              <w:rPr>
                <w:rFonts w:hint="eastAsia" w:ascii="宋体" w:hAnsi="宋体"/>
                <w:color w:val="auto"/>
                <w:szCs w:val="21"/>
                <w:highlight w:val="none"/>
              </w:rPr>
            </w:pPr>
          </w:p>
        </w:tc>
      </w:tr>
      <w:tr w14:paraId="7114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2DB3A6B">
            <w:pPr>
              <w:jc w:val="center"/>
              <w:rPr>
                <w:rFonts w:hint="eastAsia" w:ascii="宋体" w:hAnsi="宋体"/>
                <w:color w:val="auto"/>
                <w:szCs w:val="21"/>
                <w:highlight w:val="none"/>
              </w:rPr>
            </w:pPr>
          </w:p>
        </w:tc>
        <w:tc>
          <w:tcPr>
            <w:tcW w:w="1453" w:type="dxa"/>
            <w:noWrap w:val="0"/>
            <w:vAlign w:val="center"/>
          </w:tcPr>
          <w:p w14:paraId="4B8ADA1E">
            <w:pPr>
              <w:jc w:val="center"/>
              <w:rPr>
                <w:rFonts w:hint="eastAsia" w:ascii="宋体" w:hAnsi="宋体"/>
                <w:color w:val="auto"/>
                <w:szCs w:val="21"/>
                <w:highlight w:val="none"/>
              </w:rPr>
            </w:pPr>
          </w:p>
        </w:tc>
        <w:tc>
          <w:tcPr>
            <w:tcW w:w="1453" w:type="dxa"/>
            <w:noWrap w:val="0"/>
            <w:vAlign w:val="center"/>
          </w:tcPr>
          <w:p w14:paraId="60FD24AC">
            <w:pPr>
              <w:jc w:val="center"/>
              <w:rPr>
                <w:rFonts w:hint="eastAsia" w:ascii="宋体" w:hAnsi="宋体"/>
                <w:color w:val="auto"/>
                <w:szCs w:val="21"/>
                <w:highlight w:val="none"/>
              </w:rPr>
            </w:pPr>
          </w:p>
        </w:tc>
        <w:tc>
          <w:tcPr>
            <w:tcW w:w="1453" w:type="dxa"/>
            <w:noWrap w:val="0"/>
            <w:vAlign w:val="center"/>
          </w:tcPr>
          <w:p w14:paraId="14EFE372">
            <w:pPr>
              <w:jc w:val="center"/>
              <w:rPr>
                <w:rFonts w:hint="eastAsia" w:ascii="宋体" w:hAnsi="宋体"/>
                <w:color w:val="auto"/>
                <w:szCs w:val="21"/>
                <w:highlight w:val="none"/>
              </w:rPr>
            </w:pPr>
          </w:p>
        </w:tc>
        <w:tc>
          <w:tcPr>
            <w:tcW w:w="1454" w:type="dxa"/>
            <w:noWrap w:val="0"/>
            <w:vAlign w:val="center"/>
          </w:tcPr>
          <w:p w14:paraId="4842E0A3">
            <w:pPr>
              <w:jc w:val="center"/>
              <w:rPr>
                <w:rFonts w:hint="eastAsia" w:ascii="宋体" w:hAnsi="宋体"/>
                <w:color w:val="auto"/>
                <w:szCs w:val="21"/>
                <w:highlight w:val="none"/>
              </w:rPr>
            </w:pPr>
          </w:p>
        </w:tc>
        <w:tc>
          <w:tcPr>
            <w:tcW w:w="1454" w:type="dxa"/>
            <w:noWrap w:val="0"/>
            <w:vAlign w:val="center"/>
          </w:tcPr>
          <w:p w14:paraId="1562D7D5">
            <w:pPr>
              <w:jc w:val="center"/>
              <w:rPr>
                <w:rFonts w:hint="eastAsia" w:ascii="宋体" w:hAnsi="宋体"/>
                <w:color w:val="auto"/>
                <w:szCs w:val="21"/>
                <w:highlight w:val="none"/>
              </w:rPr>
            </w:pPr>
          </w:p>
        </w:tc>
      </w:tr>
      <w:tr w14:paraId="2506F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5E9775C">
            <w:pPr>
              <w:jc w:val="center"/>
              <w:rPr>
                <w:rFonts w:hint="eastAsia" w:ascii="宋体" w:hAnsi="宋体"/>
                <w:color w:val="auto"/>
                <w:szCs w:val="21"/>
                <w:highlight w:val="none"/>
              </w:rPr>
            </w:pPr>
          </w:p>
        </w:tc>
        <w:tc>
          <w:tcPr>
            <w:tcW w:w="1453" w:type="dxa"/>
            <w:noWrap w:val="0"/>
            <w:vAlign w:val="center"/>
          </w:tcPr>
          <w:p w14:paraId="36D047D1">
            <w:pPr>
              <w:jc w:val="center"/>
              <w:rPr>
                <w:rFonts w:hint="eastAsia" w:ascii="宋体" w:hAnsi="宋体"/>
                <w:color w:val="auto"/>
                <w:szCs w:val="21"/>
                <w:highlight w:val="none"/>
              </w:rPr>
            </w:pPr>
          </w:p>
        </w:tc>
        <w:tc>
          <w:tcPr>
            <w:tcW w:w="1453" w:type="dxa"/>
            <w:noWrap w:val="0"/>
            <w:vAlign w:val="center"/>
          </w:tcPr>
          <w:p w14:paraId="625CEE72">
            <w:pPr>
              <w:jc w:val="center"/>
              <w:rPr>
                <w:rFonts w:hint="eastAsia" w:ascii="宋体" w:hAnsi="宋体"/>
                <w:color w:val="auto"/>
                <w:szCs w:val="21"/>
                <w:highlight w:val="none"/>
              </w:rPr>
            </w:pPr>
          </w:p>
        </w:tc>
        <w:tc>
          <w:tcPr>
            <w:tcW w:w="1453" w:type="dxa"/>
            <w:noWrap w:val="0"/>
            <w:vAlign w:val="center"/>
          </w:tcPr>
          <w:p w14:paraId="5AA1C0BF">
            <w:pPr>
              <w:jc w:val="center"/>
              <w:rPr>
                <w:rFonts w:hint="eastAsia" w:ascii="宋体" w:hAnsi="宋体"/>
                <w:color w:val="auto"/>
                <w:szCs w:val="21"/>
                <w:highlight w:val="none"/>
              </w:rPr>
            </w:pPr>
          </w:p>
        </w:tc>
        <w:tc>
          <w:tcPr>
            <w:tcW w:w="1454" w:type="dxa"/>
            <w:noWrap w:val="0"/>
            <w:vAlign w:val="center"/>
          </w:tcPr>
          <w:p w14:paraId="4EA1C435">
            <w:pPr>
              <w:jc w:val="center"/>
              <w:rPr>
                <w:rFonts w:hint="eastAsia" w:ascii="宋体" w:hAnsi="宋体"/>
                <w:color w:val="auto"/>
                <w:szCs w:val="21"/>
                <w:highlight w:val="none"/>
              </w:rPr>
            </w:pPr>
          </w:p>
        </w:tc>
        <w:tc>
          <w:tcPr>
            <w:tcW w:w="1454" w:type="dxa"/>
            <w:noWrap w:val="0"/>
            <w:vAlign w:val="center"/>
          </w:tcPr>
          <w:p w14:paraId="44EFCA4E">
            <w:pPr>
              <w:jc w:val="center"/>
              <w:rPr>
                <w:rFonts w:hint="eastAsia" w:ascii="宋体" w:hAnsi="宋体"/>
                <w:color w:val="auto"/>
                <w:szCs w:val="21"/>
                <w:highlight w:val="none"/>
              </w:rPr>
            </w:pPr>
          </w:p>
        </w:tc>
      </w:tr>
      <w:tr w14:paraId="45C1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CC25F4D">
            <w:pPr>
              <w:jc w:val="center"/>
              <w:rPr>
                <w:rFonts w:hint="eastAsia" w:ascii="宋体" w:hAnsi="宋体"/>
                <w:color w:val="auto"/>
                <w:szCs w:val="21"/>
                <w:highlight w:val="none"/>
              </w:rPr>
            </w:pPr>
          </w:p>
        </w:tc>
        <w:tc>
          <w:tcPr>
            <w:tcW w:w="1453" w:type="dxa"/>
            <w:noWrap w:val="0"/>
            <w:vAlign w:val="center"/>
          </w:tcPr>
          <w:p w14:paraId="3C8A6C92">
            <w:pPr>
              <w:jc w:val="center"/>
              <w:rPr>
                <w:rFonts w:hint="eastAsia" w:ascii="宋体" w:hAnsi="宋体"/>
                <w:color w:val="auto"/>
                <w:szCs w:val="21"/>
                <w:highlight w:val="none"/>
              </w:rPr>
            </w:pPr>
          </w:p>
        </w:tc>
        <w:tc>
          <w:tcPr>
            <w:tcW w:w="1453" w:type="dxa"/>
            <w:noWrap w:val="0"/>
            <w:vAlign w:val="center"/>
          </w:tcPr>
          <w:p w14:paraId="294FBE83">
            <w:pPr>
              <w:jc w:val="center"/>
              <w:rPr>
                <w:rFonts w:hint="eastAsia" w:ascii="宋体" w:hAnsi="宋体"/>
                <w:color w:val="auto"/>
                <w:szCs w:val="21"/>
                <w:highlight w:val="none"/>
              </w:rPr>
            </w:pPr>
          </w:p>
        </w:tc>
        <w:tc>
          <w:tcPr>
            <w:tcW w:w="1453" w:type="dxa"/>
            <w:noWrap w:val="0"/>
            <w:vAlign w:val="center"/>
          </w:tcPr>
          <w:p w14:paraId="518C5AAE">
            <w:pPr>
              <w:jc w:val="center"/>
              <w:rPr>
                <w:rFonts w:hint="eastAsia" w:ascii="宋体" w:hAnsi="宋体"/>
                <w:color w:val="auto"/>
                <w:szCs w:val="21"/>
                <w:highlight w:val="none"/>
              </w:rPr>
            </w:pPr>
          </w:p>
        </w:tc>
        <w:tc>
          <w:tcPr>
            <w:tcW w:w="1454" w:type="dxa"/>
            <w:noWrap w:val="0"/>
            <w:vAlign w:val="center"/>
          </w:tcPr>
          <w:p w14:paraId="2160913C">
            <w:pPr>
              <w:jc w:val="center"/>
              <w:rPr>
                <w:rFonts w:hint="eastAsia" w:ascii="宋体" w:hAnsi="宋体"/>
                <w:color w:val="auto"/>
                <w:szCs w:val="21"/>
                <w:highlight w:val="none"/>
              </w:rPr>
            </w:pPr>
          </w:p>
        </w:tc>
        <w:tc>
          <w:tcPr>
            <w:tcW w:w="1454" w:type="dxa"/>
            <w:noWrap w:val="0"/>
            <w:vAlign w:val="center"/>
          </w:tcPr>
          <w:p w14:paraId="0531108A">
            <w:pPr>
              <w:jc w:val="center"/>
              <w:rPr>
                <w:rFonts w:hint="eastAsia" w:ascii="宋体" w:hAnsi="宋体"/>
                <w:color w:val="auto"/>
                <w:szCs w:val="21"/>
                <w:highlight w:val="none"/>
              </w:rPr>
            </w:pPr>
          </w:p>
        </w:tc>
      </w:tr>
      <w:tr w14:paraId="2D31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8E5247E">
            <w:pPr>
              <w:jc w:val="center"/>
              <w:rPr>
                <w:rFonts w:hint="eastAsia" w:ascii="宋体" w:hAnsi="宋体"/>
                <w:color w:val="auto"/>
                <w:szCs w:val="21"/>
                <w:highlight w:val="none"/>
              </w:rPr>
            </w:pPr>
          </w:p>
        </w:tc>
        <w:tc>
          <w:tcPr>
            <w:tcW w:w="1453" w:type="dxa"/>
            <w:noWrap w:val="0"/>
            <w:vAlign w:val="center"/>
          </w:tcPr>
          <w:p w14:paraId="1B81E6BC">
            <w:pPr>
              <w:jc w:val="center"/>
              <w:rPr>
                <w:rFonts w:hint="eastAsia" w:ascii="宋体" w:hAnsi="宋体"/>
                <w:color w:val="auto"/>
                <w:szCs w:val="21"/>
                <w:highlight w:val="none"/>
              </w:rPr>
            </w:pPr>
          </w:p>
        </w:tc>
        <w:tc>
          <w:tcPr>
            <w:tcW w:w="1453" w:type="dxa"/>
            <w:noWrap w:val="0"/>
            <w:vAlign w:val="center"/>
          </w:tcPr>
          <w:p w14:paraId="0E307D2E">
            <w:pPr>
              <w:jc w:val="center"/>
              <w:rPr>
                <w:rFonts w:hint="eastAsia" w:ascii="宋体" w:hAnsi="宋体"/>
                <w:color w:val="auto"/>
                <w:szCs w:val="21"/>
                <w:highlight w:val="none"/>
              </w:rPr>
            </w:pPr>
          </w:p>
        </w:tc>
        <w:tc>
          <w:tcPr>
            <w:tcW w:w="1453" w:type="dxa"/>
            <w:noWrap w:val="0"/>
            <w:vAlign w:val="center"/>
          </w:tcPr>
          <w:p w14:paraId="4B38777B">
            <w:pPr>
              <w:jc w:val="center"/>
              <w:rPr>
                <w:rFonts w:hint="eastAsia" w:ascii="宋体" w:hAnsi="宋体"/>
                <w:color w:val="auto"/>
                <w:szCs w:val="21"/>
                <w:highlight w:val="none"/>
              </w:rPr>
            </w:pPr>
          </w:p>
        </w:tc>
        <w:tc>
          <w:tcPr>
            <w:tcW w:w="1454" w:type="dxa"/>
            <w:noWrap w:val="0"/>
            <w:vAlign w:val="center"/>
          </w:tcPr>
          <w:p w14:paraId="0AE26C28">
            <w:pPr>
              <w:jc w:val="center"/>
              <w:rPr>
                <w:rFonts w:hint="eastAsia" w:ascii="宋体" w:hAnsi="宋体"/>
                <w:color w:val="auto"/>
                <w:szCs w:val="21"/>
                <w:highlight w:val="none"/>
              </w:rPr>
            </w:pPr>
          </w:p>
        </w:tc>
        <w:tc>
          <w:tcPr>
            <w:tcW w:w="1454" w:type="dxa"/>
            <w:noWrap w:val="0"/>
            <w:vAlign w:val="center"/>
          </w:tcPr>
          <w:p w14:paraId="3C797F08">
            <w:pPr>
              <w:jc w:val="center"/>
              <w:rPr>
                <w:rFonts w:hint="eastAsia" w:ascii="宋体" w:hAnsi="宋体"/>
                <w:color w:val="auto"/>
                <w:szCs w:val="21"/>
                <w:highlight w:val="none"/>
              </w:rPr>
            </w:pPr>
          </w:p>
        </w:tc>
      </w:tr>
      <w:tr w14:paraId="06AD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611A3C4">
            <w:pPr>
              <w:jc w:val="center"/>
              <w:rPr>
                <w:rFonts w:hint="eastAsia" w:ascii="宋体" w:hAnsi="宋体"/>
                <w:color w:val="auto"/>
                <w:szCs w:val="21"/>
                <w:highlight w:val="none"/>
              </w:rPr>
            </w:pPr>
          </w:p>
        </w:tc>
        <w:tc>
          <w:tcPr>
            <w:tcW w:w="1453" w:type="dxa"/>
            <w:noWrap w:val="0"/>
            <w:vAlign w:val="center"/>
          </w:tcPr>
          <w:p w14:paraId="5CF1A55E">
            <w:pPr>
              <w:jc w:val="center"/>
              <w:rPr>
                <w:rFonts w:hint="eastAsia" w:ascii="宋体" w:hAnsi="宋体"/>
                <w:color w:val="auto"/>
                <w:szCs w:val="21"/>
                <w:highlight w:val="none"/>
              </w:rPr>
            </w:pPr>
          </w:p>
        </w:tc>
        <w:tc>
          <w:tcPr>
            <w:tcW w:w="1453" w:type="dxa"/>
            <w:noWrap w:val="0"/>
            <w:vAlign w:val="center"/>
          </w:tcPr>
          <w:p w14:paraId="3CFD416E">
            <w:pPr>
              <w:jc w:val="center"/>
              <w:rPr>
                <w:rFonts w:hint="eastAsia" w:ascii="宋体" w:hAnsi="宋体"/>
                <w:color w:val="auto"/>
                <w:szCs w:val="21"/>
                <w:highlight w:val="none"/>
              </w:rPr>
            </w:pPr>
          </w:p>
        </w:tc>
        <w:tc>
          <w:tcPr>
            <w:tcW w:w="1453" w:type="dxa"/>
            <w:noWrap w:val="0"/>
            <w:vAlign w:val="center"/>
          </w:tcPr>
          <w:p w14:paraId="1B8DA7F4">
            <w:pPr>
              <w:jc w:val="center"/>
              <w:rPr>
                <w:rFonts w:hint="eastAsia" w:ascii="宋体" w:hAnsi="宋体"/>
                <w:color w:val="auto"/>
                <w:szCs w:val="21"/>
                <w:highlight w:val="none"/>
              </w:rPr>
            </w:pPr>
          </w:p>
        </w:tc>
        <w:tc>
          <w:tcPr>
            <w:tcW w:w="1454" w:type="dxa"/>
            <w:noWrap w:val="0"/>
            <w:vAlign w:val="center"/>
          </w:tcPr>
          <w:p w14:paraId="09E2EC00">
            <w:pPr>
              <w:jc w:val="center"/>
              <w:rPr>
                <w:rFonts w:hint="eastAsia" w:ascii="宋体" w:hAnsi="宋体"/>
                <w:color w:val="auto"/>
                <w:szCs w:val="21"/>
                <w:highlight w:val="none"/>
              </w:rPr>
            </w:pPr>
          </w:p>
        </w:tc>
        <w:tc>
          <w:tcPr>
            <w:tcW w:w="1454" w:type="dxa"/>
            <w:noWrap w:val="0"/>
            <w:vAlign w:val="center"/>
          </w:tcPr>
          <w:p w14:paraId="7D5C0913">
            <w:pPr>
              <w:jc w:val="center"/>
              <w:rPr>
                <w:rFonts w:hint="eastAsia" w:ascii="宋体" w:hAnsi="宋体"/>
                <w:color w:val="auto"/>
                <w:szCs w:val="21"/>
                <w:highlight w:val="none"/>
              </w:rPr>
            </w:pPr>
          </w:p>
        </w:tc>
      </w:tr>
      <w:tr w14:paraId="1F996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B72427D">
            <w:pPr>
              <w:jc w:val="center"/>
              <w:rPr>
                <w:rFonts w:hint="eastAsia" w:ascii="宋体" w:hAnsi="宋体"/>
                <w:color w:val="auto"/>
                <w:szCs w:val="21"/>
                <w:highlight w:val="none"/>
              </w:rPr>
            </w:pPr>
          </w:p>
        </w:tc>
        <w:tc>
          <w:tcPr>
            <w:tcW w:w="1453" w:type="dxa"/>
            <w:noWrap w:val="0"/>
            <w:vAlign w:val="center"/>
          </w:tcPr>
          <w:p w14:paraId="1F49920E">
            <w:pPr>
              <w:jc w:val="center"/>
              <w:rPr>
                <w:rFonts w:hint="eastAsia" w:ascii="宋体" w:hAnsi="宋体"/>
                <w:color w:val="auto"/>
                <w:szCs w:val="21"/>
                <w:highlight w:val="none"/>
              </w:rPr>
            </w:pPr>
          </w:p>
        </w:tc>
        <w:tc>
          <w:tcPr>
            <w:tcW w:w="1453" w:type="dxa"/>
            <w:noWrap w:val="0"/>
            <w:vAlign w:val="center"/>
          </w:tcPr>
          <w:p w14:paraId="7CA8FF0F">
            <w:pPr>
              <w:jc w:val="center"/>
              <w:rPr>
                <w:rFonts w:hint="eastAsia" w:ascii="宋体" w:hAnsi="宋体"/>
                <w:color w:val="auto"/>
                <w:szCs w:val="21"/>
                <w:highlight w:val="none"/>
              </w:rPr>
            </w:pPr>
          </w:p>
        </w:tc>
        <w:tc>
          <w:tcPr>
            <w:tcW w:w="1453" w:type="dxa"/>
            <w:noWrap w:val="0"/>
            <w:vAlign w:val="center"/>
          </w:tcPr>
          <w:p w14:paraId="750ECFB4">
            <w:pPr>
              <w:jc w:val="center"/>
              <w:rPr>
                <w:rFonts w:hint="eastAsia" w:ascii="宋体" w:hAnsi="宋体"/>
                <w:color w:val="auto"/>
                <w:szCs w:val="21"/>
                <w:highlight w:val="none"/>
              </w:rPr>
            </w:pPr>
          </w:p>
        </w:tc>
        <w:tc>
          <w:tcPr>
            <w:tcW w:w="1454" w:type="dxa"/>
            <w:noWrap w:val="0"/>
            <w:vAlign w:val="center"/>
          </w:tcPr>
          <w:p w14:paraId="25876E97">
            <w:pPr>
              <w:jc w:val="center"/>
              <w:rPr>
                <w:rFonts w:hint="eastAsia" w:ascii="宋体" w:hAnsi="宋体"/>
                <w:color w:val="auto"/>
                <w:szCs w:val="21"/>
                <w:highlight w:val="none"/>
              </w:rPr>
            </w:pPr>
          </w:p>
        </w:tc>
        <w:tc>
          <w:tcPr>
            <w:tcW w:w="1454" w:type="dxa"/>
            <w:noWrap w:val="0"/>
            <w:vAlign w:val="center"/>
          </w:tcPr>
          <w:p w14:paraId="0B133736">
            <w:pPr>
              <w:jc w:val="center"/>
              <w:rPr>
                <w:rFonts w:hint="eastAsia" w:ascii="宋体" w:hAnsi="宋体"/>
                <w:color w:val="auto"/>
                <w:szCs w:val="21"/>
                <w:highlight w:val="none"/>
              </w:rPr>
            </w:pPr>
          </w:p>
        </w:tc>
      </w:tr>
      <w:tr w14:paraId="68A8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39BA65DF">
            <w:pPr>
              <w:jc w:val="center"/>
              <w:rPr>
                <w:rFonts w:hint="eastAsia" w:ascii="宋体" w:hAnsi="宋体"/>
                <w:color w:val="auto"/>
                <w:szCs w:val="21"/>
                <w:highlight w:val="none"/>
              </w:rPr>
            </w:pPr>
          </w:p>
        </w:tc>
        <w:tc>
          <w:tcPr>
            <w:tcW w:w="1453" w:type="dxa"/>
            <w:noWrap w:val="0"/>
            <w:vAlign w:val="center"/>
          </w:tcPr>
          <w:p w14:paraId="606E1D13">
            <w:pPr>
              <w:jc w:val="center"/>
              <w:rPr>
                <w:rFonts w:hint="eastAsia" w:ascii="宋体" w:hAnsi="宋体"/>
                <w:color w:val="auto"/>
                <w:szCs w:val="21"/>
                <w:highlight w:val="none"/>
              </w:rPr>
            </w:pPr>
          </w:p>
        </w:tc>
        <w:tc>
          <w:tcPr>
            <w:tcW w:w="1453" w:type="dxa"/>
            <w:noWrap w:val="0"/>
            <w:vAlign w:val="center"/>
          </w:tcPr>
          <w:p w14:paraId="75F803FA">
            <w:pPr>
              <w:jc w:val="center"/>
              <w:rPr>
                <w:rFonts w:hint="eastAsia" w:ascii="宋体" w:hAnsi="宋体"/>
                <w:color w:val="auto"/>
                <w:szCs w:val="21"/>
                <w:highlight w:val="none"/>
              </w:rPr>
            </w:pPr>
          </w:p>
        </w:tc>
        <w:tc>
          <w:tcPr>
            <w:tcW w:w="1453" w:type="dxa"/>
            <w:noWrap w:val="0"/>
            <w:vAlign w:val="center"/>
          </w:tcPr>
          <w:p w14:paraId="10CDDE32">
            <w:pPr>
              <w:jc w:val="center"/>
              <w:rPr>
                <w:rFonts w:hint="eastAsia" w:ascii="宋体" w:hAnsi="宋体"/>
                <w:color w:val="auto"/>
                <w:szCs w:val="21"/>
                <w:highlight w:val="none"/>
              </w:rPr>
            </w:pPr>
          </w:p>
        </w:tc>
        <w:tc>
          <w:tcPr>
            <w:tcW w:w="1454" w:type="dxa"/>
            <w:noWrap w:val="0"/>
            <w:vAlign w:val="center"/>
          </w:tcPr>
          <w:p w14:paraId="78EEFD78">
            <w:pPr>
              <w:jc w:val="center"/>
              <w:rPr>
                <w:rFonts w:hint="eastAsia" w:ascii="宋体" w:hAnsi="宋体"/>
                <w:color w:val="auto"/>
                <w:szCs w:val="21"/>
                <w:highlight w:val="none"/>
              </w:rPr>
            </w:pPr>
          </w:p>
        </w:tc>
        <w:tc>
          <w:tcPr>
            <w:tcW w:w="1454" w:type="dxa"/>
            <w:noWrap w:val="0"/>
            <w:vAlign w:val="center"/>
          </w:tcPr>
          <w:p w14:paraId="74E0C477">
            <w:pPr>
              <w:jc w:val="center"/>
              <w:rPr>
                <w:rFonts w:hint="eastAsia" w:ascii="宋体" w:hAnsi="宋体"/>
                <w:color w:val="auto"/>
                <w:szCs w:val="21"/>
                <w:highlight w:val="none"/>
              </w:rPr>
            </w:pPr>
          </w:p>
        </w:tc>
      </w:tr>
      <w:tr w14:paraId="3540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3DFD13DB">
            <w:pPr>
              <w:jc w:val="center"/>
              <w:rPr>
                <w:rFonts w:hint="eastAsia" w:ascii="宋体" w:hAnsi="宋体"/>
                <w:color w:val="auto"/>
                <w:szCs w:val="21"/>
                <w:highlight w:val="none"/>
              </w:rPr>
            </w:pPr>
          </w:p>
        </w:tc>
        <w:tc>
          <w:tcPr>
            <w:tcW w:w="1453" w:type="dxa"/>
            <w:noWrap w:val="0"/>
            <w:vAlign w:val="center"/>
          </w:tcPr>
          <w:p w14:paraId="5B6BC31C">
            <w:pPr>
              <w:jc w:val="center"/>
              <w:rPr>
                <w:rFonts w:hint="eastAsia" w:ascii="宋体" w:hAnsi="宋体"/>
                <w:color w:val="auto"/>
                <w:szCs w:val="21"/>
                <w:highlight w:val="none"/>
              </w:rPr>
            </w:pPr>
          </w:p>
        </w:tc>
        <w:tc>
          <w:tcPr>
            <w:tcW w:w="1453" w:type="dxa"/>
            <w:noWrap w:val="0"/>
            <w:vAlign w:val="center"/>
          </w:tcPr>
          <w:p w14:paraId="0CB510FC">
            <w:pPr>
              <w:jc w:val="center"/>
              <w:rPr>
                <w:rFonts w:hint="eastAsia" w:ascii="宋体" w:hAnsi="宋体"/>
                <w:color w:val="auto"/>
                <w:szCs w:val="21"/>
                <w:highlight w:val="none"/>
              </w:rPr>
            </w:pPr>
          </w:p>
        </w:tc>
        <w:tc>
          <w:tcPr>
            <w:tcW w:w="1453" w:type="dxa"/>
            <w:noWrap w:val="0"/>
            <w:vAlign w:val="center"/>
          </w:tcPr>
          <w:p w14:paraId="16DC613F">
            <w:pPr>
              <w:jc w:val="center"/>
              <w:rPr>
                <w:rFonts w:hint="eastAsia" w:ascii="宋体" w:hAnsi="宋体"/>
                <w:color w:val="auto"/>
                <w:szCs w:val="21"/>
                <w:highlight w:val="none"/>
              </w:rPr>
            </w:pPr>
          </w:p>
        </w:tc>
        <w:tc>
          <w:tcPr>
            <w:tcW w:w="1454" w:type="dxa"/>
            <w:noWrap w:val="0"/>
            <w:vAlign w:val="center"/>
          </w:tcPr>
          <w:p w14:paraId="1E54ACB0">
            <w:pPr>
              <w:jc w:val="center"/>
              <w:rPr>
                <w:rFonts w:hint="eastAsia" w:ascii="宋体" w:hAnsi="宋体"/>
                <w:color w:val="auto"/>
                <w:szCs w:val="21"/>
                <w:highlight w:val="none"/>
              </w:rPr>
            </w:pPr>
          </w:p>
        </w:tc>
        <w:tc>
          <w:tcPr>
            <w:tcW w:w="1454" w:type="dxa"/>
            <w:noWrap w:val="0"/>
            <w:vAlign w:val="center"/>
          </w:tcPr>
          <w:p w14:paraId="36C12254">
            <w:pPr>
              <w:jc w:val="center"/>
              <w:rPr>
                <w:rFonts w:hint="eastAsia" w:ascii="宋体" w:hAnsi="宋体"/>
                <w:color w:val="auto"/>
                <w:szCs w:val="21"/>
                <w:highlight w:val="none"/>
              </w:rPr>
            </w:pPr>
          </w:p>
        </w:tc>
      </w:tr>
      <w:tr w14:paraId="2406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A2313E0">
            <w:pPr>
              <w:jc w:val="center"/>
              <w:rPr>
                <w:rFonts w:hint="eastAsia" w:ascii="宋体" w:hAnsi="宋体"/>
                <w:color w:val="auto"/>
                <w:szCs w:val="21"/>
                <w:highlight w:val="none"/>
              </w:rPr>
            </w:pPr>
          </w:p>
        </w:tc>
        <w:tc>
          <w:tcPr>
            <w:tcW w:w="1453" w:type="dxa"/>
            <w:noWrap w:val="0"/>
            <w:vAlign w:val="center"/>
          </w:tcPr>
          <w:p w14:paraId="688517E8">
            <w:pPr>
              <w:jc w:val="center"/>
              <w:rPr>
                <w:rFonts w:hint="eastAsia" w:ascii="宋体" w:hAnsi="宋体"/>
                <w:color w:val="auto"/>
                <w:szCs w:val="21"/>
                <w:highlight w:val="none"/>
              </w:rPr>
            </w:pPr>
          </w:p>
        </w:tc>
        <w:tc>
          <w:tcPr>
            <w:tcW w:w="1453" w:type="dxa"/>
            <w:noWrap w:val="0"/>
            <w:vAlign w:val="center"/>
          </w:tcPr>
          <w:p w14:paraId="12F3EFE4">
            <w:pPr>
              <w:jc w:val="center"/>
              <w:rPr>
                <w:rFonts w:hint="eastAsia" w:ascii="宋体" w:hAnsi="宋体"/>
                <w:color w:val="auto"/>
                <w:szCs w:val="21"/>
                <w:highlight w:val="none"/>
              </w:rPr>
            </w:pPr>
          </w:p>
        </w:tc>
        <w:tc>
          <w:tcPr>
            <w:tcW w:w="1453" w:type="dxa"/>
            <w:noWrap w:val="0"/>
            <w:vAlign w:val="center"/>
          </w:tcPr>
          <w:p w14:paraId="30892E73">
            <w:pPr>
              <w:jc w:val="center"/>
              <w:rPr>
                <w:rFonts w:hint="eastAsia" w:ascii="宋体" w:hAnsi="宋体"/>
                <w:color w:val="auto"/>
                <w:szCs w:val="21"/>
                <w:highlight w:val="none"/>
              </w:rPr>
            </w:pPr>
          </w:p>
        </w:tc>
        <w:tc>
          <w:tcPr>
            <w:tcW w:w="1454" w:type="dxa"/>
            <w:noWrap w:val="0"/>
            <w:vAlign w:val="center"/>
          </w:tcPr>
          <w:p w14:paraId="2D4FD612">
            <w:pPr>
              <w:jc w:val="center"/>
              <w:rPr>
                <w:rFonts w:hint="eastAsia" w:ascii="宋体" w:hAnsi="宋体"/>
                <w:color w:val="auto"/>
                <w:szCs w:val="21"/>
                <w:highlight w:val="none"/>
              </w:rPr>
            </w:pPr>
          </w:p>
        </w:tc>
        <w:tc>
          <w:tcPr>
            <w:tcW w:w="1454" w:type="dxa"/>
            <w:noWrap w:val="0"/>
            <w:vAlign w:val="center"/>
          </w:tcPr>
          <w:p w14:paraId="0B660AD7">
            <w:pPr>
              <w:jc w:val="center"/>
              <w:rPr>
                <w:rFonts w:hint="eastAsia" w:ascii="宋体" w:hAnsi="宋体"/>
                <w:color w:val="auto"/>
                <w:szCs w:val="21"/>
                <w:highlight w:val="none"/>
              </w:rPr>
            </w:pPr>
          </w:p>
        </w:tc>
      </w:tr>
      <w:tr w14:paraId="34604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2C8795F8">
            <w:pPr>
              <w:jc w:val="center"/>
              <w:rPr>
                <w:rFonts w:hint="eastAsia" w:ascii="宋体" w:hAnsi="宋体"/>
                <w:color w:val="auto"/>
                <w:szCs w:val="21"/>
                <w:highlight w:val="none"/>
              </w:rPr>
            </w:pPr>
          </w:p>
        </w:tc>
        <w:tc>
          <w:tcPr>
            <w:tcW w:w="1453" w:type="dxa"/>
            <w:noWrap w:val="0"/>
            <w:vAlign w:val="center"/>
          </w:tcPr>
          <w:p w14:paraId="7D7B2650">
            <w:pPr>
              <w:jc w:val="center"/>
              <w:rPr>
                <w:rFonts w:hint="eastAsia" w:ascii="宋体" w:hAnsi="宋体"/>
                <w:color w:val="auto"/>
                <w:szCs w:val="21"/>
                <w:highlight w:val="none"/>
              </w:rPr>
            </w:pPr>
          </w:p>
        </w:tc>
        <w:tc>
          <w:tcPr>
            <w:tcW w:w="1453" w:type="dxa"/>
            <w:noWrap w:val="0"/>
            <w:vAlign w:val="center"/>
          </w:tcPr>
          <w:p w14:paraId="23396515">
            <w:pPr>
              <w:jc w:val="center"/>
              <w:rPr>
                <w:rFonts w:hint="eastAsia" w:ascii="宋体" w:hAnsi="宋体"/>
                <w:color w:val="auto"/>
                <w:szCs w:val="21"/>
                <w:highlight w:val="none"/>
              </w:rPr>
            </w:pPr>
          </w:p>
        </w:tc>
        <w:tc>
          <w:tcPr>
            <w:tcW w:w="1453" w:type="dxa"/>
            <w:noWrap w:val="0"/>
            <w:vAlign w:val="center"/>
          </w:tcPr>
          <w:p w14:paraId="6B8FE3A5">
            <w:pPr>
              <w:jc w:val="center"/>
              <w:rPr>
                <w:rFonts w:hint="eastAsia" w:ascii="宋体" w:hAnsi="宋体"/>
                <w:color w:val="auto"/>
                <w:szCs w:val="21"/>
                <w:highlight w:val="none"/>
              </w:rPr>
            </w:pPr>
          </w:p>
        </w:tc>
        <w:tc>
          <w:tcPr>
            <w:tcW w:w="1454" w:type="dxa"/>
            <w:noWrap w:val="0"/>
            <w:vAlign w:val="center"/>
          </w:tcPr>
          <w:p w14:paraId="224322F3">
            <w:pPr>
              <w:jc w:val="center"/>
              <w:rPr>
                <w:rFonts w:hint="eastAsia" w:ascii="宋体" w:hAnsi="宋体"/>
                <w:color w:val="auto"/>
                <w:szCs w:val="21"/>
                <w:highlight w:val="none"/>
              </w:rPr>
            </w:pPr>
          </w:p>
        </w:tc>
        <w:tc>
          <w:tcPr>
            <w:tcW w:w="1454" w:type="dxa"/>
            <w:noWrap w:val="0"/>
            <w:vAlign w:val="center"/>
          </w:tcPr>
          <w:p w14:paraId="518F0287">
            <w:pPr>
              <w:jc w:val="center"/>
              <w:rPr>
                <w:rFonts w:hint="eastAsia" w:ascii="宋体" w:hAnsi="宋体"/>
                <w:color w:val="auto"/>
                <w:szCs w:val="21"/>
                <w:highlight w:val="none"/>
              </w:rPr>
            </w:pPr>
          </w:p>
        </w:tc>
      </w:tr>
      <w:tr w14:paraId="0EA8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93C90A6">
            <w:pPr>
              <w:jc w:val="center"/>
              <w:rPr>
                <w:rFonts w:hint="eastAsia" w:ascii="宋体" w:hAnsi="宋体"/>
                <w:color w:val="auto"/>
                <w:szCs w:val="21"/>
                <w:highlight w:val="none"/>
              </w:rPr>
            </w:pPr>
          </w:p>
        </w:tc>
        <w:tc>
          <w:tcPr>
            <w:tcW w:w="1453" w:type="dxa"/>
            <w:noWrap w:val="0"/>
            <w:vAlign w:val="center"/>
          </w:tcPr>
          <w:p w14:paraId="03D7B436">
            <w:pPr>
              <w:jc w:val="center"/>
              <w:rPr>
                <w:rFonts w:hint="eastAsia" w:ascii="宋体" w:hAnsi="宋体"/>
                <w:color w:val="auto"/>
                <w:szCs w:val="21"/>
                <w:highlight w:val="none"/>
              </w:rPr>
            </w:pPr>
          </w:p>
        </w:tc>
        <w:tc>
          <w:tcPr>
            <w:tcW w:w="1453" w:type="dxa"/>
            <w:noWrap w:val="0"/>
            <w:vAlign w:val="center"/>
          </w:tcPr>
          <w:p w14:paraId="310EF29F">
            <w:pPr>
              <w:jc w:val="center"/>
              <w:rPr>
                <w:rFonts w:hint="eastAsia" w:ascii="宋体" w:hAnsi="宋体"/>
                <w:color w:val="auto"/>
                <w:szCs w:val="21"/>
                <w:highlight w:val="none"/>
              </w:rPr>
            </w:pPr>
          </w:p>
        </w:tc>
        <w:tc>
          <w:tcPr>
            <w:tcW w:w="1453" w:type="dxa"/>
            <w:noWrap w:val="0"/>
            <w:vAlign w:val="center"/>
          </w:tcPr>
          <w:p w14:paraId="679BD180">
            <w:pPr>
              <w:jc w:val="center"/>
              <w:rPr>
                <w:rFonts w:hint="eastAsia" w:ascii="宋体" w:hAnsi="宋体"/>
                <w:color w:val="auto"/>
                <w:szCs w:val="21"/>
                <w:highlight w:val="none"/>
              </w:rPr>
            </w:pPr>
          </w:p>
        </w:tc>
        <w:tc>
          <w:tcPr>
            <w:tcW w:w="1454" w:type="dxa"/>
            <w:noWrap w:val="0"/>
            <w:vAlign w:val="center"/>
          </w:tcPr>
          <w:p w14:paraId="634F7DDB">
            <w:pPr>
              <w:jc w:val="center"/>
              <w:rPr>
                <w:rFonts w:hint="eastAsia" w:ascii="宋体" w:hAnsi="宋体"/>
                <w:color w:val="auto"/>
                <w:szCs w:val="21"/>
                <w:highlight w:val="none"/>
              </w:rPr>
            </w:pPr>
          </w:p>
        </w:tc>
        <w:tc>
          <w:tcPr>
            <w:tcW w:w="1454" w:type="dxa"/>
            <w:noWrap w:val="0"/>
            <w:vAlign w:val="center"/>
          </w:tcPr>
          <w:p w14:paraId="6E3EF6CD">
            <w:pPr>
              <w:jc w:val="center"/>
              <w:rPr>
                <w:rFonts w:hint="eastAsia" w:ascii="宋体" w:hAnsi="宋体"/>
                <w:color w:val="auto"/>
                <w:szCs w:val="21"/>
                <w:highlight w:val="none"/>
              </w:rPr>
            </w:pPr>
          </w:p>
        </w:tc>
      </w:tr>
      <w:tr w14:paraId="5CF2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28F707E0">
            <w:pPr>
              <w:jc w:val="center"/>
              <w:rPr>
                <w:rFonts w:hint="eastAsia" w:ascii="宋体" w:hAnsi="宋体"/>
                <w:color w:val="auto"/>
                <w:szCs w:val="21"/>
                <w:highlight w:val="none"/>
              </w:rPr>
            </w:pPr>
          </w:p>
        </w:tc>
        <w:tc>
          <w:tcPr>
            <w:tcW w:w="1453" w:type="dxa"/>
            <w:noWrap w:val="0"/>
            <w:vAlign w:val="center"/>
          </w:tcPr>
          <w:p w14:paraId="20993D96">
            <w:pPr>
              <w:jc w:val="center"/>
              <w:rPr>
                <w:rFonts w:hint="eastAsia" w:ascii="宋体" w:hAnsi="宋体"/>
                <w:color w:val="auto"/>
                <w:szCs w:val="21"/>
                <w:highlight w:val="none"/>
              </w:rPr>
            </w:pPr>
          </w:p>
        </w:tc>
        <w:tc>
          <w:tcPr>
            <w:tcW w:w="1453" w:type="dxa"/>
            <w:noWrap w:val="0"/>
            <w:vAlign w:val="center"/>
          </w:tcPr>
          <w:p w14:paraId="10FFECAB">
            <w:pPr>
              <w:jc w:val="center"/>
              <w:rPr>
                <w:rFonts w:hint="eastAsia" w:ascii="宋体" w:hAnsi="宋体"/>
                <w:color w:val="auto"/>
                <w:szCs w:val="21"/>
                <w:highlight w:val="none"/>
              </w:rPr>
            </w:pPr>
          </w:p>
        </w:tc>
        <w:tc>
          <w:tcPr>
            <w:tcW w:w="1453" w:type="dxa"/>
            <w:noWrap w:val="0"/>
            <w:vAlign w:val="center"/>
          </w:tcPr>
          <w:p w14:paraId="3EA02D31">
            <w:pPr>
              <w:jc w:val="center"/>
              <w:rPr>
                <w:rFonts w:hint="eastAsia" w:ascii="宋体" w:hAnsi="宋体"/>
                <w:color w:val="auto"/>
                <w:szCs w:val="21"/>
                <w:highlight w:val="none"/>
              </w:rPr>
            </w:pPr>
          </w:p>
        </w:tc>
        <w:tc>
          <w:tcPr>
            <w:tcW w:w="1454" w:type="dxa"/>
            <w:noWrap w:val="0"/>
            <w:vAlign w:val="center"/>
          </w:tcPr>
          <w:p w14:paraId="518E1570">
            <w:pPr>
              <w:jc w:val="center"/>
              <w:rPr>
                <w:rFonts w:hint="eastAsia" w:ascii="宋体" w:hAnsi="宋体"/>
                <w:color w:val="auto"/>
                <w:szCs w:val="21"/>
                <w:highlight w:val="none"/>
              </w:rPr>
            </w:pPr>
          </w:p>
        </w:tc>
        <w:tc>
          <w:tcPr>
            <w:tcW w:w="1454" w:type="dxa"/>
            <w:noWrap w:val="0"/>
            <w:vAlign w:val="center"/>
          </w:tcPr>
          <w:p w14:paraId="7DCEC86F">
            <w:pPr>
              <w:jc w:val="center"/>
              <w:rPr>
                <w:rFonts w:hint="eastAsia" w:ascii="宋体" w:hAnsi="宋体"/>
                <w:color w:val="auto"/>
                <w:szCs w:val="21"/>
                <w:highlight w:val="none"/>
              </w:rPr>
            </w:pPr>
          </w:p>
        </w:tc>
      </w:tr>
      <w:tr w14:paraId="0AC2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31E2F55">
            <w:pPr>
              <w:jc w:val="center"/>
              <w:rPr>
                <w:rFonts w:hint="eastAsia" w:ascii="宋体" w:hAnsi="宋体"/>
                <w:color w:val="auto"/>
                <w:szCs w:val="21"/>
                <w:highlight w:val="none"/>
              </w:rPr>
            </w:pPr>
          </w:p>
        </w:tc>
        <w:tc>
          <w:tcPr>
            <w:tcW w:w="1453" w:type="dxa"/>
            <w:noWrap w:val="0"/>
            <w:vAlign w:val="center"/>
          </w:tcPr>
          <w:p w14:paraId="5C499D82">
            <w:pPr>
              <w:jc w:val="center"/>
              <w:rPr>
                <w:rFonts w:hint="eastAsia" w:ascii="宋体" w:hAnsi="宋体"/>
                <w:color w:val="auto"/>
                <w:szCs w:val="21"/>
                <w:highlight w:val="none"/>
              </w:rPr>
            </w:pPr>
          </w:p>
        </w:tc>
        <w:tc>
          <w:tcPr>
            <w:tcW w:w="1453" w:type="dxa"/>
            <w:noWrap w:val="0"/>
            <w:vAlign w:val="center"/>
          </w:tcPr>
          <w:p w14:paraId="2E8CA78A">
            <w:pPr>
              <w:jc w:val="center"/>
              <w:rPr>
                <w:rFonts w:hint="eastAsia" w:ascii="宋体" w:hAnsi="宋体"/>
                <w:color w:val="auto"/>
                <w:szCs w:val="21"/>
                <w:highlight w:val="none"/>
              </w:rPr>
            </w:pPr>
          </w:p>
        </w:tc>
        <w:tc>
          <w:tcPr>
            <w:tcW w:w="1453" w:type="dxa"/>
            <w:noWrap w:val="0"/>
            <w:vAlign w:val="center"/>
          </w:tcPr>
          <w:p w14:paraId="1D0F2414">
            <w:pPr>
              <w:jc w:val="center"/>
              <w:rPr>
                <w:rFonts w:hint="eastAsia" w:ascii="宋体" w:hAnsi="宋体"/>
                <w:color w:val="auto"/>
                <w:szCs w:val="21"/>
                <w:highlight w:val="none"/>
              </w:rPr>
            </w:pPr>
          </w:p>
        </w:tc>
        <w:tc>
          <w:tcPr>
            <w:tcW w:w="1454" w:type="dxa"/>
            <w:noWrap w:val="0"/>
            <w:vAlign w:val="center"/>
          </w:tcPr>
          <w:p w14:paraId="768A6347">
            <w:pPr>
              <w:jc w:val="center"/>
              <w:rPr>
                <w:rFonts w:hint="eastAsia" w:ascii="宋体" w:hAnsi="宋体"/>
                <w:color w:val="auto"/>
                <w:szCs w:val="21"/>
                <w:highlight w:val="none"/>
              </w:rPr>
            </w:pPr>
          </w:p>
        </w:tc>
        <w:tc>
          <w:tcPr>
            <w:tcW w:w="1454" w:type="dxa"/>
            <w:noWrap w:val="0"/>
            <w:vAlign w:val="center"/>
          </w:tcPr>
          <w:p w14:paraId="48C236E7">
            <w:pPr>
              <w:jc w:val="center"/>
              <w:rPr>
                <w:rFonts w:hint="eastAsia" w:ascii="宋体" w:hAnsi="宋体"/>
                <w:color w:val="auto"/>
                <w:szCs w:val="21"/>
                <w:highlight w:val="none"/>
              </w:rPr>
            </w:pPr>
          </w:p>
        </w:tc>
      </w:tr>
    </w:tbl>
    <w:p w14:paraId="32AB277E">
      <w:pPr>
        <w:rPr>
          <w:rFonts w:hint="eastAsia"/>
          <w:color w:val="auto"/>
          <w:szCs w:val="21"/>
          <w:highlight w:val="none"/>
        </w:rPr>
      </w:pPr>
    </w:p>
    <w:p w14:paraId="5023BE51">
      <w:pPr>
        <w:rPr>
          <w:rFonts w:hint="eastAsia"/>
          <w:color w:val="auto"/>
          <w:szCs w:val="21"/>
          <w:highlight w:val="none"/>
        </w:rPr>
      </w:pPr>
    </w:p>
    <w:p w14:paraId="0AE4D5F0">
      <w:pPr>
        <w:rPr>
          <w:rFonts w:hint="eastAsia"/>
          <w:color w:val="auto"/>
          <w:szCs w:val="21"/>
          <w:highlight w:val="none"/>
        </w:rPr>
      </w:pPr>
    </w:p>
    <w:p w14:paraId="6AE95F1C">
      <w:pPr>
        <w:rPr>
          <w:rFonts w:hint="eastAsia"/>
          <w:color w:val="auto"/>
          <w:szCs w:val="21"/>
          <w:highlight w:val="none"/>
        </w:rPr>
      </w:pPr>
    </w:p>
    <w:p w14:paraId="7F3C2BB9">
      <w:pPr>
        <w:rPr>
          <w:rFonts w:hint="eastAsia"/>
          <w:color w:val="auto"/>
          <w:szCs w:val="21"/>
          <w:highlight w:val="none"/>
        </w:rPr>
      </w:pPr>
    </w:p>
    <w:p w14:paraId="12CCD6DD">
      <w:pPr>
        <w:pStyle w:val="31"/>
        <w:rPr>
          <w:rFonts w:hint="eastAsia" w:ascii="黑体"/>
          <w:color w:val="auto"/>
          <w:sz w:val="24"/>
          <w:highlight w:val="none"/>
        </w:rPr>
      </w:pPr>
      <w:bookmarkStart w:id="2373" w:name="_Toc521075687"/>
      <w:bookmarkStart w:id="2374" w:name="_Toc521075262"/>
      <w:bookmarkStart w:id="2375" w:name="_Toc31696"/>
      <w:r>
        <w:rPr>
          <w:rFonts w:hint="eastAsia"/>
          <w:color w:val="auto"/>
          <w:sz w:val="24"/>
          <w:szCs w:val="24"/>
          <w:highlight w:val="none"/>
        </w:rPr>
        <w:t>2．图  纸</w:t>
      </w:r>
      <w:bookmarkEnd w:id="2373"/>
      <w:bookmarkEnd w:id="2374"/>
      <w:bookmarkEnd w:id="2375"/>
    </w:p>
    <w:p w14:paraId="4A2E6FBD">
      <w:pPr>
        <w:pStyle w:val="2"/>
        <w:pageBreakBefore/>
        <w:spacing w:before="120" w:after="120" w:line="400" w:lineRule="exact"/>
        <w:jc w:val="center"/>
        <w:rPr>
          <w:rFonts w:hint="eastAsia" w:ascii="黑体" w:hAnsi="黑体" w:eastAsia="黑体"/>
          <w:b w:val="0"/>
          <w:bCs w:val="0"/>
          <w:color w:val="auto"/>
          <w:sz w:val="48"/>
          <w:szCs w:val="48"/>
          <w:highlight w:val="none"/>
        </w:rPr>
      </w:pPr>
      <w:bookmarkStart w:id="2376" w:name="_Toc521075688"/>
      <w:bookmarkStart w:id="2377" w:name="_Toc521075263"/>
      <w:bookmarkStart w:id="2378" w:name="_Toc32433"/>
      <w:r>
        <w:rPr>
          <w:rFonts w:hint="eastAsia" w:ascii="黑体" w:hAnsi="黑体" w:eastAsia="黑体"/>
          <w:b w:val="0"/>
          <w:bCs w:val="0"/>
          <w:color w:val="auto"/>
          <w:sz w:val="48"/>
          <w:szCs w:val="48"/>
          <w:highlight w:val="none"/>
        </w:rPr>
        <w:t>第三卷</w:t>
      </w:r>
      <w:bookmarkEnd w:id="2376"/>
      <w:bookmarkEnd w:id="2377"/>
      <w:bookmarkEnd w:id="2378"/>
    </w:p>
    <w:p w14:paraId="31E06AE7">
      <w:pPr>
        <w:pStyle w:val="2"/>
        <w:pageBreakBefore/>
        <w:spacing w:before="120" w:after="120" w:line="400" w:lineRule="exact"/>
        <w:jc w:val="center"/>
        <w:rPr>
          <w:rFonts w:hint="eastAsia" w:ascii="黑体" w:hAnsi="黑体" w:eastAsia="黑体"/>
          <w:b w:val="0"/>
          <w:bCs w:val="0"/>
          <w:color w:val="auto"/>
          <w:sz w:val="32"/>
          <w:highlight w:val="none"/>
        </w:rPr>
      </w:pPr>
      <w:bookmarkStart w:id="2379" w:name="_Toc521075689"/>
      <w:bookmarkStart w:id="2380" w:name="_Toc521075264"/>
      <w:bookmarkStart w:id="2381" w:name="_Toc9517"/>
      <w:r>
        <w:rPr>
          <w:rFonts w:hint="eastAsia" w:ascii="黑体" w:hAnsi="黑体" w:eastAsia="黑体"/>
          <w:b w:val="0"/>
          <w:bCs w:val="0"/>
          <w:color w:val="auto"/>
          <w:sz w:val="32"/>
          <w:highlight w:val="none"/>
        </w:rPr>
        <w:t>第七章  技术标准和要求</w:t>
      </w:r>
      <w:bookmarkEnd w:id="2379"/>
      <w:bookmarkEnd w:id="2380"/>
      <w:bookmarkEnd w:id="2381"/>
    </w:p>
    <w:p w14:paraId="108EAA42">
      <w:pPr>
        <w:rPr>
          <w:rFonts w:hint="eastAsia"/>
          <w:color w:val="auto"/>
          <w:highlight w:val="none"/>
        </w:rPr>
      </w:pPr>
      <w:r>
        <w:rPr>
          <w:rFonts w:hint="eastAsia"/>
          <w:color w:val="auto"/>
          <w:highlight w:val="none"/>
        </w:rPr>
        <w:t xml:space="preserve"> </w:t>
      </w:r>
      <w:bookmarkStart w:id="2382" w:name="EBf4ec62ce49c94a9f95c168d0a7cc556e"/>
    </w:p>
    <w:p w14:paraId="73F01728">
      <w:pPr>
        <w:pStyle w:val="31"/>
        <w:jc w:val="center"/>
        <w:rPr>
          <w:color w:val="auto"/>
          <w:highlight w:val="none"/>
        </w:rPr>
      </w:pPr>
      <w:bookmarkStart w:id="2383" w:name="_Toc11280"/>
      <w:bookmarkStart w:id="2384" w:name="_Toc474768487"/>
      <w:r>
        <w:rPr>
          <w:rFonts w:hint="eastAsia"/>
          <w:color w:val="auto"/>
          <w:highlight w:val="none"/>
        </w:rPr>
        <w:t>第一节</w:t>
      </w:r>
      <w:r>
        <w:rPr>
          <w:color w:val="auto"/>
          <w:highlight w:val="none"/>
        </w:rPr>
        <w:t xml:space="preserve"> </w:t>
      </w:r>
      <w:r>
        <w:rPr>
          <w:rFonts w:hint="eastAsia"/>
          <w:color w:val="auto"/>
          <w:highlight w:val="none"/>
        </w:rPr>
        <w:t>一般要求</w:t>
      </w:r>
      <w:bookmarkEnd w:id="2383"/>
      <w:bookmarkEnd w:id="2384"/>
    </w:p>
    <w:p w14:paraId="228F912C">
      <w:pPr>
        <w:keepNext/>
        <w:keepLines/>
        <w:spacing w:line="400" w:lineRule="exact"/>
        <w:outlineLvl w:val="2"/>
        <w:rPr>
          <w:rFonts w:eastAsia="黑体"/>
          <w:color w:val="auto"/>
          <w:sz w:val="28"/>
          <w:szCs w:val="28"/>
          <w:highlight w:val="none"/>
        </w:rPr>
      </w:pPr>
      <w:bookmarkStart w:id="2385" w:name="_Toc474768488"/>
      <w:bookmarkStart w:id="2386" w:name="_Toc20821"/>
      <w:r>
        <w:rPr>
          <w:rFonts w:eastAsia="黑体"/>
          <w:color w:val="auto"/>
          <w:sz w:val="28"/>
          <w:szCs w:val="28"/>
          <w:highlight w:val="none"/>
        </w:rPr>
        <w:t>1.</w:t>
      </w:r>
      <w:r>
        <w:rPr>
          <w:rFonts w:hint="eastAsia" w:eastAsia="黑体"/>
          <w:color w:val="auto"/>
          <w:sz w:val="28"/>
          <w:szCs w:val="28"/>
          <w:highlight w:val="none"/>
        </w:rPr>
        <w:t>工程说明</w:t>
      </w:r>
      <w:bookmarkEnd w:id="2385"/>
      <w:bookmarkEnd w:id="2386"/>
    </w:p>
    <w:p w14:paraId="695965AD">
      <w:pPr>
        <w:spacing w:line="480" w:lineRule="exact"/>
        <w:ind w:left="420" w:hanging="420" w:hangingChars="200"/>
        <w:rPr>
          <w:rFonts w:ascii="黑体" w:hAnsi="宋体" w:eastAsia="黑体"/>
          <w:color w:val="auto"/>
          <w:szCs w:val="21"/>
          <w:highlight w:val="none"/>
        </w:rPr>
      </w:pPr>
      <w:r>
        <w:rPr>
          <w:rFonts w:hint="eastAsia" w:ascii="黑体" w:hAnsi="宋体" w:eastAsia="黑体"/>
          <w:color w:val="auto"/>
          <w:szCs w:val="21"/>
          <w:highlight w:val="none"/>
        </w:rPr>
        <w:t>1.1  工程概况</w:t>
      </w:r>
    </w:p>
    <w:p w14:paraId="0EC6AC7A">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l.1.1  本工程基本情况如下：</w:t>
      </w:r>
    </w:p>
    <w:p w14:paraId="67B1E8F2">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详见施工图纸</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0444F192">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1.1.2  本工程施工场地(现场)具体地理位置如下：</w:t>
      </w:r>
    </w:p>
    <w:p w14:paraId="1194C0E7">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详见施工图纸</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82B45CA">
      <w:pPr>
        <w:spacing w:line="480" w:lineRule="exact"/>
        <w:ind w:left="420" w:hanging="420" w:hangingChars="200"/>
        <w:rPr>
          <w:rFonts w:hint="eastAsia" w:ascii="黑体" w:hAnsi="宋体" w:eastAsia="黑体"/>
          <w:color w:val="auto"/>
          <w:szCs w:val="21"/>
          <w:highlight w:val="none"/>
        </w:rPr>
      </w:pPr>
      <w:r>
        <w:rPr>
          <w:rFonts w:hint="eastAsia" w:ascii="黑体" w:hAnsi="宋体" w:eastAsia="黑体"/>
          <w:color w:val="auto"/>
          <w:szCs w:val="21"/>
          <w:highlight w:val="none"/>
        </w:rPr>
        <w:t>1.2    现场条件和周围环境</w:t>
      </w:r>
    </w:p>
    <w:p w14:paraId="210E6E47">
      <w:pPr>
        <w:spacing w:line="48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1.2.1  本工程施工场地(现场)已经具备施工条件。施工场地(现场)临时水源接口位置、临时电源接口位置、临时排污口位置、建筑红线位置、道路交通和出入口、以及施工场地(现场)和周围环境等情况见本章附件A：施工场地(现场)现状平面图。</w:t>
      </w:r>
    </w:p>
    <w:p w14:paraId="79498289">
      <w:pPr>
        <w:spacing w:line="480" w:lineRule="exact"/>
        <w:ind w:left="1050" w:hanging="1050" w:hangingChars="500"/>
        <w:rPr>
          <w:rFonts w:hint="eastAsia" w:ascii="宋体" w:hAnsi="宋体"/>
          <w:color w:val="auto"/>
          <w:szCs w:val="21"/>
          <w:highlight w:val="none"/>
        </w:rPr>
      </w:pPr>
      <w:r>
        <w:rPr>
          <w:rFonts w:hint="eastAsia" w:ascii="宋体" w:hAnsi="宋体"/>
          <w:color w:val="auto"/>
          <w:szCs w:val="21"/>
          <w:highlight w:val="none"/>
        </w:rPr>
        <w:t>1.2.2  施工场地(现场)临时供水管径</w:t>
      </w:r>
      <w:r>
        <w:rPr>
          <w:rFonts w:hint="eastAsia" w:ascii="宋体" w:hAnsi="宋体"/>
          <w:color w:val="auto"/>
          <w:szCs w:val="21"/>
          <w:highlight w:val="none"/>
          <w:u w:val="single"/>
        </w:rPr>
        <w:t xml:space="preserve">   满足施工现场临时供水需要    </w:t>
      </w:r>
      <w:r>
        <w:rPr>
          <w:rFonts w:hint="eastAsia" w:ascii="宋体" w:hAnsi="宋体"/>
          <w:color w:val="auto"/>
          <w:szCs w:val="21"/>
          <w:highlight w:val="none"/>
        </w:rPr>
        <w:t>。</w:t>
      </w:r>
    </w:p>
    <w:p w14:paraId="4497513E">
      <w:pPr>
        <w:spacing w:line="480" w:lineRule="exact"/>
        <w:ind w:firstLine="735" w:firstLineChars="350"/>
        <w:rPr>
          <w:rFonts w:hint="eastAsia" w:ascii="宋体" w:hAnsi="宋体"/>
          <w:color w:val="auto"/>
          <w:szCs w:val="21"/>
          <w:highlight w:val="none"/>
        </w:rPr>
      </w:pPr>
      <w:r>
        <w:rPr>
          <w:rFonts w:hint="eastAsia" w:ascii="宋体" w:hAnsi="宋体"/>
          <w:color w:val="auto"/>
          <w:szCs w:val="21"/>
          <w:highlight w:val="none"/>
        </w:rPr>
        <w:t>施工场地(现场)临时排污管径</w:t>
      </w:r>
      <w:r>
        <w:rPr>
          <w:rFonts w:hint="eastAsia" w:ascii="宋体" w:hAnsi="宋体"/>
          <w:color w:val="auto"/>
          <w:szCs w:val="21"/>
          <w:highlight w:val="none"/>
          <w:u w:val="single"/>
        </w:rPr>
        <w:t xml:space="preserve">   满足施工现场临时</w:t>
      </w:r>
      <w:r>
        <w:rPr>
          <w:rFonts w:hint="eastAsia" w:ascii="宋体" w:hAnsi="宋体"/>
          <w:color w:val="auto"/>
          <w:szCs w:val="21"/>
          <w:highlight w:val="none"/>
          <w:u w:val="single"/>
          <w:lang w:val="en-US" w:eastAsia="zh-CN"/>
        </w:rPr>
        <w:t>排污</w:t>
      </w:r>
      <w:r>
        <w:rPr>
          <w:rFonts w:hint="eastAsia" w:ascii="宋体" w:hAnsi="宋体"/>
          <w:color w:val="auto"/>
          <w:szCs w:val="21"/>
          <w:highlight w:val="none"/>
          <w:u w:val="single"/>
        </w:rPr>
        <w:t xml:space="preserve">需要    </w:t>
      </w:r>
      <w:r>
        <w:rPr>
          <w:rFonts w:hint="eastAsia" w:ascii="宋体" w:hAnsi="宋体"/>
          <w:color w:val="auto"/>
          <w:szCs w:val="21"/>
          <w:highlight w:val="none"/>
        </w:rPr>
        <w:t>。</w:t>
      </w:r>
    </w:p>
    <w:p w14:paraId="260648DD">
      <w:pPr>
        <w:spacing w:line="480" w:lineRule="exact"/>
        <w:ind w:left="798" w:leftChars="330" w:hanging="105" w:hangingChars="50"/>
        <w:rPr>
          <w:rFonts w:hint="eastAsia" w:ascii="宋体" w:hAnsi="宋体"/>
          <w:color w:val="auto"/>
          <w:szCs w:val="21"/>
          <w:highlight w:val="none"/>
        </w:rPr>
      </w:pPr>
      <w:r>
        <w:rPr>
          <w:rFonts w:hint="eastAsia" w:ascii="宋体" w:hAnsi="宋体"/>
          <w:color w:val="auto"/>
          <w:szCs w:val="21"/>
          <w:highlight w:val="none"/>
        </w:rPr>
        <w:t>施工场地(现场)临时雨水管径</w:t>
      </w:r>
      <w:r>
        <w:rPr>
          <w:rFonts w:hint="eastAsia" w:ascii="宋体" w:hAnsi="宋体"/>
          <w:color w:val="auto"/>
          <w:szCs w:val="21"/>
          <w:highlight w:val="none"/>
          <w:u w:val="single"/>
        </w:rPr>
        <w:t xml:space="preserve">    满足施工现场临时</w:t>
      </w:r>
      <w:r>
        <w:rPr>
          <w:rFonts w:hint="eastAsia" w:ascii="宋体" w:hAnsi="宋体"/>
          <w:color w:val="auto"/>
          <w:szCs w:val="21"/>
          <w:highlight w:val="none"/>
          <w:u w:val="single"/>
          <w:lang w:val="en-US" w:eastAsia="zh-CN"/>
        </w:rPr>
        <w:t>排水</w:t>
      </w:r>
      <w:r>
        <w:rPr>
          <w:rFonts w:hint="eastAsia" w:ascii="宋体" w:hAnsi="宋体"/>
          <w:color w:val="auto"/>
          <w:szCs w:val="21"/>
          <w:highlight w:val="none"/>
          <w:u w:val="single"/>
        </w:rPr>
        <w:t xml:space="preserve">需要   </w:t>
      </w:r>
      <w:r>
        <w:rPr>
          <w:rFonts w:hint="eastAsia" w:ascii="宋体" w:hAnsi="宋体"/>
          <w:color w:val="auto"/>
          <w:szCs w:val="21"/>
          <w:highlight w:val="none"/>
        </w:rPr>
        <w:t>。</w:t>
      </w:r>
    </w:p>
    <w:p w14:paraId="2F0C1E2F">
      <w:pPr>
        <w:spacing w:line="480" w:lineRule="exact"/>
        <w:ind w:firstLine="756" w:firstLineChars="360"/>
        <w:rPr>
          <w:rFonts w:hint="eastAsia" w:ascii="宋体" w:hAnsi="宋体"/>
          <w:color w:val="auto"/>
          <w:szCs w:val="21"/>
          <w:highlight w:val="none"/>
        </w:rPr>
      </w:pPr>
      <w:r>
        <w:rPr>
          <w:rFonts w:hint="eastAsia" w:ascii="宋体" w:hAnsi="宋体"/>
          <w:color w:val="auto"/>
          <w:szCs w:val="21"/>
          <w:highlight w:val="none"/>
        </w:rPr>
        <w:t>施工现场临时供电容量(变压器输出功率)</w:t>
      </w:r>
      <w:r>
        <w:rPr>
          <w:rFonts w:hint="eastAsia" w:ascii="宋体" w:hAnsi="宋体"/>
          <w:color w:val="auto"/>
          <w:szCs w:val="21"/>
          <w:highlight w:val="none"/>
          <w:u w:val="single"/>
        </w:rPr>
        <w:t xml:space="preserve"> 满足施工现场临时供电需要   </w:t>
      </w:r>
      <w:r>
        <w:rPr>
          <w:rFonts w:hint="eastAsia" w:ascii="宋体" w:hAnsi="宋体"/>
          <w:color w:val="auto"/>
          <w:szCs w:val="21"/>
          <w:highlight w:val="none"/>
        </w:rPr>
        <w:t>。</w:t>
      </w:r>
    </w:p>
    <w:p w14:paraId="416262F0">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1.2.3  现场条件和周围环境的其他资料和信息数据如下：</w:t>
      </w:r>
    </w:p>
    <w:p w14:paraId="677F25B6">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根据地勘报告及具体现场核实后确定   </w:t>
      </w:r>
      <w:r>
        <w:rPr>
          <w:rFonts w:hint="eastAsia" w:ascii="宋体" w:hAnsi="宋体"/>
          <w:color w:val="auto"/>
          <w:szCs w:val="21"/>
          <w:highlight w:val="none"/>
        </w:rPr>
        <w:t>。</w:t>
      </w:r>
    </w:p>
    <w:p w14:paraId="0A9D0E91">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1.2.4  承包人被认为已在本工程投标阶段踏勘现场时充分了解本工程现场条件和周围</w:t>
      </w:r>
    </w:p>
    <w:p w14:paraId="00211CF0">
      <w:pPr>
        <w:spacing w:line="480" w:lineRule="exact"/>
        <w:ind w:left="420" w:leftChars="200" w:firstLine="315" w:firstLineChars="150"/>
        <w:rPr>
          <w:rFonts w:hint="eastAsia" w:ascii="宋体" w:hAnsi="宋体"/>
          <w:color w:val="auto"/>
          <w:szCs w:val="21"/>
          <w:highlight w:val="none"/>
        </w:rPr>
      </w:pPr>
      <w:r>
        <w:rPr>
          <w:rFonts w:hint="eastAsia" w:ascii="宋体" w:hAnsi="宋体"/>
          <w:color w:val="auto"/>
          <w:szCs w:val="21"/>
          <w:highlight w:val="none"/>
        </w:rPr>
        <w:t>环境，并已在其投标时就此给予了充分的考虑。</w:t>
      </w:r>
    </w:p>
    <w:p w14:paraId="7B06DB0A">
      <w:pPr>
        <w:spacing w:line="480" w:lineRule="exact"/>
        <w:ind w:left="420" w:hanging="420" w:hangingChars="200"/>
        <w:rPr>
          <w:rFonts w:hint="eastAsia" w:ascii="黑体" w:hAnsi="宋体" w:eastAsia="黑体"/>
          <w:color w:val="auto"/>
          <w:szCs w:val="21"/>
          <w:highlight w:val="none"/>
        </w:rPr>
      </w:pPr>
      <w:r>
        <w:rPr>
          <w:rFonts w:hint="eastAsia" w:ascii="黑体" w:hAnsi="宋体" w:eastAsia="黑体"/>
          <w:color w:val="auto"/>
          <w:szCs w:val="21"/>
          <w:highlight w:val="none"/>
        </w:rPr>
        <w:t>1.3   地质及水文资料</w:t>
      </w:r>
    </w:p>
    <w:p w14:paraId="70D48F05">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1.3.1  现场地质及水文资料和信息数据如下：</w:t>
      </w:r>
    </w:p>
    <w:p w14:paraId="58A59146">
      <w:pPr>
        <w:spacing w:line="48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根据地勘报告及具体现场核实后确定   </w:t>
      </w:r>
      <w:r>
        <w:rPr>
          <w:rFonts w:hint="eastAsia" w:ascii="宋体" w:hAnsi="宋体"/>
          <w:color w:val="auto"/>
          <w:szCs w:val="21"/>
          <w:highlight w:val="none"/>
        </w:rPr>
        <w:t>。</w:t>
      </w:r>
    </w:p>
    <w:p w14:paraId="11A3EB50">
      <w:pPr>
        <w:spacing w:line="400" w:lineRule="exact"/>
        <w:ind w:left="1200" w:hanging="1200" w:hangingChars="500"/>
        <w:rPr>
          <w:rFonts w:hint="eastAsia" w:ascii="黑体" w:hAnsi="宋体" w:eastAsia="黑体"/>
          <w:color w:val="auto"/>
          <w:sz w:val="24"/>
          <w:highlight w:val="none"/>
        </w:rPr>
      </w:pPr>
      <w:r>
        <w:rPr>
          <w:rFonts w:hint="eastAsia" w:ascii="黑体" w:hAnsi="宋体" w:eastAsia="黑体"/>
          <w:color w:val="auto"/>
          <w:sz w:val="24"/>
          <w:szCs w:val="24"/>
          <w:highlight w:val="none"/>
        </w:rPr>
        <w:t>1.4    资料和信息的使用</w:t>
      </w:r>
    </w:p>
    <w:p w14:paraId="1E0B2B26">
      <w:pPr>
        <w:spacing w:line="400" w:lineRule="exact"/>
        <w:ind w:left="783" w:hanging="783" w:hangingChars="373"/>
        <w:rPr>
          <w:rFonts w:hint="eastAsia" w:ascii="宋体" w:hAnsi="宋体"/>
          <w:color w:val="auto"/>
          <w:szCs w:val="21"/>
          <w:highlight w:val="none"/>
        </w:rPr>
      </w:pPr>
      <w:r>
        <w:rPr>
          <w:rFonts w:hint="eastAsia" w:ascii="宋体" w:hAnsi="宋体"/>
          <w:color w:val="auto"/>
          <w:szCs w:val="21"/>
          <w:highlight w:val="none"/>
        </w:rPr>
        <w:t>1.4.1  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14:paraId="4110C683">
      <w:pPr>
        <w:keepNext/>
        <w:keepLines/>
        <w:spacing w:line="400" w:lineRule="exact"/>
        <w:outlineLvl w:val="2"/>
        <w:rPr>
          <w:rFonts w:hint="eastAsia" w:eastAsia="黑体"/>
          <w:color w:val="auto"/>
          <w:sz w:val="28"/>
          <w:szCs w:val="28"/>
          <w:highlight w:val="none"/>
        </w:rPr>
      </w:pPr>
      <w:bookmarkStart w:id="2387" w:name="_Toc30953"/>
      <w:bookmarkStart w:id="2388" w:name="_Toc474768489"/>
      <w:r>
        <w:rPr>
          <w:rFonts w:eastAsia="黑体"/>
          <w:color w:val="auto"/>
          <w:sz w:val="28"/>
          <w:szCs w:val="28"/>
          <w:highlight w:val="none"/>
        </w:rPr>
        <w:t>2.</w:t>
      </w:r>
      <w:r>
        <w:rPr>
          <w:rFonts w:hint="eastAsia" w:eastAsia="黑体"/>
          <w:color w:val="auto"/>
          <w:sz w:val="28"/>
          <w:szCs w:val="28"/>
          <w:highlight w:val="none"/>
        </w:rPr>
        <w:t>承包范围</w:t>
      </w:r>
      <w:bookmarkEnd w:id="2387"/>
      <w:bookmarkEnd w:id="2388"/>
    </w:p>
    <w:p w14:paraId="592424AF">
      <w:pPr>
        <w:spacing w:line="400" w:lineRule="exact"/>
        <w:ind w:left="1200" w:hanging="1200" w:hangingChars="500"/>
        <w:rPr>
          <w:rFonts w:ascii="黑体" w:hAnsi="宋体" w:eastAsia="黑体"/>
          <w:color w:val="auto"/>
          <w:sz w:val="24"/>
          <w:highlight w:val="none"/>
        </w:rPr>
      </w:pPr>
      <w:r>
        <w:rPr>
          <w:rFonts w:hint="eastAsia" w:ascii="黑体" w:hAnsi="宋体" w:eastAsia="黑体"/>
          <w:color w:val="auto"/>
          <w:sz w:val="24"/>
          <w:szCs w:val="24"/>
          <w:highlight w:val="none"/>
        </w:rPr>
        <w:t>2.1    承包范围</w:t>
      </w:r>
    </w:p>
    <w:p w14:paraId="308AFE9D">
      <w:pPr>
        <w:spacing w:line="400" w:lineRule="exact"/>
        <w:ind w:left="1050" w:hanging="1050" w:hangingChars="500"/>
        <w:rPr>
          <w:rFonts w:hint="eastAsia" w:ascii="黑体" w:hAnsi="宋体" w:eastAsia="黑体"/>
          <w:color w:val="auto"/>
          <w:szCs w:val="21"/>
          <w:highlight w:val="none"/>
        </w:rPr>
      </w:pPr>
      <w:r>
        <w:rPr>
          <w:rFonts w:hint="eastAsia" w:ascii="黑体" w:hAnsi="宋体" w:eastAsia="黑体"/>
          <w:color w:val="auto"/>
          <w:szCs w:val="21"/>
          <w:highlight w:val="none"/>
        </w:rPr>
        <w:t>2.1.1   承包人自行施工范围</w:t>
      </w:r>
    </w:p>
    <w:p w14:paraId="7E09989A">
      <w:pPr>
        <w:spacing w:line="400" w:lineRule="exact"/>
        <w:ind w:left="1050" w:leftChars="250" w:hanging="525" w:hangingChars="250"/>
        <w:rPr>
          <w:rFonts w:hint="eastAsia" w:ascii="宋体" w:hAnsi="宋体"/>
          <w:color w:val="auto"/>
          <w:szCs w:val="21"/>
          <w:highlight w:val="none"/>
        </w:rPr>
      </w:pPr>
      <w:r>
        <w:rPr>
          <w:rFonts w:hint="eastAsia" w:ascii="宋体" w:hAnsi="宋体"/>
          <w:color w:val="auto"/>
          <w:szCs w:val="21"/>
          <w:highlight w:val="none"/>
        </w:rPr>
        <w:t xml:space="preserve">   本工程承包人自行施工的工程范围如下：</w:t>
      </w:r>
    </w:p>
    <w:p w14:paraId="25D95259">
      <w:pPr>
        <w:spacing w:line="500" w:lineRule="exact"/>
        <w:ind w:left="420" w:hanging="420" w:hanging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图纸、工程量清单内全部内容为准 </w:t>
      </w:r>
      <w:r>
        <w:rPr>
          <w:rFonts w:hint="eastAsia" w:ascii="宋体" w:hAnsi="宋体"/>
          <w:color w:val="auto"/>
          <w:szCs w:val="21"/>
          <w:highlight w:val="none"/>
        </w:rPr>
        <w:t>。</w:t>
      </w:r>
    </w:p>
    <w:p w14:paraId="4F84C20C">
      <w:pPr>
        <w:spacing w:line="400" w:lineRule="exact"/>
        <w:ind w:left="1050" w:hanging="1050" w:hangingChars="500"/>
        <w:rPr>
          <w:rFonts w:hint="eastAsia" w:ascii="黑体" w:hAnsi="宋体" w:eastAsia="黑体"/>
          <w:color w:val="auto"/>
          <w:szCs w:val="21"/>
          <w:highlight w:val="none"/>
        </w:rPr>
      </w:pPr>
      <w:r>
        <w:rPr>
          <w:rFonts w:hint="eastAsia" w:ascii="黑体" w:hAnsi="宋体" w:eastAsia="黑体"/>
          <w:color w:val="auto"/>
          <w:szCs w:val="21"/>
          <w:highlight w:val="none"/>
        </w:rPr>
        <w:t>2.1.2    承包范围内的暂估价项目</w:t>
      </w:r>
    </w:p>
    <w:p w14:paraId="116F69F2">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2.1.2.1  承包范围内以暂估价形式实施的专业工程见第五章“工程量清单”表4.11—3“专业工程暂估价表”。</w:t>
      </w:r>
    </w:p>
    <w:p w14:paraId="47BB9016">
      <w:pPr>
        <w:tabs>
          <w:tab w:val="left" w:pos="1260"/>
        </w:tabs>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2.1.2.2  承包范围内以暂估价形式实施的材料和工程设备见第五章“工程量清单”表4.11—2“材料和工程设备暂估单价表”。</w:t>
      </w:r>
    </w:p>
    <w:p w14:paraId="42B0FF65">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2.1.2.3  上述暂估价项目与本节第2.1.1项承包人自行施工范围的工作界面划分如下：</w:t>
      </w:r>
    </w:p>
    <w:p w14:paraId="28C5DB48">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具体以工程量清单为准 </w:t>
      </w:r>
      <w:r>
        <w:rPr>
          <w:rFonts w:hint="eastAsia" w:ascii="宋体" w:hAnsi="宋体"/>
          <w:color w:val="auto"/>
          <w:szCs w:val="21"/>
          <w:highlight w:val="none"/>
        </w:rPr>
        <w:t>。</w:t>
      </w:r>
    </w:p>
    <w:p w14:paraId="795F16C7">
      <w:pPr>
        <w:spacing w:line="400" w:lineRule="exact"/>
        <w:ind w:left="735" w:hanging="735" w:hangingChars="350"/>
        <w:rPr>
          <w:rFonts w:hint="eastAsia" w:ascii="黑体" w:hAnsi="宋体" w:eastAsia="黑体"/>
          <w:color w:val="auto"/>
          <w:szCs w:val="21"/>
          <w:highlight w:val="none"/>
        </w:rPr>
      </w:pPr>
      <w:r>
        <w:rPr>
          <w:rFonts w:hint="eastAsia" w:ascii="黑体" w:hAnsi="宋体" w:eastAsia="黑体"/>
          <w:color w:val="auto"/>
          <w:szCs w:val="21"/>
          <w:highlight w:val="none"/>
        </w:rPr>
        <w:t>2.1.3     承包范围内的暂列金额项目</w:t>
      </w:r>
    </w:p>
    <w:p w14:paraId="21D89DAD">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2.1.3.1  承包范围内以暂列金额(包括计日工)方式实施的项目见第五章“工程量清单”表4.1l—l“暂列金额明细表”(不包括计日工)和表4.1l一4“计日工表”，其中计日工金额为承包人在其投标报价中按表4.11—4“计日工表”所列计日工子目、数量和相应规定填报的金额。</w:t>
      </w:r>
    </w:p>
    <w:p w14:paraId="72F7AABC">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2.1.3.2  暂列金额明细表中每笔暂列金额所对应的子目，包括计日工，均只是可能发生的子目。承包人应当充分认识到，合同履行过程中所列暂列金额可能不发生，也可能部分发生。即便发生，监理人按照合同约定发出的使用暂列金额的指示也不限于只能用于表中所列子目。</w:t>
      </w:r>
    </w:p>
    <w:p w14:paraId="34E1C8CC">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2.1.3.3  暂列金额是否实际发生、其再分和合并等均不应成为承包人要求任何追加费用和(或)延长工期的理由。</w:t>
      </w:r>
    </w:p>
    <w:p w14:paraId="58A6F8C1">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2.1.3.4  关于暂列金额的其他说明：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0DD1318D">
      <w:pPr>
        <w:spacing w:line="400" w:lineRule="exact"/>
        <w:ind w:left="735" w:hanging="735" w:hangingChars="350"/>
        <w:rPr>
          <w:rFonts w:hint="eastAsia" w:ascii="黑体" w:hAnsi="宋体" w:eastAsia="黑体"/>
          <w:color w:val="auto"/>
          <w:szCs w:val="21"/>
          <w:highlight w:val="none"/>
        </w:rPr>
      </w:pPr>
      <w:r>
        <w:rPr>
          <w:rFonts w:hint="eastAsia" w:ascii="黑体" w:hAnsi="宋体" w:eastAsia="黑体"/>
          <w:color w:val="auto"/>
          <w:szCs w:val="21"/>
          <w:highlight w:val="none"/>
        </w:rPr>
        <w:t>2.2    发包人发包专业工程和发包人供应的材料和工程设备</w:t>
      </w:r>
    </w:p>
    <w:p w14:paraId="4FA398D4">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2.2.1  由发包人发包的专业工程属于与本工程有关的其他工程，不属于承包人的承包范围。发包人发包的专业工程如下：</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1CF458CB">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2.2.2  由发包人供应的材料和工程设备不属于承包人的承包范围。发包人供应的材料和工程设备见合同附件二“发包人供应的材料和工程设备一览表”。</w:t>
      </w:r>
    </w:p>
    <w:p w14:paraId="336009D9">
      <w:pPr>
        <w:spacing w:line="400" w:lineRule="exact"/>
        <w:ind w:left="735" w:hanging="735" w:hangingChars="350"/>
        <w:rPr>
          <w:rFonts w:hint="eastAsia" w:ascii="黑体" w:hAnsi="宋体" w:eastAsia="黑体"/>
          <w:color w:val="auto"/>
          <w:szCs w:val="21"/>
          <w:highlight w:val="none"/>
        </w:rPr>
      </w:pPr>
      <w:r>
        <w:rPr>
          <w:rFonts w:hint="eastAsia" w:ascii="黑体" w:hAnsi="宋体" w:eastAsia="黑体"/>
          <w:color w:val="auto"/>
          <w:szCs w:val="21"/>
          <w:highlight w:val="none"/>
        </w:rPr>
        <w:t>2.3    承包人与发包人发包专业工程承包人的工作界面</w:t>
      </w:r>
    </w:p>
    <w:p w14:paraId="3ECA81CE">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2.3.1  承包人与发包人发包专业工程承包人以及与发包人供应的材料和设备的供应商之间的工作界面划分如下：</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6040A83">
      <w:pPr>
        <w:spacing w:line="400" w:lineRule="exact"/>
        <w:ind w:left="735" w:hanging="735" w:hangingChars="350"/>
        <w:rPr>
          <w:rFonts w:hint="eastAsia" w:ascii="黑体" w:hAnsi="宋体" w:eastAsia="黑体"/>
          <w:color w:val="auto"/>
          <w:szCs w:val="21"/>
          <w:highlight w:val="none"/>
        </w:rPr>
      </w:pPr>
      <w:r>
        <w:rPr>
          <w:rFonts w:hint="eastAsia" w:ascii="黑体" w:hAnsi="宋体" w:eastAsia="黑体"/>
          <w:color w:val="auto"/>
          <w:szCs w:val="21"/>
          <w:highlight w:val="none"/>
        </w:rPr>
        <w:t>2.4    承包人需要为发包人和监理人提供的现场办公条件和设施</w:t>
      </w:r>
    </w:p>
    <w:p w14:paraId="52C67B7E">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2.4.1  承包人需要为发包人和监理人提供的现场办公条件和设施及其详细要求如下：</w:t>
      </w:r>
    </w:p>
    <w:p w14:paraId="65122C92">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szCs w:val="21"/>
          <w:u w:val="single"/>
        </w:rPr>
        <w:t>按发包人及监理人实际要求提供，具体在合同签订时明确</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0FC2A9B2">
      <w:pPr>
        <w:keepNext/>
        <w:keepLines/>
        <w:spacing w:line="400" w:lineRule="exact"/>
        <w:outlineLvl w:val="2"/>
        <w:rPr>
          <w:rFonts w:hint="eastAsia" w:eastAsia="黑体"/>
          <w:color w:val="auto"/>
          <w:sz w:val="28"/>
          <w:szCs w:val="28"/>
          <w:highlight w:val="none"/>
        </w:rPr>
      </w:pPr>
      <w:bookmarkStart w:id="2389" w:name="_Toc11384"/>
      <w:bookmarkStart w:id="2390" w:name="_Toc474768490"/>
      <w:r>
        <w:rPr>
          <w:rFonts w:eastAsia="黑体"/>
          <w:color w:val="auto"/>
          <w:sz w:val="28"/>
          <w:szCs w:val="28"/>
          <w:highlight w:val="none"/>
        </w:rPr>
        <w:t>3.</w:t>
      </w:r>
      <w:r>
        <w:rPr>
          <w:rFonts w:hint="eastAsia" w:eastAsia="黑体"/>
          <w:color w:val="auto"/>
          <w:sz w:val="28"/>
          <w:szCs w:val="28"/>
          <w:highlight w:val="none"/>
        </w:rPr>
        <w:t>工期要求</w:t>
      </w:r>
      <w:bookmarkEnd w:id="2389"/>
      <w:bookmarkEnd w:id="2390"/>
    </w:p>
    <w:p w14:paraId="541D08DF">
      <w:pPr>
        <w:spacing w:line="400" w:lineRule="exact"/>
        <w:ind w:left="840" w:hanging="840" w:hangingChars="350"/>
        <w:rPr>
          <w:rFonts w:ascii="黑体" w:hAnsi="宋体" w:eastAsia="黑体"/>
          <w:color w:val="auto"/>
          <w:sz w:val="24"/>
          <w:highlight w:val="none"/>
        </w:rPr>
      </w:pPr>
      <w:r>
        <w:rPr>
          <w:rFonts w:hint="eastAsia" w:ascii="黑体" w:hAnsi="宋体" w:eastAsia="黑体"/>
          <w:color w:val="auto"/>
          <w:sz w:val="24"/>
          <w:szCs w:val="24"/>
          <w:highlight w:val="none"/>
        </w:rPr>
        <w:t>3.1   合同工期</w:t>
      </w:r>
    </w:p>
    <w:p w14:paraId="05520D9B">
      <w:pPr>
        <w:spacing w:line="400" w:lineRule="exact"/>
        <w:ind w:left="711" w:leftChars="333" w:hanging="12" w:hangingChars="6"/>
        <w:rPr>
          <w:rFonts w:hint="eastAsia" w:ascii="宋体" w:hAnsi="宋体"/>
          <w:color w:val="auto"/>
          <w:szCs w:val="21"/>
          <w:highlight w:val="none"/>
        </w:rPr>
      </w:pPr>
      <w:r>
        <w:rPr>
          <w:rFonts w:hint="eastAsia" w:ascii="宋体" w:hAnsi="宋体"/>
          <w:color w:val="auto"/>
          <w:szCs w:val="21"/>
          <w:highlight w:val="none"/>
        </w:rPr>
        <w:t>本工程合同工期和计划开、竣工日期为承包人在投标函附录中承诺的工期和计划开、竣工日期，并在合同协议书中载明。</w:t>
      </w:r>
    </w:p>
    <w:p w14:paraId="293A5F23">
      <w:pPr>
        <w:spacing w:line="400" w:lineRule="exact"/>
        <w:ind w:left="840" w:hanging="840" w:hangingChars="350"/>
        <w:rPr>
          <w:rFonts w:hint="eastAsia" w:ascii="黑体" w:hAnsi="宋体" w:eastAsia="黑体"/>
          <w:color w:val="auto"/>
          <w:sz w:val="24"/>
          <w:highlight w:val="none"/>
        </w:rPr>
      </w:pPr>
      <w:r>
        <w:rPr>
          <w:rFonts w:hint="eastAsia" w:ascii="黑体" w:hAnsi="宋体" w:eastAsia="黑体"/>
          <w:color w:val="auto"/>
          <w:sz w:val="24"/>
          <w:szCs w:val="24"/>
          <w:highlight w:val="none"/>
        </w:rPr>
        <w:t>3.2   关于工期的一般规定</w:t>
      </w:r>
    </w:p>
    <w:p w14:paraId="4C36FEDC">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3.2.1  承包人在投标函中承诺的工期和计划开、竣工日期之间发生矛盾或者不一致时，以承包人承诺的工期为准。实际开工日期以通用合同条款第11.1款约定的监理人发出的开工通知中载明的开工日期为准。</w:t>
      </w:r>
    </w:p>
    <w:p w14:paraId="7BE21DEE">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3.2.2  如果承包人在投标函附录中承诺的工期提前于发包人在本工程招标文件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14:paraId="24AD080A">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3.2.3  承包人在投标函附录中所承诺的工期应当包括实施并完成本节上述2.1.2项规定的暂估价项目和上述2.1.3项规定的实际可能发生的暂列金额在内的所有工作的工期。</w:t>
      </w:r>
    </w:p>
    <w:p w14:paraId="6872A431">
      <w:pPr>
        <w:keepNext/>
        <w:keepLines/>
        <w:spacing w:line="400" w:lineRule="exact"/>
        <w:outlineLvl w:val="2"/>
        <w:rPr>
          <w:rFonts w:hint="eastAsia" w:eastAsia="黑体"/>
          <w:color w:val="auto"/>
          <w:sz w:val="28"/>
          <w:szCs w:val="28"/>
          <w:highlight w:val="none"/>
        </w:rPr>
      </w:pPr>
      <w:bookmarkStart w:id="2391" w:name="_Toc408"/>
      <w:bookmarkStart w:id="2392" w:name="_Toc474768491"/>
      <w:r>
        <w:rPr>
          <w:rFonts w:eastAsia="黑体"/>
          <w:color w:val="auto"/>
          <w:sz w:val="28"/>
          <w:szCs w:val="28"/>
          <w:highlight w:val="none"/>
        </w:rPr>
        <w:t>4.</w:t>
      </w:r>
      <w:r>
        <w:rPr>
          <w:rFonts w:hint="eastAsia" w:eastAsia="黑体"/>
          <w:color w:val="auto"/>
          <w:sz w:val="28"/>
          <w:szCs w:val="28"/>
          <w:highlight w:val="none"/>
        </w:rPr>
        <w:t>质量要求</w:t>
      </w:r>
      <w:bookmarkEnd w:id="2391"/>
      <w:bookmarkEnd w:id="2392"/>
    </w:p>
    <w:p w14:paraId="5EB88F1C">
      <w:pPr>
        <w:spacing w:line="400" w:lineRule="exact"/>
        <w:ind w:left="840" w:hanging="840" w:hangingChars="350"/>
        <w:rPr>
          <w:rFonts w:ascii="黑体" w:hAnsi="宋体" w:eastAsia="黑体"/>
          <w:color w:val="auto"/>
          <w:sz w:val="24"/>
          <w:highlight w:val="none"/>
        </w:rPr>
      </w:pPr>
      <w:r>
        <w:rPr>
          <w:rFonts w:hint="eastAsia" w:ascii="黑体" w:hAnsi="宋体" w:eastAsia="黑体"/>
          <w:color w:val="auto"/>
          <w:sz w:val="24"/>
          <w:szCs w:val="24"/>
          <w:highlight w:val="none"/>
        </w:rPr>
        <w:t>4.1   质量标准</w:t>
      </w:r>
    </w:p>
    <w:p w14:paraId="556FBF40">
      <w:pPr>
        <w:spacing w:line="4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4.1.1  本工程要求的质量标准为</w:t>
      </w:r>
      <w:r>
        <w:rPr>
          <w:rFonts w:hint="eastAsia" w:ascii="宋体" w:hAnsi="宋体" w:cs="Arial"/>
          <w:color w:val="auto"/>
          <w:szCs w:val="24"/>
          <w:highlight w:val="none"/>
          <w:u w:val="single"/>
        </w:rPr>
        <w:t>符合现行国家有关工程施工验收规范和标准的要求（也称合格）</w:t>
      </w:r>
      <w:r>
        <w:rPr>
          <w:rFonts w:hint="eastAsia" w:ascii="宋体" w:hAnsi="宋体"/>
          <w:color w:val="auto"/>
          <w:szCs w:val="21"/>
          <w:highlight w:val="none"/>
        </w:rPr>
        <w:t>。</w:t>
      </w:r>
    </w:p>
    <w:p w14:paraId="54DA11DD">
      <w:pPr>
        <w:spacing w:before="24" w:beforeLines="10" w:after="24" w:afterLines="10" w:line="420" w:lineRule="exact"/>
        <w:ind w:left="840" w:hanging="840" w:hangingChars="350"/>
        <w:rPr>
          <w:rFonts w:hint="eastAsia" w:ascii="黑体" w:hAnsi="宋体" w:eastAsia="黑体"/>
          <w:color w:val="auto"/>
          <w:sz w:val="24"/>
          <w:highlight w:val="none"/>
        </w:rPr>
      </w:pPr>
      <w:r>
        <w:rPr>
          <w:rFonts w:hint="eastAsia" w:ascii="黑体" w:hAnsi="宋体" w:eastAsia="黑体"/>
          <w:color w:val="auto"/>
          <w:sz w:val="24"/>
          <w:szCs w:val="24"/>
          <w:highlight w:val="none"/>
        </w:rPr>
        <w:t>4.2   特殊质量要求</w:t>
      </w:r>
    </w:p>
    <w:p w14:paraId="79EE126B">
      <w:pPr>
        <w:spacing w:line="50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4.2.1  有关本工程质量方面的特殊要求如下：</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8D2356B">
      <w:pPr>
        <w:keepNext/>
        <w:keepLines/>
        <w:spacing w:line="400" w:lineRule="exact"/>
        <w:outlineLvl w:val="2"/>
        <w:rPr>
          <w:rFonts w:hint="eastAsia" w:eastAsia="黑体"/>
          <w:color w:val="auto"/>
          <w:sz w:val="28"/>
          <w:szCs w:val="28"/>
          <w:highlight w:val="none"/>
        </w:rPr>
      </w:pPr>
      <w:bookmarkStart w:id="2393" w:name="_Toc9923"/>
      <w:bookmarkStart w:id="2394" w:name="_Toc474768492"/>
      <w:r>
        <w:rPr>
          <w:rFonts w:eastAsia="黑体"/>
          <w:color w:val="auto"/>
          <w:sz w:val="28"/>
          <w:szCs w:val="28"/>
          <w:highlight w:val="none"/>
        </w:rPr>
        <w:t>5.</w:t>
      </w:r>
      <w:r>
        <w:rPr>
          <w:rFonts w:hint="eastAsia" w:eastAsia="黑体"/>
          <w:color w:val="auto"/>
          <w:sz w:val="28"/>
          <w:szCs w:val="28"/>
          <w:highlight w:val="none"/>
        </w:rPr>
        <w:t>适用规范和标准</w:t>
      </w:r>
      <w:bookmarkEnd w:id="2393"/>
      <w:bookmarkEnd w:id="2394"/>
    </w:p>
    <w:p w14:paraId="105F19C9">
      <w:pPr>
        <w:spacing w:before="24" w:beforeLines="10" w:after="24" w:afterLines="10" w:line="420" w:lineRule="exact"/>
        <w:ind w:left="840" w:hanging="840" w:hangingChars="350"/>
        <w:rPr>
          <w:rFonts w:ascii="黑体" w:hAnsi="宋体" w:eastAsia="黑体"/>
          <w:color w:val="auto"/>
          <w:sz w:val="24"/>
          <w:highlight w:val="none"/>
        </w:rPr>
      </w:pPr>
      <w:r>
        <w:rPr>
          <w:rFonts w:hint="eastAsia" w:ascii="黑体" w:hAnsi="宋体" w:eastAsia="黑体"/>
          <w:color w:val="auto"/>
          <w:sz w:val="24"/>
          <w:szCs w:val="24"/>
          <w:highlight w:val="none"/>
        </w:rPr>
        <w:t>5.1    适用的规范、标准和规程</w:t>
      </w:r>
    </w:p>
    <w:p w14:paraId="589EBCED">
      <w:pPr>
        <w:spacing w:line="42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5.1.1  除合同另有约定外，本工程适用现行国家、行业和地方规范、标准和规程。适用于本工程的国家、行业和地方的规范、标准和规范等的名录见本章第三节。</w:t>
      </w:r>
    </w:p>
    <w:p w14:paraId="0FA0CF1C">
      <w:pPr>
        <w:spacing w:line="420" w:lineRule="exact"/>
        <w:ind w:left="737"/>
        <w:rPr>
          <w:rFonts w:hint="eastAsia" w:ascii="宋体" w:hAnsi="宋体"/>
          <w:color w:val="auto"/>
          <w:szCs w:val="21"/>
          <w:highlight w:val="none"/>
        </w:rPr>
      </w:pPr>
      <w:r>
        <w:rPr>
          <w:rFonts w:hint="eastAsia" w:ascii="宋体" w:hAnsi="宋体"/>
          <w:color w:val="auto"/>
          <w:szCs w:val="21"/>
          <w:highlight w:val="none"/>
        </w:rPr>
        <w:t>构成合同文件的任何内容与适用的规范、标准和规程之间出现矛盾，承包人应书面要求监理人予以澄清，除监理人有特别指示外，承包人应按照其中要求最严格的标准执行。</w:t>
      </w:r>
    </w:p>
    <w:p w14:paraId="17333AD4">
      <w:pPr>
        <w:spacing w:line="42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5.1.2  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第15条的约定办理。</w:t>
      </w:r>
    </w:p>
    <w:p w14:paraId="77D4205B">
      <w:pPr>
        <w:spacing w:before="24" w:beforeLines="10" w:after="24" w:afterLines="10" w:line="420" w:lineRule="exact"/>
        <w:ind w:left="840" w:hanging="840" w:hangingChars="350"/>
        <w:rPr>
          <w:rFonts w:hint="eastAsia" w:ascii="黑体" w:hAnsi="宋体" w:eastAsia="黑体"/>
          <w:color w:val="auto"/>
          <w:sz w:val="24"/>
          <w:highlight w:val="none"/>
        </w:rPr>
      </w:pPr>
      <w:r>
        <w:rPr>
          <w:rFonts w:hint="eastAsia" w:ascii="黑体" w:hAnsi="宋体" w:eastAsia="黑体"/>
          <w:color w:val="auto"/>
          <w:sz w:val="24"/>
          <w:szCs w:val="24"/>
          <w:highlight w:val="none"/>
        </w:rPr>
        <w:t>5.2    特殊技术标准和要求</w:t>
      </w:r>
    </w:p>
    <w:p w14:paraId="3C375249">
      <w:pPr>
        <w:spacing w:line="43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5.2.1  适用本工程的特殊技术标准和要求见本章第二节。</w:t>
      </w:r>
    </w:p>
    <w:p w14:paraId="3339B54D">
      <w:pPr>
        <w:spacing w:line="43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5.2.2  有合同约束力的图纸和其他设计文件中的有关文字说明是本节的组成内容。</w:t>
      </w:r>
    </w:p>
    <w:p w14:paraId="6E8FEEDF">
      <w:pPr>
        <w:keepNext/>
        <w:keepLines/>
        <w:spacing w:line="400" w:lineRule="exact"/>
        <w:outlineLvl w:val="2"/>
        <w:rPr>
          <w:rFonts w:hint="eastAsia" w:eastAsia="黑体"/>
          <w:color w:val="auto"/>
          <w:sz w:val="28"/>
          <w:szCs w:val="28"/>
          <w:highlight w:val="none"/>
        </w:rPr>
      </w:pPr>
      <w:bookmarkStart w:id="2395" w:name="_Toc474768493"/>
      <w:bookmarkStart w:id="2396" w:name="_Toc11729"/>
      <w:r>
        <w:rPr>
          <w:rFonts w:eastAsia="黑体"/>
          <w:color w:val="auto"/>
          <w:sz w:val="28"/>
          <w:szCs w:val="28"/>
          <w:highlight w:val="none"/>
        </w:rPr>
        <w:t>6.</w:t>
      </w:r>
      <w:r>
        <w:rPr>
          <w:rFonts w:hint="eastAsia" w:eastAsia="黑体"/>
          <w:color w:val="auto"/>
          <w:sz w:val="28"/>
          <w:szCs w:val="28"/>
          <w:highlight w:val="none"/>
        </w:rPr>
        <w:t>安全文明施工</w:t>
      </w:r>
      <w:bookmarkEnd w:id="2395"/>
      <w:bookmarkEnd w:id="2396"/>
    </w:p>
    <w:p w14:paraId="5171DE5F">
      <w:pPr>
        <w:spacing w:line="400" w:lineRule="exact"/>
        <w:ind w:left="840" w:hanging="840" w:hangingChars="350"/>
        <w:rPr>
          <w:rFonts w:ascii="黑体" w:hAnsi="宋体" w:eastAsia="黑体"/>
          <w:color w:val="auto"/>
          <w:sz w:val="24"/>
          <w:highlight w:val="none"/>
        </w:rPr>
      </w:pPr>
      <w:r>
        <w:rPr>
          <w:rFonts w:hint="eastAsia" w:ascii="黑体" w:hAnsi="宋体" w:eastAsia="黑体"/>
          <w:color w:val="auto"/>
          <w:sz w:val="24"/>
          <w:szCs w:val="24"/>
          <w:highlight w:val="none"/>
        </w:rPr>
        <w:t>6.1   安全防护</w:t>
      </w:r>
    </w:p>
    <w:p w14:paraId="6B6A328A">
      <w:pPr>
        <w:spacing w:line="43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6.1.1  在工程施工、竣工、交付及修补任何缺陷的过程中，承包人应当始终遵守国家和地方有关安全生产的法律、法规、规范、标准和规程等，按照通用合同条款第9.2款的约定履行其安全施工职责。</w:t>
      </w:r>
    </w:p>
    <w:p w14:paraId="5E37AB46">
      <w:pPr>
        <w:spacing w:line="430" w:lineRule="exact"/>
        <w:ind w:left="735" w:hanging="735" w:hangingChars="350"/>
        <w:rPr>
          <w:rFonts w:hint="eastAsia" w:ascii="宋体" w:hAnsi="宋体"/>
          <w:color w:val="auto"/>
          <w:szCs w:val="21"/>
          <w:highlight w:val="none"/>
        </w:rPr>
      </w:pPr>
      <w:r>
        <w:rPr>
          <w:rFonts w:hint="eastAsia" w:ascii="宋体" w:hAnsi="宋体"/>
          <w:color w:val="auto"/>
          <w:szCs w:val="21"/>
          <w:highlight w:val="none"/>
        </w:rPr>
        <w:t>6.1.2  承包人应坚持“安全第一，预防为主”的方针，建立、健全安全生产责任制度和安全生产教育培训制度。在整个工程施工期间，承包人应在施工场地(现场)设立、提供和维护并在有关工作完成或竣工后撤除：</w:t>
      </w:r>
    </w:p>
    <w:p w14:paraId="66D907CC">
      <w:pPr>
        <w:spacing w:line="420" w:lineRule="exact"/>
        <w:ind w:left="1075" w:leftChars="249" w:hanging="552" w:hangingChars="263"/>
        <w:rPr>
          <w:rFonts w:hint="eastAsia" w:ascii="宋体" w:hAnsi="宋体"/>
          <w:color w:val="auto"/>
          <w:szCs w:val="21"/>
          <w:highlight w:val="none"/>
        </w:rPr>
      </w:pPr>
      <w:r>
        <w:rPr>
          <w:rFonts w:hint="eastAsia" w:ascii="宋体" w:hAnsi="宋体"/>
          <w:color w:val="auto"/>
          <w:szCs w:val="21"/>
          <w:highlight w:val="none"/>
        </w:rPr>
        <w:t>（1）设立在现场入口显著位置的现场施工总平面图、总平面管理、安全生产、文明施工、环境保护、质量控制、材料管理等的规章制度和主要参建单位名称和工程概况等说明的图板；</w:t>
      </w:r>
    </w:p>
    <w:p w14:paraId="38E4687F">
      <w:pPr>
        <w:spacing w:line="400" w:lineRule="exact"/>
        <w:ind w:left="1050" w:leftChars="250" w:hanging="525" w:hangingChars="250"/>
        <w:rPr>
          <w:rFonts w:hint="eastAsia" w:ascii="宋体" w:hAnsi="宋体"/>
          <w:color w:val="auto"/>
          <w:szCs w:val="21"/>
          <w:highlight w:val="none"/>
        </w:rPr>
      </w:pPr>
      <w:r>
        <w:rPr>
          <w:rFonts w:hint="eastAsia" w:ascii="宋体" w:hAnsi="宋体"/>
          <w:color w:val="auto"/>
          <w:szCs w:val="21"/>
          <w:highlight w:val="none"/>
        </w:rPr>
        <w:t>（2）为确保工程安全施工须设立的足够的标志、宣传画、标语、指示牌、警告牌、火警、匪警和急救电话提示牌等等；</w:t>
      </w:r>
    </w:p>
    <w:p w14:paraId="52A8ED4E">
      <w:pPr>
        <w:spacing w:line="400" w:lineRule="exact"/>
        <w:ind w:left="1155" w:leftChars="250" w:hanging="630" w:hangingChars="300"/>
        <w:rPr>
          <w:rFonts w:hint="eastAsia" w:ascii="宋体" w:hAnsi="宋体"/>
          <w:color w:val="auto"/>
          <w:szCs w:val="21"/>
          <w:highlight w:val="none"/>
        </w:rPr>
      </w:pPr>
      <w:r>
        <w:rPr>
          <w:rFonts w:hint="eastAsia" w:ascii="宋体" w:hAnsi="宋体"/>
          <w:color w:val="auto"/>
          <w:szCs w:val="21"/>
          <w:highlight w:val="none"/>
        </w:rPr>
        <w:t>（3）洞口和临边位置的安全防护设施，包括护身栏杆、脚手架、洞口盖板和加筋、竖井防护栏杆、防护棚、防护网、坡道等等；</w:t>
      </w:r>
    </w:p>
    <w:p w14:paraId="1F906BD7">
      <w:pPr>
        <w:spacing w:line="400" w:lineRule="exact"/>
        <w:ind w:left="1155" w:leftChars="250" w:hanging="630" w:hangingChars="300"/>
        <w:rPr>
          <w:rFonts w:hint="eastAsia" w:ascii="宋体" w:hAnsi="宋体"/>
          <w:color w:val="auto"/>
          <w:szCs w:val="21"/>
          <w:highlight w:val="none"/>
        </w:rPr>
      </w:pPr>
      <w:r>
        <w:rPr>
          <w:rFonts w:hint="eastAsia" w:ascii="宋体" w:hAnsi="宋体"/>
          <w:color w:val="auto"/>
          <w:szCs w:val="21"/>
          <w:highlight w:val="none"/>
        </w:rPr>
        <w:t>（4）安全带、安全绳、安全帽、安全网、绝缘鞋、绝缘手套、防护口罩和防护衣等安全生产用品；</w:t>
      </w:r>
    </w:p>
    <w:p w14:paraId="64D38DC2">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（5）所有机械设备包括各类电动工具的安全保护和接地装置和操作说明；</w:t>
      </w:r>
    </w:p>
    <w:p w14:paraId="1B7071E3">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（6）装备良好的临时急救站和配备称职的医护人员；</w:t>
      </w:r>
    </w:p>
    <w:p w14:paraId="0D52E919">
      <w:pPr>
        <w:spacing w:line="400" w:lineRule="exact"/>
        <w:ind w:left="1050" w:leftChars="250" w:hanging="525" w:hangingChars="250"/>
        <w:rPr>
          <w:rFonts w:hint="eastAsia" w:ascii="宋体" w:hAnsi="宋体"/>
          <w:color w:val="auto"/>
          <w:szCs w:val="21"/>
          <w:highlight w:val="none"/>
        </w:rPr>
      </w:pPr>
      <w:r>
        <w:rPr>
          <w:rFonts w:hint="eastAsia" w:ascii="宋体" w:hAnsi="宋体"/>
          <w:color w:val="auto"/>
          <w:szCs w:val="21"/>
          <w:highlight w:val="none"/>
        </w:rPr>
        <w:t>（7）主要作业场所和临时安全疏散通道24小时36伏安全照明和必要的警示等以防止各种可能的事故；</w:t>
      </w:r>
    </w:p>
    <w:p w14:paraId="6C1CF5E4">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（8）足够数量的和合格的手提灭火器；</w:t>
      </w:r>
    </w:p>
    <w:p w14:paraId="11C9EDAD">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（9）装备良好的易燃易爆物品仓库和相应的使用管理制度；</w:t>
      </w:r>
    </w:p>
    <w:p w14:paraId="4EF75195">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（10）对涉及明火施工的工作制定诸如用火证等的管理制度；</w:t>
      </w:r>
    </w:p>
    <w:p w14:paraId="1B7B3F6F">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（11）其他：</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rPr>
        <w:t>。</w:t>
      </w:r>
    </w:p>
    <w:p w14:paraId="589185B7">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6.1.3    安全文明施工费用必须专款专用，承包人应对其由于安全文明施工费用和施工安全措施不到位而发生的安全事故承担全部责任。</w:t>
      </w:r>
    </w:p>
    <w:p w14:paraId="210154FA">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6.1.4    承包人应建立专门的施工场地(现场)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0BD7D8A7">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6.1.5    承包人应遵照有关法规要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1160DB00">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28287687">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49D072AC">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108B1A02">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规、规章、规范、标准和规程等的要求。</w:t>
      </w:r>
    </w:p>
    <w:p w14:paraId="0F3585D3">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6.1.10   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688B3923">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14:paraId="1B1BC167">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75AA453F">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6.1.13   承包人应成立应急救援小组，配备必要的应急救援器材和设备，制定灾害和生产安全事故的应急救援预案，并将应急救援预案报送监理人。应急救援预案应能随时组织应救专职人员、并定期组织演练。</w:t>
      </w:r>
    </w:p>
    <w:p w14:paraId="0F949551">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6.1.14   施工过程中需要使用爆破或带炸药的工具等危险性施工方法时，承包人应提前通</w:t>
      </w:r>
    </w:p>
    <w:p w14:paraId="75A56472">
      <w:pPr>
        <w:spacing w:line="360" w:lineRule="exact"/>
        <w:ind w:left="945" w:leftChars="450"/>
        <w:rPr>
          <w:rFonts w:hint="eastAsia" w:ascii="宋体" w:hAnsi="宋体"/>
          <w:color w:val="auto"/>
          <w:szCs w:val="21"/>
          <w:highlight w:val="none"/>
        </w:rPr>
      </w:pPr>
      <w:r>
        <w:rPr>
          <w:rFonts w:hint="eastAsia" w:ascii="宋体" w:hAnsi="宋体"/>
          <w:color w:val="auto"/>
          <w:szCs w:val="21"/>
          <w:highlight w:val="none"/>
        </w:rPr>
        <w:t>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52035721">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2ECD4603">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6.1.16   承包人应按照通用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030EFFA9">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6.1.17   承包人还应根据有关法律、法规、规定和条例等的要求，制定一套安全生产应急措施和程序，保证一旦出现任何安全事故，能立即保护好现场，抢救伤员和财产，保证施工生产的正常进行，防止损失扩大。</w:t>
      </w:r>
    </w:p>
    <w:p w14:paraId="7AB79E29">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6.1.18   安全防护方面的其他要求如下：</w:t>
      </w:r>
      <w:r>
        <w:rPr>
          <w:rFonts w:hint="eastAsia" w:ascii="宋体" w:hAnsi="宋体"/>
          <w:color w:val="auto"/>
          <w:szCs w:val="21"/>
          <w:highlight w:val="none"/>
          <w:u w:val="single"/>
        </w:rPr>
        <w:t xml:space="preserve"> 承包人应负责施工场地及周边管线和邻近建筑物、构筑物（包括文物保护建筑）、古树名木的保护工作，相关费用已包含在合同价格内，发包人应提供必要的协助和配合 </w:t>
      </w:r>
      <w:r>
        <w:rPr>
          <w:rFonts w:hint="eastAsia" w:ascii="宋体" w:hAnsi="宋体"/>
          <w:color w:val="auto"/>
          <w:szCs w:val="21"/>
          <w:highlight w:val="none"/>
        </w:rPr>
        <w:t>。</w:t>
      </w:r>
    </w:p>
    <w:p w14:paraId="12B09456">
      <w:pPr>
        <w:spacing w:before="72" w:beforeLines="30" w:after="72" w:afterLines="30" w:line="360" w:lineRule="exact"/>
        <w:ind w:left="108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6.2     临时消防</w:t>
      </w:r>
    </w:p>
    <w:p w14:paraId="02DA7F67">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6.2.1    承包人应建立消防安全责任制度，制定用火、用电和使用易燃易爆等危险品的消防安全管理制度和操作规程。各项制度和规程等应满足相关法律法规和政府消防管理部门的要求。</w:t>
      </w:r>
    </w:p>
    <w:p w14:paraId="146E70DB">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6.2.2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707F4E86">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6.2.3    承包人应当成立由项目主要负责人担任组长的临时消防组或消防队，宣传消防基本知识和基本操作培训，组织消防演练，保证一旦发生火灾，能够组织有效的自救，保护生命和财产安全。</w:t>
      </w:r>
    </w:p>
    <w:p w14:paraId="3CCAC999">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6.2.4    施工场地(现场)内的易燃、易爆物品应单独和安全地存放，设专人进行存放和领用管理。施工场地(现场)储有或正在使用易燃、易爆或可燃材料时或有明火施工的工序，应当实行严格的“用火证”管理制度。</w:t>
      </w:r>
    </w:p>
    <w:p w14:paraId="476B33F6">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6.2.5    临时消防方面的其他要求如下：</w:t>
      </w:r>
      <w:r>
        <w:rPr>
          <w:rFonts w:hint="eastAsia" w:ascii="宋体" w:hAnsi="宋体"/>
          <w:color w:val="auto"/>
          <w:szCs w:val="21"/>
          <w:highlight w:val="none"/>
          <w:u w:val="single"/>
        </w:rPr>
        <w:t xml:space="preserve"> </w:t>
      </w:r>
      <w:r>
        <w:rPr>
          <w:rFonts w:hint="eastAsia" w:ascii="宋体" w:hAnsi="宋体"/>
          <w:szCs w:val="21"/>
          <w:u w:val="single"/>
        </w:rPr>
        <w:t>满足项目所在地消防检查要求</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158FEB89">
      <w:pPr>
        <w:spacing w:before="72" w:beforeLines="30" w:after="72" w:afterLines="30" w:line="360" w:lineRule="exact"/>
        <w:ind w:left="108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6.3      临时供电</w:t>
      </w:r>
    </w:p>
    <w:p w14:paraId="5725FA61">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6.3.1    承包人应当根据《施工现场临时用电安全技术规范》(JGJ 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6484A227">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6.3.2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2A6ED4D8">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6.3.3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地面明设，并应避免机械损伤和介质腐蚀。埋地电缆路径应设方位标志。各种配电设备均设有防止漏电和防雨防水设施。</w:t>
      </w:r>
    </w:p>
    <w:p w14:paraId="2B9282F2">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6.3.4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29DA73DD">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6.3.5    凡可能漏电伤人或易受雷击的电器及建筑物均应设置接地和避雷装置。承包人应负责避雷装置的采购、安装、管理和维修，并建立定期检查制度。</w:t>
      </w:r>
    </w:p>
    <w:p w14:paraId="6F282840">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6.3.6    临时用电方面的其他要求如下：</w:t>
      </w:r>
      <w:r>
        <w:rPr>
          <w:rFonts w:hint="eastAsia" w:ascii="宋体" w:hAnsi="宋体"/>
          <w:szCs w:val="21"/>
          <w:u w:val="single"/>
        </w:rPr>
        <w:t>由承包人负责采购相关用电材料和设施并负责安装，用电费用和相关建设费用均由承包人承担，若现有的用电功率不足以提供施工用电时，办理相关的用电手续产生的费用均由承包人承担</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41B6D021">
      <w:pPr>
        <w:spacing w:line="390" w:lineRule="exact"/>
        <w:ind w:left="108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6.4     劳动保护</w:t>
      </w:r>
    </w:p>
    <w:p w14:paraId="12F5ACF7">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6.4.1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7956E1A6">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6.4.2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570C9BB9">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6.4.3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1C864B20">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6.4.4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6270050E">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6.4.5    承包人应在现场设立专门的临时医疗站，配备足够的设施、药物和称职的医务人员，承包人还应准备急救担架，用于一旦发生安全事故时对受伤人员的急救。</w:t>
      </w:r>
    </w:p>
    <w:p w14:paraId="4C7D54E9">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6.4.6    劳动保护方面的其他要求如下：</w:t>
      </w:r>
      <w:r>
        <w:rPr>
          <w:rFonts w:hint="eastAsia" w:ascii="宋体" w:hAnsi="宋体"/>
          <w:color w:val="auto"/>
          <w:szCs w:val="21"/>
          <w:highlight w:val="none"/>
          <w:u w:val="single"/>
          <w:lang w:val="en-US" w:eastAsia="zh-CN"/>
        </w:rPr>
        <w:t>/</w:t>
      </w:r>
      <w:r>
        <w:rPr>
          <w:rFonts w:hint="eastAsia" w:ascii="宋体" w:hAnsi="宋体"/>
          <w:color w:val="auto"/>
          <w:szCs w:val="21"/>
          <w:highlight w:val="none"/>
        </w:rPr>
        <w:t>。</w:t>
      </w:r>
    </w:p>
    <w:p w14:paraId="1FC28775">
      <w:pPr>
        <w:spacing w:line="360" w:lineRule="exact"/>
        <w:ind w:left="108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6.5     脚手架</w:t>
      </w:r>
    </w:p>
    <w:p w14:paraId="50DBCB5B">
      <w:pPr>
        <w:spacing w:line="38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6.5.1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05355791">
      <w:pPr>
        <w:spacing w:line="38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6.5.2    所有脚手架，尤其是大型、复杂、高耸和非常规脚手架，要编制专项施工方案，还应当经过安全验算，脚手架安全验算结果必须报送监理人核查后方可实施。</w:t>
      </w:r>
    </w:p>
    <w:p w14:paraId="1CE58C45">
      <w:pPr>
        <w:spacing w:line="38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6.5.3    搭设爬架、挂架、超高脚手架等特种或新型脚手架时，承包人应确保此类脚手架的安全性和保证此类脚手架已经过有关行政管理部门允许使用的批准，并承担与此有关的一切费用。</w:t>
      </w:r>
    </w:p>
    <w:p w14:paraId="1ED1CCE3">
      <w:pPr>
        <w:spacing w:line="38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6.5.4    承包人应当加强脚手架的日常安全巡查，及时对其中的安全隐患进行整改，确保脚手架使用安全。雨、雪、雾、霜和大风等天气后，承包人必须对脚手架进行安全巡查，并及时消除安全隐患。</w:t>
      </w:r>
    </w:p>
    <w:p w14:paraId="42F3C354">
      <w:pPr>
        <w:spacing w:line="38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6.5.5    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p w14:paraId="2CB589ED">
      <w:pPr>
        <w:spacing w:line="38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6.5.6    脚手架的其他要求如下：</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D619EAD">
      <w:pPr>
        <w:spacing w:before="48" w:beforeLines="20" w:after="48" w:afterLines="20" w:line="420" w:lineRule="exact"/>
        <w:ind w:left="108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6.6     施工安全措施计划</w:t>
      </w:r>
    </w:p>
    <w:p w14:paraId="07298D1D">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6.6.1    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p w14:paraId="33CBC339">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6.6.2    施工安全措施计划是承包人阐明其安全管理方针、管理体系、安全制度和安全措施等的文件，其内容应当反映现行法律法规规定的和合同条款约定的以及本条上述约定的承包人安全职责，包括但不限于：</w:t>
      </w:r>
      <w:r>
        <w:rPr>
          <w:rFonts w:hint="eastAsia" w:ascii="宋体" w:hAnsi="宋体"/>
          <w:color w:val="auto"/>
          <w:szCs w:val="21"/>
          <w:highlight w:val="none"/>
        </w:rPr>
        <w:br w:type="textWrapping"/>
      </w:r>
      <w:r>
        <w:rPr>
          <w:rFonts w:hint="eastAsia" w:ascii="宋体" w:hAnsi="宋体"/>
          <w:color w:val="auto"/>
          <w:szCs w:val="21"/>
          <w:highlight w:val="none"/>
        </w:rPr>
        <w:t>(1)施工安全管理机构的设置；</w:t>
      </w:r>
      <w:r>
        <w:rPr>
          <w:rFonts w:hint="eastAsia" w:ascii="宋体" w:hAnsi="宋体"/>
          <w:color w:val="auto"/>
          <w:szCs w:val="21"/>
          <w:highlight w:val="none"/>
        </w:rPr>
        <w:br w:type="textWrapping"/>
      </w:r>
      <w:r>
        <w:rPr>
          <w:rFonts w:hint="eastAsia" w:ascii="宋体" w:hAnsi="宋体"/>
          <w:color w:val="auto"/>
          <w:szCs w:val="21"/>
          <w:highlight w:val="none"/>
        </w:rPr>
        <w:t>(2)专职安全管理人员的配备；</w:t>
      </w:r>
      <w:r>
        <w:rPr>
          <w:rFonts w:hint="eastAsia" w:ascii="宋体" w:hAnsi="宋体"/>
          <w:color w:val="auto"/>
          <w:szCs w:val="21"/>
          <w:highlight w:val="none"/>
        </w:rPr>
        <w:br w:type="textWrapping"/>
      </w:r>
      <w:r>
        <w:rPr>
          <w:rFonts w:hint="eastAsia" w:ascii="宋体" w:hAnsi="宋体"/>
          <w:color w:val="auto"/>
          <w:szCs w:val="21"/>
          <w:highlight w:val="none"/>
        </w:rPr>
        <w:t>(3)安全责任制度和管理措施；</w:t>
      </w:r>
      <w:r>
        <w:rPr>
          <w:rFonts w:hint="eastAsia" w:ascii="宋体" w:hAnsi="宋体"/>
          <w:color w:val="auto"/>
          <w:szCs w:val="21"/>
          <w:highlight w:val="none"/>
        </w:rPr>
        <w:br w:type="textWrapping"/>
      </w:r>
      <w:r>
        <w:rPr>
          <w:rFonts w:hint="eastAsia" w:ascii="宋体" w:hAnsi="宋体"/>
          <w:color w:val="auto"/>
          <w:szCs w:val="21"/>
          <w:highlight w:val="none"/>
        </w:rPr>
        <w:t>(4)安全教育和培训制度及管理措施；</w:t>
      </w:r>
      <w:r>
        <w:rPr>
          <w:rFonts w:hint="eastAsia" w:ascii="宋体" w:hAnsi="宋体"/>
          <w:color w:val="auto"/>
          <w:szCs w:val="21"/>
          <w:highlight w:val="none"/>
        </w:rPr>
        <w:br w:type="textWrapping"/>
      </w:r>
      <w:r>
        <w:rPr>
          <w:rFonts w:hint="eastAsia" w:ascii="宋体" w:hAnsi="宋体"/>
          <w:color w:val="auto"/>
          <w:szCs w:val="21"/>
          <w:highlight w:val="none"/>
        </w:rPr>
        <w:t>(5)各项安全生产规章制度和操作规程；</w:t>
      </w:r>
      <w:r>
        <w:rPr>
          <w:rFonts w:hint="eastAsia" w:ascii="宋体" w:hAnsi="宋体"/>
          <w:color w:val="auto"/>
          <w:szCs w:val="21"/>
          <w:highlight w:val="none"/>
        </w:rPr>
        <w:br w:type="textWrapping"/>
      </w:r>
      <w:r>
        <w:rPr>
          <w:rFonts w:hint="eastAsia" w:ascii="宋体" w:hAnsi="宋体"/>
          <w:color w:val="auto"/>
          <w:szCs w:val="21"/>
          <w:highlight w:val="none"/>
        </w:rPr>
        <w:t>(6)各项施工安全措施和防护措施；</w:t>
      </w:r>
      <w:r>
        <w:rPr>
          <w:rFonts w:hint="eastAsia" w:ascii="宋体" w:hAnsi="宋体"/>
          <w:color w:val="auto"/>
          <w:szCs w:val="21"/>
          <w:highlight w:val="none"/>
        </w:rPr>
        <w:br w:type="textWrapping"/>
      </w:r>
      <w:r>
        <w:rPr>
          <w:rFonts w:hint="eastAsia" w:ascii="宋体" w:hAnsi="宋体"/>
          <w:color w:val="auto"/>
          <w:szCs w:val="21"/>
          <w:highlight w:val="none"/>
        </w:rPr>
        <w:t>(7)危险品管理和使用制度；</w:t>
      </w:r>
      <w:r>
        <w:rPr>
          <w:rFonts w:hint="eastAsia" w:ascii="宋体" w:hAnsi="宋体"/>
          <w:color w:val="auto"/>
          <w:szCs w:val="21"/>
          <w:highlight w:val="none"/>
        </w:rPr>
        <w:br w:type="textWrapping"/>
      </w:r>
      <w:r>
        <w:rPr>
          <w:rFonts w:hint="eastAsia" w:ascii="宋体" w:hAnsi="宋体"/>
          <w:color w:val="auto"/>
          <w:szCs w:val="21"/>
          <w:highlight w:val="none"/>
        </w:rPr>
        <w:t>(8)安全设施、设备、器材和劳动保护用品的配置；</w:t>
      </w:r>
      <w:r>
        <w:rPr>
          <w:rFonts w:hint="eastAsia" w:ascii="宋体" w:hAnsi="宋体"/>
          <w:color w:val="auto"/>
          <w:szCs w:val="21"/>
          <w:highlight w:val="none"/>
        </w:rPr>
        <w:br w:type="textWrapping"/>
      </w:r>
      <w:r>
        <w:rPr>
          <w:rFonts w:hint="eastAsia" w:ascii="宋体" w:hAnsi="宋体"/>
          <w:color w:val="auto"/>
          <w:szCs w:val="21"/>
          <w:highlight w:val="none"/>
        </w:rPr>
        <w:t>(9)其他：</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9ABE793">
      <w:pPr>
        <w:spacing w:line="400" w:lineRule="exact"/>
        <w:ind w:left="947" w:firstLine="21" w:firstLineChars="10"/>
        <w:rPr>
          <w:rFonts w:hint="eastAsia" w:ascii="宋体" w:hAnsi="宋体"/>
          <w:color w:val="auto"/>
          <w:szCs w:val="21"/>
          <w:highlight w:val="none"/>
        </w:rPr>
      </w:pPr>
      <w:r>
        <w:rPr>
          <w:rFonts w:hint="eastAsia" w:ascii="宋体" w:hAnsi="宋体"/>
          <w:color w:val="auto"/>
          <w:szCs w:val="21"/>
          <w:highlight w:val="none"/>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14:paraId="08CC0BE5">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6.6.3    施工安全措施计划应当在专用合同条款第9.2.1项约定的期限内报送监理人。承包人应当严格执行经监理人批准的施工安全措施计划，并及时补充、修订和完善施工安全措施计划，确保安全生产。</w:t>
      </w:r>
    </w:p>
    <w:p w14:paraId="173A379D">
      <w:pPr>
        <w:spacing w:before="48" w:beforeLines="20" w:after="48" w:afterLines="20" w:line="420" w:lineRule="exact"/>
        <w:ind w:left="108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6.7    文明施工</w:t>
      </w:r>
    </w:p>
    <w:p w14:paraId="626118D7">
      <w:pPr>
        <w:spacing w:line="42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6.7.1    承包人应遵守国家和工程所在地有关法规、规范、规程和标准的规定，履行文明施工义务，确保文明施工专项费用专款专用。</w:t>
      </w:r>
    </w:p>
    <w:p w14:paraId="582CC3E7">
      <w:pPr>
        <w:spacing w:line="42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6.7.2     承包人应当规范现场施工秩序，实行标准化管理：</w:t>
      </w:r>
    </w:p>
    <w:p w14:paraId="3A194226">
      <w:pPr>
        <w:spacing w:line="420" w:lineRule="exact"/>
        <w:ind w:left="1365" w:leftChars="500" w:hanging="315" w:hangingChars="150"/>
        <w:rPr>
          <w:rFonts w:hint="eastAsia" w:ascii="宋体" w:hAnsi="宋体"/>
          <w:color w:val="auto"/>
          <w:szCs w:val="21"/>
          <w:highlight w:val="none"/>
        </w:rPr>
      </w:pPr>
      <w:r>
        <w:rPr>
          <w:rFonts w:hint="eastAsia" w:ascii="宋体" w:hAnsi="宋体"/>
          <w:color w:val="auto"/>
          <w:szCs w:val="21"/>
          <w:highlight w:val="none"/>
        </w:rPr>
        <w:t>(1)承包人的施工场地(现场)必须干净整治、做到无积水、无淤泥、无杂物，材料堆放整齐；</w:t>
      </w:r>
    </w:p>
    <w:p w14:paraId="639B0A0A">
      <w:pPr>
        <w:spacing w:line="420" w:lineRule="exact"/>
        <w:ind w:left="945" w:leftChars="450" w:right="-174" w:rightChars="-83" w:firstLine="105" w:firstLineChars="50"/>
        <w:rPr>
          <w:rFonts w:hint="eastAsia" w:ascii="宋体" w:hAnsi="宋体"/>
          <w:color w:val="auto"/>
          <w:szCs w:val="21"/>
          <w:highlight w:val="none"/>
        </w:rPr>
      </w:pPr>
      <w:r>
        <w:rPr>
          <w:rFonts w:hint="eastAsia" w:ascii="宋体" w:hAnsi="宋体"/>
          <w:color w:val="auto"/>
          <w:szCs w:val="21"/>
          <w:highlight w:val="none"/>
        </w:rPr>
        <w:t>(2)施工场地(现场)应进行硬化处理，定期定时洒水，做好防治扬尘和大气污染工作；</w:t>
      </w:r>
    </w:p>
    <w:p w14:paraId="32D37785">
      <w:pPr>
        <w:spacing w:line="420" w:lineRule="exact"/>
        <w:ind w:left="945" w:leftChars="450" w:firstLine="105" w:firstLineChars="50"/>
        <w:rPr>
          <w:rFonts w:hint="eastAsia" w:ascii="宋体" w:hAnsi="宋体"/>
          <w:color w:val="auto"/>
          <w:szCs w:val="21"/>
          <w:highlight w:val="none"/>
        </w:rPr>
      </w:pPr>
      <w:r>
        <w:rPr>
          <w:rFonts w:hint="eastAsia" w:ascii="宋体" w:hAnsi="宋体"/>
          <w:color w:val="auto"/>
          <w:szCs w:val="21"/>
          <w:highlight w:val="none"/>
        </w:rPr>
        <w:t>(3)严格遵守“工完、料尽、场地净”的原则，不留垃圾、不留剩余施工材料和施工机具，各种设备运转正常；</w:t>
      </w:r>
    </w:p>
    <w:p w14:paraId="478BC096">
      <w:pPr>
        <w:spacing w:line="380" w:lineRule="exact"/>
        <w:ind w:left="1365" w:leftChars="500" w:hanging="315" w:hangingChars="150"/>
        <w:rPr>
          <w:rFonts w:hint="eastAsia" w:ascii="宋体" w:hAnsi="宋体"/>
          <w:color w:val="auto"/>
          <w:szCs w:val="21"/>
          <w:highlight w:val="none"/>
        </w:rPr>
      </w:pPr>
      <w:r>
        <w:rPr>
          <w:rFonts w:hint="eastAsia" w:ascii="宋体" w:hAnsi="宋体"/>
          <w:color w:val="auto"/>
          <w:szCs w:val="21"/>
          <w:highlight w:val="none"/>
        </w:rPr>
        <w:t>(4)承包人修建的施工临时设施应符合监理人批准的施工规划要求，并应满足本节规定的各项安全要求；</w:t>
      </w:r>
    </w:p>
    <w:p w14:paraId="16D48071">
      <w:pPr>
        <w:spacing w:line="380" w:lineRule="exact"/>
        <w:ind w:left="1365" w:leftChars="500" w:hanging="315" w:hangingChars="150"/>
        <w:rPr>
          <w:rFonts w:hint="eastAsia" w:ascii="宋体" w:hAnsi="宋体"/>
          <w:color w:val="auto"/>
          <w:szCs w:val="21"/>
          <w:highlight w:val="none"/>
        </w:rPr>
      </w:pPr>
      <w:r>
        <w:rPr>
          <w:rFonts w:hint="eastAsia" w:ascii="宋体" w:hAnsi="宋体"/>
          <w:color w:val="auto"/>
          <w:szCs w:val="21"/>
          <w:highlight w:val="none"/>
        </w:rPr>
        <w:t>(5)监理人可要求承包人在施工场地(现场)设置各级承包人的安全文明施工责任牌等文明施工警示牌；</w:t>
      </w:r>
    </w:p>
    <w:p w14:paraId="4F8E64DA">
      <w:pPr>
        <w:spacing w:line="380" w:lineRule="exact"/>
        <w:ind w:left="1365" w:leftChars="500" w:hanging="315" w:hangingChars="150"/>
        <w:rPr>
          <w:rFonts w:hint="eastAsia" w:ascii="宋体" w:hAnsi="宋体"/>
          <w:color w:val="auto"/>
          <w:szCs w:val="21"/>
          <w:highlight w:val="none"/>
        </w:rPr>
      </w:pPr>
      <w:r>
        <w:rPr>
          <w:rFonts w:hint="eastAsia" w:ascii="宋体" w:hAnsi="宋体"/>
          <w:color w:val="auto"/>
          <w:szCs w:val="21"/>
          <w:highlight w:val="none"/>
        </w:rPr>
        <w:t>(6)材料进入现场应按指定位置堆放整齐，不得影响现场施工和堵塞施工、消防通道。材料堆放场地应有专职的管理人员；</w:t>
      </w:r>
    </w:p>
    <w:p w14:paraId="3A75F2FD">
      <w:pPr>
        <w:spacing w:line="380" w:lineRule="exact"/>
        <w:ind w:left="1365" w:leftChars="500" w:hanging="315" w:hangingChars="150"/>
        <w:rPr>
          <w:rFonts w:hint="eastAsia" w:ascii="宋体" w:hAnsi="宋体"/>
          <w:color w:val="auto"/>
          <w:szCs w:val="21"/>
          <w:highlight w:val="none"/>
        </w:rPr>
      </w:pPr>
      <w:r>
        <w:rPr>
          <w:rFonts w:hint="eastAsia" w:ascii="宋体" w:hAnsi="宋体"/>
          <w:color w:val="auto"/>
          <w:szCs w:val="21"/>
          <w:highlight w:val="none"/>
        </w:rPr>
        <w:t>(7)施工和安装用的各种扣件、紧固件、绳索具、小型配件、镙钉等应在专设的仓库内装箱放置；</w:t>
      </w:r>
    </w:p>
    <w:p w14:paraId="06D319DF">
      <w:pPr>
        <w:spacing w:line="380" w:lineRule="exact"/>
        <w:ind w:left="1365" w:leftChars="500" w:hanging="315" w:hangingChars="150"/>
        <w:rPr>
          <w:rFonts w:hint="eastAsia" w:ascii="宋体" w:hAnsi="宋体"/>
          <w:color w:val="auto"/>
          <w:szCs w:val="21"/>
          <w:highlight w:val="none"/>
        </w:rPr>
      </w:pPr>
      <w:r>
        <w:rPr>
          <w:rFonts w:hint="eastAsia" w:ascii="宋体" w:hAnsi="宋体"/>
          <w:color w:val="auto"/>
          <w:szCs w:val="21"/>
          <w:highlight w:val="none"/>
        </w:rPr>
        <w:t>(8)现场风、水管及照明电线的布置应安全、合理、规范、有序，做到整齐美观。不得随意架设和造成隐患或影响施工。</w:t>
      </w:r>
    </w:p>
    <w:p w14:paraId="334B6AEA">
      <w:pPr>
        <w:spacing w:line="380"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6.7.3    承包人应为其雇佣的施工工人建立并维护相应的生活宿舍、食堂、浴室、厕所和文化活动室等，其标准应满足政府有关机构的生活标准和卫生标准等的要求。</w:t>
      </w:r>
    </w:p>
    <w:p w14:paraId="02EE7A8D">
      <w:pPr>
        <w:spacing w:line="380"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6.7.4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05E3B316">
      <w:pPr>
        <w:spacing w:line="380"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6.7.5    在工程施工期间，承包人应始终避免现场出现不必要的障碍物，妥当存放并处置施工设备和多余的材料，及时从现场清除运走任何废料、垃圾或不再需要的临时工程和设施。</w:t>
      </w:r>
    </w:p>
    <w:p w14:paraId="5C154FA4">
      <w:pPr>
        <w:spacing w:line="380"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6.7.6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3E33CFB8">
      <w:pPr>
        <w:spacing w:line="380"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6.7.7    承包人应在现场设立固定的垃圾临时存放点并在各楼层或区域设立必要的垃圾箱；所有垃圾必须在当天清除出现场，并按有关行政管理部门的规定，运送到指定的垃圾消纳场。</w:t>
      </w:r>
    </w:p>
    <w:p w14:paraId="4988C9F6">
      <w:pPr>
        <w:spacing w:line="380"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6.7.8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14:paraId="1BE4CED1">
      <w:pPr>
        <w:spacing w:line="380"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6.7.9    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14:paraId="66F28F45">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 xml:space="preserve">6.7.10   文明施工方面的其他要求如下： </w:t>
      </w:r>
      <w:r>
        <w:rPr>
          <w:rFonts w:hint="eastAsia" w:ascii="宋体" w:hAnsi="宋体"/>
          <w:color w:val="auto"/>
          <w:szCs w:val="21"/>
          <w:highlight w:val="none"/>
          <w:u w:val="single"/>
        </w:rPr>
        <w:t xml:space="preserve">  </w:t>
      </w:r>
      <w:r>
        <w:rPr>
          <w:rFonts w:hint="eastAsia" w:ascii="宋体" w:hAnsi="宋体"/>
          <w:szCs w:val="21"/>
          <w:u w:val="single"/>
        </w:rPr>
        <w:t>符合项目所在地要求，并配合发包人完成相关检查</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1CF80FB5">
      <w:pPr>
        <w:spacing w:line="378" w:lineRule="exact"/>
        <w:ind w:left="949" w:right="42" w:rightChars="20" w:hanging="949" w:hangingChars="450"/>
        <w:rPr>
          <w:rFonts w:hint="eastAsia" w:ascii="宋体" w:hAnsi="宋体"/>
          <w:b/>
          <w:color w:val="auto"/>
          <w:szCs w:val="21"/>
          <w:highlight w:val="none"/>
        </w:rPr>
      </w:pPr>
      <w:r>
        <w:rPr>
          <w:rFonts w:hint="eastAsia" w:ascii="宋体" w:hAnsi="宋体"/>
          <w:b/>
          <w:color w:val="auto"/>
          <w:szCs w:val="21"/>
          <w:highlight w:val="none"/>
        </w:rPr>
        <w:t>6.8      环境保护</w:t>
      </w:r>
    </w:p>
    <w:p w14:paraId="4FCD4D59">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6.8.1    在工程施工、完工及修补任何缺陷的过程中，承包人应当始终遵守国家和工程所在地有关环境保护、水土保护和污染防治的法律、法规、规章、规范、标准和规程等，按照通用合同条款第4.1.6项和第9.4款的约定履行其环境与生态保护职责。</w:t>
      </w:r>
    </w:p>
    <w:p w14:paraId="26C84541">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1DF9C37A">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6.8.3    承包人制订施工方案和组织措施时应当同步考虑环境和资源保护，包括水土资源保护、噪声、振动和照明污染防治、固体废弃物处理、污水和废气处理、粉尘和扬尘控制、道路污染防治、卫生防疫、禁止有害材料、节能减排以及不可再生资源的循环使用等因素。</w:t>
      </w:r>
    </w:p>
    <w:p w14:paraId="120A561A">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有关规定。承包人还应设置完善的排水系统，保持施工场地(现场)始终处于良好的排水状态，防止降雨径流对施工场地(现场)的冲刷。</w:t>
      </w:r>
    </w:p>
    <w:p w14:paraId="16F56CA8">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39446542">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等。</w:t>
      </w:r>
    </w:p>
    <w:p w14:paraId="1C93C639">
      <w:pPr>
        <w:spacing w:line="378"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0F980BE9">
      <w:pPr>
        <w:spacing w:line="396"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 (现场)周边生产和生活的影响，并满足国家和地方政府有关规定的要求。</w:t>
      </w:r>
    </w:p>
    <w:p w14:paraId="0E7DB3E2">
      <w:pPr>
        <w:spacing w:line="396"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6.8.9    环境保护方面的其他要求如下：</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39B63646">
      <w:pPr>
        <w:spacing w:before="72" w:beforeLines="30" w:after="72" w:afterLines="30" w:line="396" w:lineRule="exact"/>
        <w:ind w:left="1080" w:right="42" w:rightChars="2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6.9     施工环保措施计划</w:t>
      </w:r>
    </w:p>
    <w:p w14:paraId="3F97B048">
      <w:pPr>
        <w:spacing w:line="396"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6.9.1    通用合同条款第9.4.2项约定的施工环保措施计划是承包人阐明环保方针和拟采用的环保措施及方法等的文件，其内容应包括但不限于：</w:t>
      </w:r>
    </w:p>
    <w:p w14:paraId="0FB48EA7">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(1)承包人生活区(如果有)的生活用水和生活污水处理措施；</w:t>
      </w:r>
    </w:p>
    <w:p w14:paraId="1AC2CBDF">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(2)施工生产废水处理措施；</w:t>
      </w:r>
    </w:p>
    <w:p w14:paraId="485E4073">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(3)施工扬尘和废气的处理措施；</w:t>
      </w:r>
    </w:p>
    <w:p w14:paraId="5990EF0E">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(4)施工噪声和光污染控制措施；</w:t>
      </w:r>
    </w:p>
    <w:p w14:paraId="42824AFF">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(5)节能减排措施；</w:t>
      </w:r>
    </w:p>
    <w:p w14:paraId="72D8581C">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(6)不可再生资源循环利用措施；</w:t>
      </w:r>
    </w:p>
    <w:p w14:paraId="2F70D441">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(7)固体废弃物处理措施；</w:t>
      </w:r>
    </w:p>
    <w:p w14:paraId="0B78C5DB">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(8)人群健康保护和卫生防疫措施；</w:t>
      </w:r>
    </w:p>
    <w:p w14:paraId="1A235BF0">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(9)防止误用有害材料的保证措施；</w:t>
      </w:r>
    </w:p>
    <w:p w14:paraId="276308F8">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(10)施工边坡工程的水土流失保护措施；</w:t>
      </w:r>
    </w:p>
    <w:p w14:paraId="41DB2172">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(11)道路污染防治措施；</w:t>
      </w:r>
    </w:p>
    <w:p w14:paraId="7E90DB2A">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(12)完工后场地清理及其植被(如果有)恢复的规划和措施；</w:t>
      </w:r>
    </w:p>
    <w:p w14:paraId="3A036EB7">
      <w:pPr>
        <w:spacing w:line="396" w:lineRule="exact"/>
        <w:ind w:left="945" w:leftChars="450" w:right="42" w:rightChars="20"/>
        <w:rPr>
          <w:rFonts w:hint="eastAsia" w:ascii="宋体" w:hAnsi="宋体"/>
          <w:color w:val="auto"/>
          <w:szCs w:val="21"/>
          <w:highlight w:val="none"/>
        </w:rPr>
      </w:pPr>
      <w:r>
        <w:rPr>
          <w:rFonts w:hint="eastAsia" w:ascii="宋体" w:hAnsi="宋体"/>
          <w:color w:val="auto"/>
          <w:szCs w:val="21"/>
          <w:highlight w:val="none"/>
        </w:rPr>
        <w:t>(13)其他：</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rPr>
        <w:t>。</w:t>
      </w:r>
    </w:p>
    <w:p w14:paraId="4AF75D83">
      <w:pPr>
        <w:spacing w:line="396" w:lineRule="exact"/>
        <w:ind w:left="945" w:right="42" w:rightChars="20" w:hanging="945" w:hangingChars="450"/>
        <w:rPr>
          <w:rFonts w:hint="eastAsia" w:ascii="宋体" w:hAnsi="宋体"/>
          <w:color w:val="auto"/>
          <w:szCs w:val="21"/>
          <w:highlight w:val="none"/>
        </w:rPr>
      </w:pPr>
      <w:r>
        <w:rPr>
          <w:rFonts w:hint="eastAsia" w:ascii="宋体" w:hAnsi="宋体"/>
          <w:color w:val="auto"/>
          <w:szCs w:val="21"/>
          <w:highlight w:val="none"/>
        </w:rPr>
        <w:t>6.9.2    施工环保措施计划应当在专用合同条款第9.4款约定的期限内报送监理人。承包人应当严格执行经监理人批准的施工环保措施计划，并及时补充、修订和完善施工环保措施计划。</w:t>
      </w:r>
    </w:p>
    <w:p w14:paraId="0FFF05A4">
      <w:pPr>
        <w:keepNext/>
        <w:keepLines/>
        <w:spacing w:line="400" w:lineRule="exact"/>
        <w:outlineLvl w:val="2"/>
        <w:rPr>
          <w:rFonts w:hint="eastAsia" w:eastAsia="黑体"/>
          <w:color w:val="auto"/>
          <w:sz w:val="28"/>
          <w:szCs w:val="28"/>
          <w:highlight w:val="none"/>
        </w:rPr>
      </w:pPr>
      <w:bookmarkStart w:id="2397" w:name="_Toc18540"/>
      <w:bookmarkStart w:id="2398" w:name="_Toc474768494"/>
      <w:r>
        <w:rPr>
          <w:rFonts w:eastAsia="黑体"/>
          <w:color w:val="auto"/>
          <w:sz w:val="28"/>
          <w:szCs w:val="28"/>
          <w:highlight w:val="none"/>
        </w:rPr>
        <w:t>7.</w:t>
      </w:r>
      <w:r>
        <w:rPr>
          <w:rFonts w:hint="eastAsia" w:eastAsia="黑体"/>
          <w:color w:val="auto"/>
          <w:sz w:val="28"/>
          <w:szCs w:val="28"/>
          <w:highlight w:val="none"/>
        </w:rPr>
        <w:t>治安保卫</w:t>
      </w:r>
      <w:bookmarkEnd w:id="2397"/>
      <w:bookmarkEnd w:id="2398"/>
    </w:p>
    <w:p w14:paraId="47D5033B">
      <w:pPr>
        <w:spacing w:line="390" w:lineRule="exact"/>
        <w:ind w:left="945" w:hanging="945" w:hangingChars="450"/>
        <w:rPr>
          <w:rFonts w:ascii="宋体" w:hAnsi="宋体"/>
          <w:color w:val="auto"/>
          <w:szCs w:val="21"/>
          <w:highlight w:val="none"/>
        </w:rPr>
      </w:pPr>
      <w:r>
        <w:rPr>
          <w:rFonts w:hint="eastAsia" w:ascii="宋体" w:hAnsi="宋体"/>
          <w:color w:val="auto"/>
          <w:szCs w:val="21"/>
          <w:highlight w:val="none"/>
        </w:rPr>
        <w:t xml:space="preserve">7.1      </w:t>
      </w:r>
      <w:r>
        <w:rPr>
          <w:rFonts w:hint="eastAsia" w:ascii="宋体" w:hAnsi="宋体"/>
          <w:color w:val="auto"/>
          <w:spacing w:val="6"/>
          <w:szCs w:val="21"/>
          <w:highlight w:val="none"/>
        </w:rPr>
        <w:t>承包人应为施工场地(现场)提供24小时的保安保卫服务，配备足够的保安人员和保安设备，防止未经批准的任何人进入现场，控制人员、材料和设备等的进出场，防止现场材料、设备或其他任何物品的失窃，禁止任何现场内的打架斗殴事件。</w:t>
      </w:r>
    </w:p>
    <w:p w14:paraId="2C935E3E">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6DD93F26">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7.3      承包人应制定并实施严格的施工场地(现场)出入制度并报监理人审批；车辆的出入须有出入审批制度，并有指定的专人负责管理；人员进出现场应有出入证，出入证须以经过监理人批准的格式印制。</w:t>
      </w:r>
    </w:p>
    <w:p w14:paraId="19AFEB4D">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32675557">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792E1E24">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7.6      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任何处罚、索赔、损失和损害等。</w:t>
      </w:r>
    </w:p>
    <w:p w14:paraId="25ED3DEB">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7.7      施工场地(现场)治安管理计划的要求：</w:t>
      </w:r>
    </w:p>
    <w:p w14:paraId="71C69703">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施工现场设治安管理小组，各级职能分工明确，确保现场施工秩序井然 </w:t>
      </w:r>
      <w:r>
        <w:rPr>
          <w:rFonts w:hint="eastAsia" w:ascii="宋体" w:hAnsi="宋体"/>
          <w:color w:val="auto"/>
          <w:szCs w:val="21"/>
          <w:highlight w:val="none"/>
        </w:rPr>
        <w:t>。</w:t>
      </w:r>
    </w:p>
    <w:p w14:paraId="79460BFD">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7.8      突发治安事件紧急预案的要求：</w:t>
      </w:r>
    </w:p>
    <w:p w14:paraId="11B57C3E">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施工现场设紧急预案小组，并制定切实有效的紧急预案措施 </w:t>
      </w:r>
      <w:r>
        <w:rPr>
          <w:rFonts w:hint="eastAsia" w:ascii="宋体" w:hAnsi="宋体"/>
          <w:color w:val="auto"/>
          <w:szCs w:val="21"/>
          <w:highlight w:val="none"/>
        </w:rPr>
        <w:t>。</w:t>
      </w:r>
    </w:p>
    <w:p w14:paraId="08B1B4D3">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7.9      治安保卫方面的其他要求如下：</w:t>
      </w:r>
    </w:p>
    <w:p w14:paraId="4EB87E74">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 </w:t>
      </w:r>
      <w:r>
        <w:rPr>
          <w:rFonts w:hint="eastAsia" w:ascii="宋体" w:hAnsi="宋体"/>
          <w:color w:val="auto"/>
          <w:szCs w:val="21"/>
          <w:highlight w:val="none"/>
        </w:rPr>
        <w:t>。</w:t>
      </w:r>
    </w:p>
    <w:p w14:paraId="424D2E7A">
      <w:pPr>
        <w:keepNext/>
        <w:keepLines/>
        <w:spacing w:line="400" w:lineRule="exact"/>
        <w:outlineLvl w:val="2"/>
        <w:rPr>
          <w:rFonts w:hint="eastAsia" w:eastAsia="黑体"/>
          <w:color w:val="auto"/>
          <w:sz w:val="28"/>
          <w:szCs w:val="28"/>
          <w:highlight w:val="none"/>
        </w:rPr>
      </w:pPr>
      <w:bookmarkStart w:id="2399" w:name="_Toc28408"/>
      <w:bookmarkStart w:id="2400" w:name="_Toc474768495"/>
      <w:r>
        <w:rPr>
          <w:rFonts w:eastAsia="黑体"/>
          <w:color w:val="auto"/>
          <w:sz w:val="28"/>
          <w:szCs w:val="28"/>
          <w:highlight w:val="none"/>
        </w:rPr>
        <w:t>8.</w:t>
      </w:r>
      <w:r>
        <w:rPr>
          <w:rFonts w:hint="eastAsia" w:eastAsia="黑体"/>
          <w:color w:val="auto"/>
          <w:sz w:val="28"/>
          <w:szCs w:val="28"/>
          <w:highlight w:val="none"/>
        </w:rPr>
        <w:t>地上、地下设施和周边建筑物的临时保护</w:t>
      </w:r>
      <w:bookmarkEnd w:id="2399"/>
      <w:bookmarkEnd w:id="2400"/>
    </w:p>
    <w:p w14:paraId="27254521">
      <w:pPr>
        <w:spacing w:line="390" w:lineRule="exact"/>
        <w:ind w:left="945" w:hanging="945" w:hangingChars="450"/>
        <w:rPr>
          <w:rFonts w:ascii="宋体" w:hAnsi="宋体"/>
          <w:color w:val="auto"/>
          <w:szCs w:val="21"/>
          <w:highlight w:val="none"/>
        </w:rPr>
      </w:pPr>
      <w:r>
        <w:rPr>
          <w:rFonts w:hint="eastAsia" w:ascii="宋体" w:hAnsi="宋体"/>
          <w:color w:val="auto"/>
          <w:szCs w:val="21"/>
          <w:highlight w:val="none"/>
        </w:rPr>
        <w:t>8.1      承包人应为施工场地及其周边现有的地上、地下设施和建筑物提供足够的临时保护设施，确保施工过程中这些设施和建筑物不会受到干扰和破坏。</w:t>
      </w:r>
    </w:p>
    <w:p w14:paraId="66828214">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8.2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74F55512">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8.3      发包人特别提醒承包人注意以下地上、地下设施和周边建筑物的保护：</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9FFDAB6">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8.4     地上、地下设施和周边建筑物的临时保护的其他要求如下</w:t>
      </w:r>
      <w:r>
        <w:rPr>
          <w:rFonts w:hint="eastAsia" w:ascii="宋体" w:hAnsi="宋体"/>
          <w:color w:val="auto"/>
          <w:szCs w:val="21"/>
          <w:highlight w:val="none"/>
          <w:lang w:eastAsia="zh-CN"/>
        </w:rPr>
        <w:t>：</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C48FF83">
      <w:pPr>
        <w:keepNext/>
        <w:keepLines/>
        <w:spacing w:line="400" w:lineRule="exact"/>
        <w:outlineLvl w:val="2"/>
        <w:rPr>
          <w:rFonts w:hint="eastAsia" w:eastAsia="黑体"/>
          <w:color w:val="auto"/>
          <w:sz w:val="28"/>
          <w:szCs w:val="28"/>
          <w:highlight w:val="none"/>
        </w:rPr>
      </w:pPr>
      <w:bookmarkStart w:id="2401" w:name="_Toc474768496"/>
      <w:bookmarkStart w:id="2402" w:name="_Toc18216"/>
      <w:r>
        <w:rPr>
          <w:rFonts w:eastAsia="黑体"/>
          <w:color w:val="auto"/>
          <w:sz w:val="28"/>
          <w:szCs w:val="28"/>
          <w:highlight w:val="none"/>
        </w:rPr>
        <w:t>9.</w:t>
      </w:r>
      <w:r>
        <w:rPr>
          <w:rFonts w:hint="eastAsia" w:eastAsia="黑体"/>
          <w:color w:val="auto"/>
          <w:sz w:val="28"/>
          <w:szCs w:val="28"/>
          <w:highlight w:val="none"/>
        </w:rPr>
        <w:t>样品和材料代换</w:t>
      </w:r>
      <w:bookmarkEnd w:id="2401"/>
      <w:bookmarkEnd w:id="2402"/>
    </w:p>
    <w:p w14:paraId="18662FA4">
      <w:pPr>
        <w:spacing w:line="400" w:lineRule="exact"/>
        <w:ind w:left="945" w:hanging="945" w:hangingChars="450"/>
        <w:rPr>
          <w:rFonts w:ascii="宋体" w:hAnsi="宋体"/>
          <w:color w:val="auto"/>
          <w:szCs w:val="21"/>
          <w:highlight w:val="none"/>
        </w:rPr>
      </w:pPr>
      <w:r>
        <w:rPr>
          <w:rFonts w:hint="eastAsia" w:ascii="宋体" w:hAnsi="宋体"/>
          <w:color w:val="auto"/>
          <w:szCs w:val="21"/>
          <w:highlight w:val="none"/>
        </w:rPr>
        <w:t>9.1      样品</w:t>
      </w:r>
    </w:p>
    <w:p w14:paraId="23A697A7">
      <w:pPr>
        <w:spacing w:line="4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9.1.1    本工程需要承包人提供样品的材料和工程设备如下：</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62FDB78">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9.1.2    对于本款第9.1.1项约定的材料和工程设备，承包人应按照专用合同条款第5.1.2项约定的期限，向监理人提交样品并附上任何必要的说明书、生产(制造)许可证书、出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14:paraId="128F3AEE">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9.1.3    合同条款第15.8.2项约定的依法不需要招标的、以暂估价形式包括在工程量清单中的材料和工程设备，所附资料除本款第9.1.2项约定的内容外，还应附上价格资料，每一类材料设备，至少应准备符合合同要求的三个产品，价格分高、中、低三档，以便监理人和发包人选择和批准。</w:t>
      </w:r>
    </w:p>
    <w:p w14:paraId="03529BC6">
      <w:pPr>
        <w:spacing w:line="39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9.1.4    监理人应在收到承包人报送的样品后7天内转呈发包人并附上监理人的书面审批意见。发包人在收到通过监理人转交的样品以及监理人的审批意见后7天内就此样品给出书面批复。监理人应在收到样品后21天内通知承包人他相关样品所做出的决定或指示(同时抄送一份给发包人)。承包人应根据监理人的书面批复和指示相应地进行下一步工作。如果监理人未能在承包人报送样品后21天内给出书面批复，承包人应就此通知监理人，要求尽快批复。如果发包人在收到此类通知后7天内仍未对样品进行批复，则视为监理人和发包人已经批准。</w:t>
      </w:r>
    </w:p>
    <w:p w14:paraId="3988641C">
      <w:pPr>
        <w:spacing w:line="406"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9.1.5    得到批准后的样品由监理人负责存放。但承包人应为保存样品提供适当和固定的场所并保持适当和良好的环境条件。</w:t>
      </w:r>
    </w:p>
    <w:p w14:paraId="1FCC9F11">
      <w:pPr>
        <w:spacing w:line="406"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9.1.6    提供样品和提供存放样品场所的费用由承包人承担。</w:t>
      </w:r>
    </w:p>
    <w:p w14:paraId="7FB43031">
      <w:pPr>
        <w:spacing w:before="120" w:beforeLines="50" w:after="120" w:afterLines="50" w:line="406" w:lineRule="exact"/>
        <w:ind w:left="1080" w:hanging="1080" w:hangingChars="450"/>
        <w:rPr>
          <w:rFonts w:hint="eastAsia" w:ascii="黑体" w:hAnsi="宋体" w:eastAsia="黑体"/>
          <w:color w:val="auto"/>
          <w:sz w:val="24"/>
          <w:highlight w:val="none"/>
        </w:rPr>
      </w:pPr>
      <w:r>
        <w:rPr>
          <w:rFonts w:hint="eastAsia" w:ascii="黑体" w:hAnsi="宋体" w:eastAsia="黑体"/>
          <w:color w:val="auto"/>
          <w:sz w:val="24"/>
          <w:szCs w:val="24"/>
          <w:highlight w:val="none"/>
        </w:rPr>
        <w:t>9.2     材料代换</w:t>
      </w:r>
    </w:p>
    <w:p w14:paraId="7AECE697">
      <w:pPr>
        <w:spacing w:line="406"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9.2.1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14:paraId="3DF24D6A">
      <w:pPr>
        <w:spacing w:line="406"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9.2.2    如果使用替代品，承包人应至少在被替代品按批准的进度计划用于永久工程前56天以书面形式通知监理人并随此通知提交下列文件：</w:t>
      </w:r>
    </w:p>
    <w:p w14:paraId="70C96CA9">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(1)拟被替代的合同约定的材料和工程设备的名称、数量、规格、型号、品牌、性能、价格及其他任何详细资料；</w:t>
      </w:r>
    </w:p>
    <w:p w14:paraId="105B3DB7">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(2)拟采用的替代品的名称、数量、规格、型号、品牌、性能、价格及其他任何必要的详细资料；</w:t>
      </w:r>
    </w:p>
    <w:p w14:paraId="2C691C0D">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(3)替代品使用的工程部位；</w:t>
      </w:r>
    </w:p>
    <w:p w14:paraId="37F65F87">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(4)采用替代品的理由和原因说明；</w:t>
      </w:r>
    </w:p>
    <w:p w14:paraId="55102034">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(5)替代品与合同中约定的产品之间的差异以及使用替代品后可能对工程产生的任何影响；</w:t>
      </w:r>
    </w:p>
    <w:p w14:paraId="3F301E38">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(6)价格上的差异；</w:t>
      </w:r>
    </w:p>
    <w:p w14:paraId="57E0CB5C">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(7)监理人为做出适当的决定而随时要求承包人提供的任何其他文件。</w:t>
      </w:r>
    </w:p>
    <w:p w14:paraId="46CE75B2">
      <w:pPr>
        <w:spacing w:line="406" w:lineRule="exact"/>
        <w:ind w:left="798" w:leftChars="380" w:firstLine="462" w:firstLineChars="220"/>
        <w:rPr>
          <w:rFonts w:hint="eastAsia" w:ascii="宋体" w:hAnsi="宋体"/>
          <w:color w:val="auto"/>
          <w:szCs w:val="21"/>
          <w:highlight w:val="none"/>
        </w:rPr>
      </w:pPr>
      <w:r>
        <w:rPr>
          <w:rFonts w:hint="eastAsia" w:ascii="宋体" w:hAnsi="宋体"/>
          <w:color w:val="auto"/>
          <w:szCs w:val="21"/>
          <w:highlight w:val="none"/>
        </w:rPr>
        <w:t>监理人在收到此类通知及上述文件后，应在28天内向承包人给出书面指示。如果28天内监理人未给出书面指示，应视为监理人和发包人已经批准使用上述替代品，承包人可以据此使用替代品。</w:t>
      </w:r>
    </w:p>
    <w:p w14:paraId="3F31DC47">
      <w:pPr>
        <w:spacing w:line="406"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9.2.3    任何情况下，替代品都应遵守本合同中对相关材料和工程设备的要求。</w:t>
      </w:r>
    </w:p>
    <w:p w14:paraId="67AFB38B">
      <w:pPr>
        <w:spacing w:line="406"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9.2.4    如果承包人根据本条约定使用了替代品，监理人应与承包人适当协商之后并在合理的期限内确定替代材料和工程设备与合同中约定的材料和工程设备之间的价值差值，并决定：</w:t>
      </w:r>
    </w:p>
    <w:p w14:paraId="6131D8F7">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(1)如果替代材料和工程设备的价值高于合同中约定的材料和工程设备的价值，则将高出部分的价值追加到合同价格中并相应地通知承包人；</w:t>
      </w:r>
    </w:p>
    <w:p w14:paraId="057C3F18">
      <w:pPr>
        <w:spacing w:line="406" w:lineRule="exact"/>
        <w:ind w:left="1155" w:leftChars="400" w:hanging="315" w:hangingChars="150"/>
        <w:rPr>
          <w:rFonts w:hint="eastAsia" w:ascii="宋体" w:hAnsi="宋体"/>
          <w:color w:val="auto"/>
          <w:szCs w:val="21"/>
          <w:highlight w:val="none"/>
        </w:rPr>
      </w:pPr>
      <w:r>
        <w:rPr>
          <w:rFonts w:hint="eastAsia" w:ascii="宋体" w:hAnsi="宋体"/>
          <w:color w:val="auto"/>
          <w:szCs w:val="21"/>
          <w:highlight w:val="none"/>
        </w:rPr>
        <w:t>(2)(2)如果替代材料和工程设备的价值低于合同中约定的材料和工程设备的价值，则将节余部分的价值从合同价格中扣除并相应地通知承包人。</w:t>
      </w:r>
    </w:p>
    <w:p w14:paraId="13F8562C">
      <w:pPr>
        <w:keepNext/>
        <w:keepLines/>
        <w:spacing w:line="400" w:lineRule="exact"/>
        <w:outlineLvl w:val="2"/>
        <w:rPr>
          <w:rFonts w:hint="eastAsia" w:eastAsia="黑体"/>
          <w:color w:val="auto"/>
          <w:sz w:val="28"/>
          <w:szCs w:val="28"/>
          <w:highlight w:val="none"/>
        </w:rPr>
      </w:pPr>
      <w:bookmarkStart w:id="2403" w:name="_Toc3664"/>
      <w:bookmarkStart w:id="2404" w:name="_Toc474768497"/>
      <w:r>
        <w:rPr>
          <w:rFonts w:eastAsia="黑体"/>
          <w:color w:val="auto"/>
          <w:sz w:val="28"/>
          <w:szCs w:val="28"/>
          <w:highlight w:val="none"/>
        </w:rPr>
        <w:t>10.</w:t>
      </w:r>
      <w:r>
        <w:rPr>
          <w:rFonts w:hint="eastAsia" w:eastAsia="黑体"/>
          <w:color w:val="auto"/>
          <w:sz w:val="28"/>
          <w:szCs w:val="28"/>
          <w:highlight w:val="none"/>
        </w:rPr>
        <w:t>进口材料和工程设备</w:t>
      </w:r>
      <w:bookmarkEnd w:id="2403"/>
      <w:bookmarkEnd w:id="2404"/>
    </w:p>
    <w:p w14:paraId="31288A70">
      <w:pPr>
        <w:spacing w:line="500" w:lineRule="exact"/>
        <w:rPr>
          <w:rFonts w:hint="eastAsia" w:ascii="宋体" w:hAnsi="宋体"/>
          <w:color w:val="auto"/>
          <w:szCs w:val="21"/>
          <w:highlight w:val="none"/>
        </w:rPr>
      </w:pPr>
      <w:r>
        <w:rPr>
          <w:rFonts w:hint="eastAsia" w:ascii="宋体" w:hAnsi="宋体"/>
          <w:color w:val="auto"/>
          <w:szCs w:val="21"/>
          <w:highlight w:val="none"/>
        </w:rPr>
        <w:t>10.1    本工程需要进口的材料和工程设备如下：</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311182A">
      <w:pPr>
        <w:spacing w:line="50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10.2    上述进口材料和工程设备采购、进口、报关、清关、商检、境内运输(包括保险)、保管的责任以及费用承担方式划分如下：</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w:t>
      </w:r>
    </w:p>
    <w:p w14:paraId="1C8409C5">
      <w:pPr>
        <w:keepNext/>
        <w:keepLines/>
        <w:spacing w:line="400" w:lineRule="exact"/>
        <w:outlineLvl w:val="2"/>
        <w:rPr>
          <w:rFonts w:hint="eastAsia" w:eastAsia="黑体"/>
          <w:color w:val="auto"/>
          <w:sz w:val="28"/>
          <w:szCs w:val="28"/>
          <w:highlight w:val="none"/>
        </w:rPr>
      </w:pPr>
      <w:bookmarkStart w:id="2405" w:name="_Toc474768498"/>
      <w:bookmarkStart w:id="2406" w:name="_Toc28706"/>
      <w:r>
        <w:rPr>
          <w:rFonts w:eastAsia="黑体"/>
          <w:color w:val="auto"/>
          <w:sz w:val="28"/>
          <w:szCs w:val="28"/>
          <w:highlight w:val="none"/>
        </w:rPr>
        <w:t>11.</w:t>
      </w:r>
      <w:r>
        <w:rPr>
          <w:rFonts w:hint="eastAsia" w:eastAsia="黑体"/>
          <w:color w:val="auto"/>
          <w:sz w:val="28"/>
          <w:szCs w:val="28"/>
          <w:highlight w:val="none"/>
        </w:rPr>
        <w:t>进度报告和进度例会</w:t>
      </w:r>
      <w:bookmarkEnd w:id="2405"/>
      <w:bookmarkEnd w:id="2406"/>
    </w:p>
    <w:p w14:paraId="37EC9F1A">
      <w:pPr>
        <w:spacing w:line="406" w:lineRule="exact"/>
        <w:ind w:left="945" w:hanging="945" w:hangingChars="450"/>
        <w:jc w:val="left"/>
        <w:rPr>
          <w:rFonts w:ascii="宋体" w:hAnsi="宋体"/>
          <w:color w:val="auto"/>
          <w:szCs w:val="21"/>
          <w:highlight w:val="none"/>
        </w:rPr>
      </w:pPr>
      <w:r>
        <w:rPr>
          <w:rFonts w:hint="eastAsia" w:ascii="宋体" w:hAnsi="宋体"/>
          <w:color w:val="auto"/>
          <w:szCs w:val="21"/>
          <w:highlight w:val="none"/>
        </w:rPr>
        <w:t>11.1     进度报告</w:t>
      </w:r>
    </w:p>
    <w:p w14:paraId="3827D2B6">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11.1.1   施工过程中，承包人应向监理人指定的代表呈递一份每日的日进度报表、每周的周进度报表和每月的月进度报表。除非监理人同意，日进度报表应在次日上午九点前递交，周进度报表应在次周的周一上午九时前递交，月进度报表应随合同条款第17.3.2项约定的进度付款申请单一并递交。</w:t>
      </w:r>
    </w:p>
    <w:p w14:paraId="3E6DF737">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11.1.2   日和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p>
    <w:p w14:paraId="1C3A1FEF">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11.1.3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56F5CD3B">
      <w:pPr>
        <w:spacing w:line="406" w:lineRule="exact"/>
        <w:ind w:left="924" w:leftChars="-10" w:hanging="945" w:hangingChars="450"/>
        <w:jc w:val="left"/>
        <w:rPr>
          <w:rFonts w:hint="eastAsia" w:ascii="宋体" w:hAnsi="宋体"/>
          <w:color w:val="auto"/>
          <w:szCs w:val="21"/>
          <w:highlight w:val="none"/>
        </w:rPr>
      </w:pPr>
      <w:r>
        <w:rPr>
          <w:rFonts w:hint="eastAsia" w:ascii="宋体" w:hAnsi="宋体"/>
          <w:color w:val="auto"/>
          <w:szCs w:val="21"/>
          <w:highlight w:val="none"/>
        </w:rPr>
        <w:t>11.1.4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76962624">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11.1.5   各个进度报表的格式和内容应经过监理人的审批。进度报表应如实填写，由承包人授权代表签名，并报监理人的指定代表签名确认后再行分发。</w:t>
      </w:r>
    </w:p>
    <w:p w14:paraId="7851D863">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11.1.6   如果监理人认为必要，进度报告和进度照片应同时以存储在磁盘或光盘中的数据文件的形式递交给发包人和监理人。数据文件采用的应用软件及其版本应经过监理人的审批。</w:t>
      </w:r>
    </w:p>
    <w:p w14:paraId="3E8FC4A9">
      <w:pPr>
        <w:spacing w:line="400"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11.1.7   有关进度报告的其他要求：</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p>
    <w:p w14:paraId="53674764">
      <w:pPr>
        <w:spacing w:line="406" w:lineRule="exact"/>
        <w:ind w:left="1080" w:hanging="1080" w:hangingChars="450"/>
        <w:jc w:val="left"/>
        <w:rPr>
          <w:rFonts w:hint="eastAsia" w:ascii="黑体" w:hAnsi="宋体" w:eastAsia="黑体"/>
          <w:color w:val="auto"/>
          <w:sz w:val="24"/>
          <w:highlight w:val="none"/>
        </w:rPr>
      </w:pPr>
      <w:r>
        <w:rPr>
          <w:rFonts w:hint="eastAsia" w:ascii="黑体" w:hAnsi="宋体" w:eastAsia="黑体"/>
          <w:color w:val="auto"/>
          <w:sz w:val="24"/>
          <w:szCs w:val="24"/>
          <w:highlight w:val="none"/>
        </w:rPr>
        <w:t>11.2     进度例会</w:t>
      </w:r>
    </w:p>
    <w:p w14:paraId="3AB11018">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11.2.1   监理人将主持召开有发包人、承包人、独立承包人和主要分包人等与本工程建设有关各方出席的每周一次的进度例会。必要时，监理人可随时召集所有上述各方或其中部分单位参加的会议。承包人应保证能代表其当场作出决定的高级管理人员出席会议。</w:t>
      </w:r>
    </w:p>
    <w:p w14:paraId="2CD9A3EF">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11.2.2   进度例会的内容将涉及合同管理、进度协调和工程管理的各个方面，由监理人准备的会议议题将随会议通知在会议召开前至少24小时发给各参会方。</w:t>
      </w:r>
    </w:p>
    <w:p w14:paraId="5E238BD0">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11.2.3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53EB5F57">
      <w:pPr>
        <w:spacing w:line="400"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11.2.4   有关进度例会的其他要求：</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A4789F1">
      <w:pPr>
        <w:keepNext/>
        <w:keepLines/>
        <w:spacing w:line="400" w:lineRule="exact"/>
        <w:outlineLvl w:val="2"/>
        <w:rPr>
          <w:rFonts w:hint="eastAsia" w:eastAsia="黑体"/>
          <w:color w:val="auto"/>
          <w:sz w:val="28"/>
          <w:szCs w:val="28"/>
          <w:highlight w:val="none"/>
        </w:rPr>
      </w:pPr>
      <w:bookmarkStart w:id="2407" w:name="_Toc29051"/>
      <w:bookmarkStart w:id="2408" w:name="_Toc474768499"/>
      <w:r>
        <w:rPr>
          <w:rFonts w:eastAsia="黑体"/>
          <w:color w:val="auto"/>
          <w:sz w:val="28"/>
          <w:szCs w:val="28"/>
          <w:highlight w:val="none"/>
        </w:rPr>
        <w:t>12.</w:t>
      </w:r>
      <w:r>
        <w:rPr>
          <w:rFonts w:hint="eastAsia" w:eastAsia="黑体"/>
          <w:color w:val="auto"/>
          <w:sz w:val="28"/>
          <w:szCs w:val="28"/>
          <w:highlight w:val="none"/>
        </w:rPr>
        <w:t>试验和检验</w:t>
      </w:r>
      <w:bookmarkEnd w:id="2407"/>
      <w:bookmarkEnd w:id="2408"/>
    </w:p>
    <w:p w14:paraId="005AE928">
      <w:pPr>
        <w:spacing w:line="406" w:lineRule="exact"/>
        <w:ind w:left="945" w:hanging="945" w:hangingChars="450"/>
        <w:jc w:val="left"/>
        <w:rPr>
          <w:rFonts w:ascii="宋体" w:hAnsi="宋体"/>
          <w:color w:val="auto"/>
          <w:szCs w:val="21"/>
          <w:highlight w:val="none"/>
        </w:rPr>
      </w:pPr>
      <w:r>
        <w:rPr>
          <w:rFonts w:hint="eastAsia" w:ascii="宋体" w:hAnsi="宋体"/>
          <w:color w:val="auto"/>
          <w:szCs w:val="21"/>
          <w:highlight w:val="none"/>
        </w:rPr>
        <w:t>12.1     承包人应当按照工程施工验收规范和标准的规定和通用合同条款第14条的约定，对用于永久工程的主要材料、半成品、成品、建筑构配件、工程设备等进行试验和检验。</w:t>
      </w:r>
    </w:p>
    <w:p w14:paraId="494906B4">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12.2     本工程需要承包人进行试验和检验的材料、工程设备和工艺如下：</w:t>
      </w:r>
      <w:r>
        <w:rPr>
          <w:rFonts w:hint="eastAsia" w:ascii="宋体" w:hAnsi="宋体"/>
          <w:color w:val="auto"/>
          <w:szCs w:val="21"/>
          <w:highlight w:val="none"/>
          <w:u w:val="single"/>
        </w:rPr>
        <w:t xml:space="preserve"> </w:t>
      </w:r>
      <w:r>
        <w:rPr>
          <w:rFonts w:hint="eastAsia" w:ascii="宋体" w:hAnsi="宋体"/>
          <w:szCs w:val="21"/>
          <w:u w:val="single"/>
        </w:rPr>
        <w:t>按照工程施工验收规范和标准的规定的材料、工程设备</w:t>
      </w:r>
      <w:r>
        <w:rPr>
          <w:rFonts w:hint="eastAsia" w:ascii="宋体" w:hAnsi="宋体"/>
          <w:color w:val="auto"/>
          <w:szCs w:val="21"/>
          <w:highlight w:val="none"/>
          <w:u w:val="single"/>
        </w:rPr>
        <w:t xml:space="preserve">  </w:t>
      </w:r>
      <w:r>
        <w:rPr>
          <w:rFonts w:hint="eastAsia" w:ascii="宋体" w:hAnsi="宋体"/>
          <w:color w:val="auto"/>
          <w:szCs w:val="21"/>
          <w:highlight w:val="none"/>
        </w:rPr>
        <w:t>。监理人可以根据工程需要，指示承包人进行其他现场材料和工艺的试验和检验。</w:t>
      </w:r>
    </w:p>
    <w:p w14:paraId="6BD22820">
      <w:pPr>
        <w:spacing w:line="406" w:lineRule="exact"/>
        <w:ind w:left="945" w:hanging="945" w:hangingChars="450"/>
        <w:jc w:val="left"/>
        <w:rPr>
          <w:rFonts w:hint="eastAsia" w:ascii="宋体" w:hAnsi="宋体"/>
          <w:color w:val="auto"/>
          <w:spacing w:val="4"/>
          <w:szCs w:val="21"/>
          <w:highlight w:val="none"/>
        </w:rPr>
      </w:pPr>
      <w:r>
        <w:rPr>
          <w:rFonts w:hint="eastAsia" w:ascii="宋体" w:hAnsi="宋体"/>
          <w:color w:val="auto"/>
          <w:szCs w:val="21"/>
          <w:highlight w:val="none"/>
        </w:rPr>
        <w:t xml:space="preserve">12.3     </w:t>
      </w:r>
      <w:r>
        <w:rPr>
          <w:rFonts w:hint="eastAsia" w:ascii="宋体" w:hAnsi="宋体"/>
          <w:color w:val="auto"/>
          <w:spacing w:val="4"/>
          <w:szCs w:val="21"/>
          <w:highlight w:val="none"/>
        </w:rPr>
        <w:t>本工程需要由监理人和承包人共同进行试验和检验的材料、工程设备和工艺如下：</w:t>
      </w:r>
    </w:p>
    <w:p w14:paraId="3EEF4BAE">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szCs w:val="21"/>
          <w:u w:val="single"/>
        </w:rPr>
        <w:t>在具体发生时提前报监理人</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1A27D40B">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12.4     本条上述约定需要进行检验的材料、工程设备和工艺在经过检验并获得监理人批准以前，不得用于任何永久工程。</w:t>
      </w:r>
    </w:p>
    <w:p w14:paraId="1550A01A">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12.5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55479704">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12.6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7D5E8253">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12.7     承包人应在监理人的监督下，对涉及结构安全的试块、试件以及有关材料进行现场取样，并送</w:t>
      </w:r>
      <w:r>
        <w:rPr>
          <w:rFonts w:hint="eastAsia" w:ascii="宋体" w:hAnsi="宋体"/>
          <w:color w:val="auto"/>
          <w:szCs w:val="21"/>
          <w:highlight w:val="none"/>
          <w:u w:val="single"/>
        </w:rPr>
        <w:t xml:space="preserve">  相应检测资质 </w:t>
      </w:r>
      <w:r>
        <w:rPr>
          <w:rFonts w:hint="eastAsia" w:ascii="宋体" w:hAnsi="宋体"/>
          <w:color w:val="auto"/>
          <w:szCs w:val="21"/>
          <w:highlight w:val="none"/>
        </w:rPr>
        <w:t>质量检测单位进行检测。</w:t>
      </w:r>
    </w:p>
    <w:p w14:paraId="048DC2AB">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12.8     除合同另有约定外，承包人应负担本合同项下的所有材料、工程设备和工艺检验的费用。</w:t>
      </w:r>
    </w:p>
    <w:p w14:paraId="133F9036">
      <w:pPr>
        <w:keepNext/>
        <w:keepLines/>
        <w:spacing w:line="400" w:lineRule="exact"/>
        <w:outlineLvl w:val="2"/>
        <w:rPr>
          <w:rFonts w:hint="eastAsia" w:eastAsia="黑体"/>
          <w:color w:val="auto"/>
          <w:sz w:val="28"/>
          <w:szCs w:val="28"/>
          <w:highlight w:val="none"/>
        </w:rPr>
      </w:pPr>
      <w:bookmarkStart w:id="2409" w:name="_Toc474768500"/>
      <w:bookmarkStart w:id="2410" w:name="_Toc21238"/>
      <w:r>
        <w:rPr>
          <w:rFonts w:eastAsia="黑体"/>
          <w:color w:val="auto"/>
          <w:sz w:val="28"/>
          <w:szCs w:val="28"/>
          <w:highlight w:val="none"/>
        </w:rPr>
        <w:t>13.</w:t>
      </w:r>
      <w:r>
        <w:rPr>
          <w:rFonts w:hint="eastAsia" w:eastAsia="黑体"/>
          <w:color w:val="auto"/>
          <w:sz w:val="28"/>
          <w:szCs w:val="28"/>
          <w:highlight w:val="none"/>
        </w:rPr>
        <w:t>计日工</w:t>
      </w:r>
      <w:bookmarkEnd w:id="2409"/>
      <w:bookmarkEnd w:id="2410"/>
    </w:p>
    <w:p w14:paraId="200A22B9">
      <w:pPr>
        <w:spacing w:line="406" w:lineRule="exact"/>
        <w:ind w:left="945" w:hanging="945" w:hangingChars="450"/>
        <w:jc w:val="left"/>
        <w:rPr>
          <w:rFonts w:ascii="宋体" w:hAnsi="宋体"/>
          <w:color w:val="auto"/>
          <w:szCs w:val="21"/>
          <w:highlight w:val="none"/>
        </w:rPr>
      </w:pPr>
      <w:r>
        <w:rPr>
          <w:rFonts w:hint="eastAsia" w:ascii="宋体" w:hAnsi="宋体"/>
          <w:color w:val="auto"/>
          <w:szCs w:val="21"/>
          <w:highlight w:val="none"/>
        </w:rPr>
        <w:t>13.1     通用合同条款第15.7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通用合同条款第15.7.1项约定通知承包人实施。</w:t>
      </w:r>
    </w:p>
    <w:p w14:paraId="04F314C5">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13.2     在工程实际开工后14天内，承包人应当按通用合同条款第15.7.2项约定的计日工报表内容，准备一份计日工日报表的格式，报送监理人审批，监理人应当在收到之日后7天内给予批复或提出修改意见。</w:t>
      </w:r>
    </w:p>
    <w:p w14:paraId="319F3877">
      <w:pPr>
        <w:spacing w:line="40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13.3     按计日工实施相关变更的过程中，承包人应当按经监理人批准的计日工日报表格式，每天提交计日工报表和有关凭证，报送监理人审批，监理人应当在收到相关报表和凭证后24小时内给予批复。</w:t>
      </w:r>
    </w:p>
    <w:p w14:paraId="58A99BEE">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13.4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2CD9BBCC">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13.5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规费和税金另计。</w:t>
      </w:r>
    </w:p>
    <w:p w14:paraId="778F02E4">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13.6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14:paraId="29946907">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13.7     关于计日工的其他约定：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57293411">
      <w:pPr>
        <w:keepNext/>
        <w:keepLines/>
        <w:spacing w:line="400" w:lineRule="exact"/>
        <w:outlineLvl w:val="2"/>
        <w:rPr>
          <w:rFonts w:hint="eastAsia" w:eastAsia="黑体"/>
          <w:color w:val="auto"/>
          <w:sz w:val="28"/>
          <w:szCs w:val="28"/>
          <w:highlight w:val="none"/>
        </w:rPr>
      </w:pPr>
      <w:bookmarkStart w:id="2411" w:name="_Toc474768501"/>
      <w:bookmarkStart w:id="2412" w:name="_Toc12320"/>
      <w:r>
        <w:rPr>
          <w:rFonts w:eastAsia="黑体"/>
          <w:color w:val="auto"/>
          <w:sz w:val="28"/>
          <w:szCs w:val="28"/>
          <w:highlight w:val="none"/>
        </w:rPr>
        <w:t>14.</w:t>
      </w:r>
      <w:r>
        <w:rPr>
          <w:rFonts w:hint="eastAsia" w:eastAsia="黑体"/>
          <w:color w:val="auto"/>
          <w:sz w:val="28"/>
          <w:szCs w:val="28"/>
          <w:highlight w:val="none"/>
        </w:rPr>
        <w:t>计量与支付</w:t>
      </w:r>
      <w:bookmarkEnd w:id="2411"/>
      <w:bookmarkEnd w:id="2412"/>
    </w:p>
    <w:p w14:paraId="415E58B9">
      <w:pPr>
        <w:spacing w:line="402" w:lineRule="exact"/>
        <w:ind w:left="1080" w:hanging="1080" w:hangingChars="450"/>
        <w:jc w:val="left"/>
        <w:rPr>
          <w:rFonts w:ascii="黑体" w:hAnsi="宋体" w:eastAsia="黑体"/>
          <w:color w:val="auto"/>
          <w:sz w:val="24"/>
          <w:highlight w:val="none"/>
        </w:rPr>
      </w:pPr>
      <w:r>
        <w:rPr>
          <w:rFonts w:hint="eastAsia" w:ascii="黑体" w:hAnsi="宋体" w:eastAsia="黑体"/>
          <w:color w:val="auto"/>
          <w:sz w:val="24"/>
          <w:szCs w:val="24"/>
          <w:highlight w:val="none"/>
        </w:rPr>
        <w:t>14.1    付款申请单</w:t>
      </w:r>
    </w:p>
    <w:p w14:paraId="2C134E30">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14.1.1   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p w14:paraId="7FF1BD26">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14.1.2   根据合同条款第17.1款和第17.3款，  承包人应当在合同约定的每个付款周期末，对当期完成的各项工程量进行计量和计价，并按照第17.3.2项的约定，对当期应增加和扣减的各类款项进行梳理和汇总，按经监理人批准的格式和专用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54B30F63">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14.1.3   竣工付款申诅单的内容按专用合同条款第17.5.1(1)目的约定。采用单价合同形式的，竣工付款申请单应当附上按通用合同条款第17.1.4(5)目确定的结算工程量和最近一欠进度付款和竣工付款之间完成的各子目的工程量计量文件。采用总价合同形式的，签约合同价所基于的工程量就是相应的竣工结算工程量，但是，变更应按合同约定进行计量和计价。</w:t>
      </w:r>
    </w:p>
    <w:p w14:paraId="382B4B16">
      <w:pPr>
        <w:spacing w:line="402"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14.1.4   竣工结算总价(合同价格)应当按以下内容梳理：</w:t>
      </w:r>
    </w:p>
    <w:p w14:paraId="3B363716">
      <w:pPr>
        <w:spacing w:line="402"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(1)签约合同价；</w:t>
      </w:r>
    </w:p>
    <w:p w14:paraId="78662D2F">
      <w:pPr>
        <w:spacing w:line="402"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(2)应当扣减的项目；</w:t>
      </w:r>
    </w:p>
    <w:p w14:paraId="3238DB27">
      <w:pPr>
        <w:spacing w:line="402"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1)所有暂列金额；</w:t>
      </w:r>
    </w:p>
    <w:p w14:paraId="5C0E6C9B">
      <w:pPr>
        <w:spacing w:line="402"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2)所有暂估价；</w:t>
      </w:r>
    </w:p>
    <w:p w14:paraId="22F8CBCD">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3)根据合同条款第15条应扣减的变更金额；</w:t>
      </w:r>
    </w:p>
    <w:p w14:paraId="3D2FE718">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4)根据合同条款第16条应扣减的价格调整(下调部分)；</w:t>
      </w:r>
    </w:p>
    <w:p w14:paraId="5234D99F">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5)根据合同条款第23.4款应扣减的发包人索赔金额；</w:t>
      </w:r>
    </w:p>
    <w:p w14:paraId="6160D6A1">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6)甩项工程的合同价值(如果有)；</w:t>
      </w:r>
    </w:p>
    <w:p w14:paraId="77089755">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7)根据合同约定发包人应扣减的其他金额。</w:t>
      </w:r>
    </w:p>
    <w:p w14:paraId="4CFEF0D9">
      <w:pPr>
        <w:spacing w:line="460" w:lineRule="exact"/>
        <w:ind w:firstLine="945" w:firstLineChars="450"/>
        <w:jc w:val="left"/>
        <w:rPr>
          <w:rFonts w:hint="eastAsia" w:ascii="宋体" w:hAnsi="宋体"/>
          <w:color w:val="auto"/>
          <w:szCs w:val="21"/>
          <w:highlight w:val="none"/>
        </w:rPr>
      </w:pPr>
      <w:r>
        <w:rPr>
          <w:rFonts w:hint="eastAsia" w:ascii="宋体" w:hAnsi="宋体"/>
          <w:color w:val="auto"/>
          <w:szCs w:val="21"/>
          <w:highlight w:val="none"/>
        </w:rPr>
        <w:t>(3)应当增加的项目；</w:t>
      </w:r>
    </w:p>
    <w:p w14:paraId="26CB97FD">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1)实际发生的暂列金额(包括计日工)；</w:t>
      </w:r>
    </w:p>
    <w:p w14:paraId="31F2708F">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2)实际发生的暂估价；</w:t>
      </w:r>
    </w:p>
    <w:p w14:paraId="7FED18B0">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3)根据合同条款第15条应增加的变更金额；</w:t>
      </w:r>
    </w:p>
    <w:p w14:paraId="3140E165">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4)根据合同条款第16条应增加的价格调整(上调部分)；</w:t>
      </w:r>
    </w:p>
    <w:p w14:paraId="6A26BC60">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5)根据合同条款第23.2款应增加的承包人索赔金额；</w:t>
      </w:r>
    </w:p>
    <w:p w14:paraId="5F384B0B">
      <w:pPr>
        <w:spacing w:line="460" w:lineRule="exact"/>
        <w:ind w:firstLine="1260" w:firstLineChars="600"/>
        <w:jc w:val="left"/>
        <w:rPr>
          <w:rFonts w:hint="eastAsia" w:ascii="宋体" w:hAnsi="宋体"/>
          <w:color w:val="auto"/>
          <w:szCs w:val="21"/>
          <w:highlight w:val="none"/>
        </w:rPr>
      </w:pPr>
      <w:r>
        <w:rPr>
          <w:rFonts w:hint="eastAsia" w:ascii="宋体" w:hAnsi="宋体"/>
          <w:color w:val="auto"/>
          <w:szCs w:val="21"/>
          <w:highlight w:val="none"/>
        </w:rPr>
        <w:t>6)根据合同约定承包人应当得到的其他金额。</w:t>
      </w:r>
    </w:p>
    <w:p w14:paraId="7D887961">
      <w:pPr>
        <w:spacing w:line="460" w:lineRule="exact"/>
        <w:ind w:firstLine="945" w:firstLineChars="450"/>
        <w:jc w:val="left"/>
        <w:rPr>
          <w:rFonts w:hint="eastAsia" w:ascii="宋体" w:hAnsi="宋体"/>
          <w:color w:val="auto"/>
          <w:szCs w:val="21"/>
          <w:highlight w:val="none"/>
        </w:rPr>
      </w:pPr>
      <w:r>
        <w:rPr>
          <w:rFonts w:hint="eastAsia" w:ascii="宋体" w:hAnsi="宋体"/>
          <w:color w:val="auto"/>
          <w:szCs w:val="21"/>
          <w:highlight w:val="none"/>
        </w:rPr>
        <w:t>(4)规费和税金差额部分。</w:t>
      </w:r>
    </w:p>
    <w:p w14:paraId="517EF5D8">
      <w:pPr>
        <w:spacing w:line="460" w:lineRule="exact"/>
        <w:jc w:val="left"/>
        <w:rPr>
          <w:rFonts w:hint="eastAsia" w:ascii="宋体" w:hAnsi="宋体"/>
          <w:color w:val="auto"/>
          <w:szCs w:val="21"/>
          <w:highlight w:val="none"/>
        </w:rPr>
      </w:pPr>
      <w:r>
        <w:rPr>
          <w:rFonts w:hint="eastAsia" w:ascii="宋体" w:hAnsi="宋体"/>
          <w:color w:val="auto"/>
          <w:szCs w:val="21"/>
          <w:highlight w:val="none"/>
        </w:rPr>
        <w:t>14.1.5   最终结清申请单的应付金额应当按下列内容梳理：</w:t>
      </w:r>
    </w:p>
    <w:p w14:paraId="39D61FC0">
      <w:pPr>
        <w:spacing w:line="460" w:lineRule="exact"/>
        <w:ind w:firstLine="840" w:firstLineChars="400"/>
        <w:jc w:val="left"/>
        <w:rPr>
          <w:rFonts w:hint="eastAsia" w:ascii="宋体" w:hAnsi="宋体"/>
          <w:color w:val="auto"/>
          <w:szCs w:val="21"/>
          <w:highlight w:val="none"/>
        </w:rPr>
      </w:pPr>
      <w:r>
        <w:rPr>
          <w:rFonts w:hint="eastAsia" w:ascii="宋体" w:hAnsi="宋体"/>
          <w:color w:val="auto"/>
          <w:szCs w:val="21"/>
          <w:highlight w:val="none"/>
        </w:rPr>
        <w:t>(1)按合同约定扣留的质量保证金；</w:t>
      </w:r>
    </w:p>
    <w:p w14:paraId="4094CE4D">
      <w:pPr>
        <w:spacing w:line="460" w:lineRule="exact"/>
        <w:ind w:firstLine="840" w:firstLineChars="400"/>
        <w:jc w:val="left"/>
        <w:rPr>
          <w:rFonts w:hint="eastAsia" w:ascii="宋体" w:hAnsi="宋体"/>
          <w:color w:val="auto"/>
          <w:szCs w:val="21"/>
          <w:highlight w:val="none"/>
        </w:rPr>
      </w:pPr>
      <w:r>
        <w:rPr>
          <w:rFonts w:hint="eastAsia" w:ascii="宋体" w:hAnsi="宋体"/>
          <w:color w:val="auto"/>
          <w:szCs w:val="21"/>
          <w:highlight w:val="none"/>
        </w:rPr>
        <w:t>(2)应当扣除的金额：</w:t>
      </w:r>
    </w:p>
    <w:p w14:paraId="3E61D815">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1)按通用合同条款17.4.3项约定扣留的质量保证金；</w:t>
      </w:r>
    </w:p>
    <w:p w14:paraId="0930F111">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2)按通用合同条款19.2.4项约定扣除的质量保证金；</w:t>
      </w:r>
    </w:p>
    <w:p w14:paraId="5CE41A8A">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3)根据合同条款第23.4款应扣减的缺陷责任期内发生的发包人索赔金额；</w:t>
      </w:r>
    </w:p>
    <w:p w14:paraId="7A797A32">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4)根据合同约定应扣减的其他金额。</w:t>
      </w:r>
    </w:p>
    <w:p w14:paraId="5B2255A3">
      <w:pPr>
        <w:spacing w:line="460" w:lineRule="exact"/>
        <w:ind w:firstLine="840" w:firstLineChars="400"/>
        <w:jc w:val="left"/>
        <w:rPr>
          <w:rFonts w:hint="eastAsia" w:ascii="宋体" w:hAnsi="宋体"/>
          <w:color w:val="auto"/>
          <w:szCs w:val="21"/>
          <w:highlight w:val="none"/>
        </w:rPr>
      </w:pPr>
      <w:r>
        <w:rPr>
          <w:rFonts w:hint="eastAsia" w:ascii="宋体" w:hAnsi="宋体"/>
          <w:color w:val="auto"/>
          <w:szCs w:val="21"/>
          <w:highlight w:val="none"/>
        </w:rPr>
        <w:t>(3)应当增加的金额：</w:t>
      </w:r>
    </w:p>
    <w:p w14:paraId="4D547D31">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1)已完且符合合同约定的甩项工程的价值；</w:t>
      </w:r>
    </w:p>
    <w:p w14:paraId="0CFC6F61">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2)按通用合同条款19.2.3项约定由承包人修复的发包人原因造成的缺陷的价值；</w:t>
      </w:r>
    </w:p>
    <w:p w14:paraId="354C2D65">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3)根据合同条款第23.2款应增加的缺陷责任期内发生的承包人索赔金额；</w:t>
      </w:r>
    </w:p>
    <w:p w14:paraId="32EF7089">
      <w:pPr>
        <w:spacing w:line="460" w:lineRule="exact"/>
        <w:ind w:firstLine="1155" w:firstLineChars="550"/>
        <w:jc w:val="left"/>
        <w:rPr>
          <w:rFonts w:hint="eastAsia" w:ascii="宋体" w:hAnsi="宋体"/>
          <w:color w:val="auto"/>
          <w:szCs w:val="21"/>
          <w:highlight w:val="none"/>
        </w:rPr>
      </w:pPr>
      <w:r>
        <w:rPr>
          <w:rFonts w:hint="eastAsia" w:ascii="宋体" w:hAnsi="宋体"/>
          <w:color w:val="auto"/>
          <w:szCs w:val="21"/>
          <w:highlight w:val="none"/>
        </w:rPr>
        <w:t>4)根据合同约定承包人应当得到的其他金额。</w:t>
      </w:r>
    </w:p>
    <w:p w14:paraId="36D4F1B2">
      <w:pPr>
        <w:spacing w:line="460" w:lineRule="exact"/>
        <w:ind w:firstLine="945" w:firstLineChars="450"/>
        <w:jc w:val="left"/>
        <w:rPr>
          <w:rFonts w:hint="eastAsia" w:ascii="宋体" w:hAnsi="宋体"/>
          <w:color w:val="auto"/>
          <w:szCs w:val="21"/>
          <w:highlight w:val="none"/>
        </w:rPr>
      </w:pPr>
      <w:r>
        <w:rPr>
          <w:rFonts w:hint="eastAsia" w:ascii="宋体" w:hAnsi="宋体"/>
          <w:color w:val="auto"/>
          <w:szCs w:val="21"/>
          <w:highlight w:val="none"/>
        </w:rPr>
        <w:t>最终结清应当由发包人和承包人按照“多退少补”的原则办理。</w:t>
      </w:r>
    </w:p>
    <w:p w14:paraId="33D1265F">
      <w:pPr>
        <w:spacing w:line="460"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14.1.6   竣工付款申请单和最终结清申请单应当比照进度付款申请单的格式准备，并提供相关证明材料。</w:t>
      </w:r>
    </w:p>
    <w:p w14:paraId="0FA8E6F6">
      <w:pPr>
        <w:spacing w:before="72" w:beforeLines="30" w:after="72" w:afterLines="30" w:line="450" w:lineRule="exact"/>
        <w:jc w:val="left"/>
        <w:rPr>
          <w:rFonts w:hint="eastAsia" w:ascii="黑体" w:hAnsi="宋体" w:eastAsia="黑体"/>
          <w:color w:val="auto"/>
          <w:sz w:val="24"/>
          <w:highlight w:val="none"/>
        </w:rPr>
      </w:pPr>
      <w:r>
        <w:rPr>
          <w:rFonts w:hint="eastAsia" w:ascii="黑体" w:hAnsi="宋体" w:eastAsia="黑体"/>
          <w:color w:val="auto"/>
          <w:sz w:val="24"/>
          <w:szCs w:val="24"/>
          <w:highlight w:val="none"/>
        </w:rPr>
        <w:t>14.2    其他约定</w:t>
      </w:r>
    </w:p>
    <w:p w14:paraId="3E297E55">
      <w:pPr>
        <w:spacing w:line="450" w:lineRule="exact"/>
        <w:ind w:firstLine="945" w:firstLineChars="450"/>
        <w:jc w:val="left"/>
        <w:rPr>
          <w:rFonts w:hint="eastAsia" w:ascii="宋体" w:hAnsi="宋体"/>
          <w:color w:val="auto"/>
          <w:szCs w:val="21"/>
          <w:highlight w:val="none"/>
        </w:rPr>
      </w:pPr>
      <w:r>
        <w:rPr>
          <w:rFonts w:hint="eastAsia" w:ascii="宋体" w:hAnsi="宋体"/>
          <w:color w:val="auto"/>
          <w:szCs w:val="21"/>
          <w:highlight w:val="none"/>
        </w:rPr>
        <w:t>其他约定内容：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06A1BD2F">
      <w:pPr>
        <w:keepNext/>
        <w:keepLines/>
        <w:spacing w:line="400" w:lineRule="exact"/>
        <w:outlineLvl w:val="2"/>
        <w:rPr>
          <w:rFonts w:hint="eastAsia" w:eastAsia="黑体"/>
          <w:color w:val="auto"/>
          <w:sz w:val="28"/>
          <w:szCs w:val="28"/>
          <w:highlight w:val="none"/>
        </w:rPr>
      </w:pPr>
      <w:bookmarkStart w:id="2413" w:name="_Toc474768502"/>
      <w:bookmarkStart w:id="2414" w:name="_Toc27580"/>
      <w:r>
        <w:rPr>
          <w:rFonts w:eastAsia="黑体"/>
          <w:color w:val="auto"/>
          <w:sz w:val="28"/>
          <w:szCs w:val="28"/>
          <w:highlight w:val="none"/>
        </w:rPr>
        <w:t>15.</w:t>
      </w:r>
      <w:r>
        <w:rPr>
          <w:rFonts w:hint="eastAsia" w:eastAsia="黑体"/>
          <w:color w:val="auto"/>
          <w:sz w:val="28"/>
          <w:szCs w:val="28"/>
          <w:highlight w:val="none"/>
        </w:rPr>
        <w:t>竣工验收和工程移交</w:t>
      </w:r>
      <w:bookmarkEnd w:id="2413"/>
      <w:bookmarkEnd w:id="2414"/>
    </w:p>
    <w:p w14:paraId="79798C37">
      <w:pPr>
        <w:spacing w:line="436" w:lineRule="exact"/>
        <w:jc w:val="left"/>
        <w:rPr>
          <w:rFonts w:ascii="黑体" w:hAnsi="宋体" w:eastAsia="黑体"/>
          <w:color w:val="auto"/>
          <w:sz w:val="24"/>
          <w:highlight w:val="none"/>
        </w:rPr>
      </w:pPr>
      <w:r>
        <w:rPr>
          <w:rFonts w:hint="eastAsia" w:ascii="黑体" w:hAnsi="宋体" w:eastAsia="黑体"/>
          <w:color w:val="auto"/>
          <w:sz w:val="24"/>
          <w:szCs w:val="24"/>
          <w:highlight w:val="none"/>
        </w:rPr>
        <w:t>15.1   竣工验收前的清理</w:t>
      </w:r>
    </w:p>
    <w:p w14:paraId="406DEE32">
      <w:pPr>
        <w:spacing w:line="420"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15.1.1   在向监理人提交竣工验收申请报告前，承包人应当完成竣工验收前的清理工作，包括但不限于：</w:t>
      </w:r>
    </w:p>
    <w:p w14:paraId="57465BFC">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(1)从永久工程内清除所有剩余材料、杂物、垃圾等等；</w:t>
      </w:r>
    </w:p>
    <w:p w14:paraId="454C25C6">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(2)清洗工程的所有地面、墙面、楼面、路面等表面；</w:t>
      </w:r>
    </w:p>
    <w:p w14:paraId="1486EE3F">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(3)清洗和擦洗所有玻璃、磁砖、石材和所有金属面；</w:t>
      </w:r>
    </w:p>
    <w:p w14:paraId="476DE01A">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(4)修缮所有损坏、清除所有污迹、替换所有需更换的材料；</w:t>
      </w:r>
    </w:p>
    <w:p w14:paraId="26BA3F67">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(5)所有表面完成约定的装修和装饰；</w:t>
      </w:r>
    </w:p>
    <w:p w14:paraId="0D9F10EC">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(6)检查和调试所有的门、窗、抽屉等以确保他们开启的顺畅；</w:t>
      </w:r>
    </w:p>
    <w:p w14:paraId="5C8AB239">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(7)检查和调试所有的五金件并上油；</w:t>
      </w:r>
    </w:p>
    <w:p w14:paraId="3A65CF2C">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(8)检查、测试和确保所有服务系统、设施和设备达到良好的运行状态和效果；</w:t>
      </w:r>
    </w:p>
    <w:p w14:paraId="4CEDF2E2">
      <w:pPr>
        <w:spacing w:line="42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(9)所有钥匙(如果有)贴上标签并固定到钥匙排上随时可以交给监理人。</w:t>
      </w:r>
    </w:p>
    <w:p w14:paraId="6313DE5A">
      <w:pPr>
        <w:spacing w:line="420" w:lineRule="exact"/>
        <w:jc w:val="left"/>
        <w:rPr>
          <w:rFonts w:hint="eastAsia" w:ascii="宋体" w:hAnsi="宋体"/>
          <w:color w:val="auto"/>
          <w:szCs w:val="21"/>
          <w:highlight w:val="none"/>
        </w:rPr>
      </w:pPr>
      <w:r>
        <w:rPr>
          <w:rFonts w:hint="eastAsia" w:ascii="宋体" w:hAnsi="宋体"/>
          <w:color w:val="auto"/>
          <w:szCs w:val="21"/>
          <w:highlight w:val="none"/>
        </w:rPr>
        <w:t>15.1.2   清理工作所需费用由承包人承担。</w:t>
      </w:r>
    </w:p>
    <w:p w14:paraId="5AF3CD09">
      <w:pPr>
        <w:spacing w:before="60" w:beforeLines="25" w:after="48" w:afterLines="20" w:line="436" w:lineRule="exact"/>
        <w:jc w:val="left"/>
        <w:rPr>
          <w:rFonts w:hint="eastAsia" w:ascii="黑体" w:hAnsi="宋体" w:eastAsia="黑体"/>
          <w:color w:val="auto"/>
          <w:sz w:val="24"/>
          <w:highlight w:val="none"/>
        </w:rPr>
      </w:pPr>
      <w:r>
        <w:rPr>
          <w:rFonts w:hint="eastAsia" w:ascii="黑体" w:hAnsi="宋体" w:eastAsia="黑体"/>
          <w:color w:val="auto"/>
          <w:sz w:val="24"/>
          <w:szCs w:val="24"/>
          <w:highlight w:val="none"/>
        </w:rPr>
        <w:t>15.2     竣工验收申请报告</w:t>
      </w:r>
    </w:p>
    <w:p w14:paraId="4812E71D">
      <w:pPr>
        <w:spacing w:line="420"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1130681F">
      <w:pPr>
        <w:spacing w:line="420"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15.2.2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14:paraId="70E87A54">
      <w:pPr>
        <w:spacing w:line="420"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15.2.3   竣工验收申请报告应当按通用合同条款第18.2款附上下列内容：</w:t>
      </w:r>
    </w:p>
    <w:p w14:paraId="419E1B32">
      <w:pPr>
        <w:spacing w:line="420" w:lineRule="exact"/>
        <w:ind w:left="1290" w:leftChars="450" w:hanging="345" w:hangingChars="150"/>
        <w:jc w:val="left"/>
        <w:rPr>
          <w:rFonts w:hint="eastAsia" w:ascii="宋体" w:hAnsi="宋体"/>
          <w:color w:val="auto"/>
          <w:spacing w:val="10"/>
          <w:szCs w:val="21"/>
          <w:highlight w:val="none"/>
        </w:rPr>
      </w:pPr>
      <w:r>
        <w:rPr>
          <w:rFonts w:hint="eastAsia" w:ascii="宋体" w:hAnsi="宋体"/>
          <w:color w:val="auto"/>
          <w:spacing w:val="10"/>
          <w:szCs w:val="21"/>
          <w:highlight w:val="none"/>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0A5F00B3">
      <w:pPr>
        <w:spacing w:line="436"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（2）按专用合同条款第18.2(2)目约定的内容和份数整理的符合要求的竣工资料；</w:t>
      </w:r>
    </w:p>
    <w:p w14:paraId="4620ABF4">
      <w:pPr>
        <w:spacing w:line="436" w:lineRule="exact"/>
        <w:ind w:left="1470" w:leftChars="450" w:hanging="525" w:hangingChars="250"/>
        <w:jc w:val="left"/>
        <w:rPr>
          <w:rFonts w:hint="eastAsia" w:ascii="宋体" w:hAnsi="宋体"/>
          <w:color w:val="auto"/>
          <w:szCs w:val="21"/>
          <w:highlight w:val="none"/>
        </w:rPr>
      </w:pPr>
      <w:r>
        <w:rPr>
          <w:rFonts w:hint="eastAsia" w:ascii="宋体" w:hAnsi="宋体"/>
          <w:color w:val="auto"/>
          <w:szCs w:val="21"/>
          <w:highlight w:val="none"/>
        </w:rPr>
        <w:t>（3）按监理人的要求编制了在缺陷责任期内完成的尾工(甩项)工程和缺陷修补工作清单以及相应施工计划；</w:t>
      </w:r>
    </w:p>
    <w:p w14:paraId="0F8AC9DA">
      <w:pPr>
        <w:spacing w:line="436" w:lineRule="exact"/>
        <w:ind w:left="1470" w:leftChars="450" w:hanging="525" w:hangingChars="250"/>
        <w:jc w:val="left"/>
        <w:rPr>
          <w:rFonts w:hint="eastAsia" w:ascii="宋体" w:hAnsi="宋体"/>
          <w:color w:val="auto"/>
          <w:szCs w:val="21"/>
          <w:highlight w:val="none"/>
        </w:rPr>
      </w:pPr>
      <w:r>
        <w:rPr>
          <w:rFonts w:hint="eastAsia" w:ascii="宋体" w:hAnsi="宋体"/>
          <w:color w:val="auto"/>
          <w:szCs w:val="21"/>
          <w:highlight w:val="none"/>
        </w:rPr>
        <w:t>（4）监理人要求在竣工验收前应完成的其他工作的证明材料；</w:t>
      </w:r>
    </w:p>
    <w:p w14:paraId="708FAF16">
      <w:pPr>
        <w:spacing w:line="436" w:lineRule="exact"/>
        <w:ind w:left="1470" w:leftChars="450" w:hanging="525" w:hangingChars="250"/>
        <w:jc w:val="left"/>
        <w:rPr>
          <w:rFonts w:hint="eastAsia" w:ascii="宋体" w:hAnsi="宋体"/>
          <w:color w:val="auto"/>
          <w:szCs w:val="21"/>
          <w:highlight w:val="none"/>
        </w:rPr>
      </w:pPr>
      <w:r>
        <w:rPr>
          <w:rFonts w:hint="eastAsia" w:ascii="宋体" w:hAnsi="宋体"/>
          <w:color w:val="auto"/>
          <w:szCs w:val="21"/>
          <w:highlight w:val="none"/>
        </w:rPr>
        <w:t>（5）监理人要求提交的竣工验收资料清单；</w:t>
      </w:r>
    </w:p>
    <w:p w14:paraId="069AAE84">
      <w:pPr>
        <w:spacing w:line="436"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（6）通用合同条款第18.4.1项约定的单位工程竣工验收成果和结论文件(如果有)；</w:t>
      </w:r>
    </w:p>
    <w:p w14:paraId="24144678">
      <w:pPr>
        <w:spacing w:line="436"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（7）专用合同条款第19.7款约定的质量保修书(此前已经提交的不再提交)；</w:t>
      </w:r>
    </w:p>
    <w:p w14:paraId="230C83C2">
      <w:pPr>
        <w:spacing w:line="436"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（8）其他：</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22E6D581">
      <w:pPr>
        <w:spacing w:line="436" w:lineRule="exact"/>
        <w:jc w:val="left"/>
        <w:rPr>
          <w:rFonts w:hint="eastAsia" w:ascii="黑体" w:hAnsi="宋体" w:eastAsia="黑体"/>
          <w:color w:val="auto"/>
          <w:sz w:val="24"/>
          <w:highlight w:val="none"/>
        </w:rPr>
      </w:pPr>
      <w:r>
        <w:rPr>
          <w:rFonts w:hint="eastAsia" w:ascii="黑体" w:hAnsi="宋体" w:eastAsia="黑体"/>
          <w:color w:val="auto"/>
          <w:sz w:val="24"/>
          <w:szCs w:val="24"/>
          <w:highlight w:val="none"/>
        </w:rPr>
        <w:t>15.3    竣工清场</w:t>
      </w:r>
    </w:p>
    <w:p w14:paraId="61EB4A5F">
      <w:pPr>
        <w:spacing w:line="436" w:lineRule="exact"/>
        <w:ind w:left="945" w:hanging="945" w:hangingChars="450"/>
        <w:jc w:val="left"/>
        <w:rPr>
          <w:rFonts w:hint="eastAsia" w:ascii="宋体" w:hAnsi="宋体"/>
          <w:color w:val="auto"/>
          <w:szCs w:val="21"/>
          <w:highlight w:val="none"/>
        </w:rPr>
      </w:pPr>
      <w:r>
        <w:rPr>
          <w:rFonts w:hint="eastAsia" w:ascii="宋体" w:hAnsi="宋体"/>
          <w:color w:val="auto"/>
          <w:szCs w:val="21"/>
          <w:highlight w:val="none"/>
        </w:rPr>
        <w:t>15.3.1   监理人颁发(出具)工程接收证书后，承包人应在56天内按以下要求对施工场地(现场)进行清理：</w:t>
      </w:r>
    </w:p>
    <w:p w14:paraId="1504EBA0">
      <w:pPr>
        <w:spacing w:line="436" w:lineRule="exact"/>
        <w:ind w:firstLine="945" w:firstLineChars="450"/>
        <w:jc w:val="left"/>
        <w:rPr>
          <w:rFonts w:hint="eastAsia" w:ascii="宋体" w:hAnsi="宋体"/>
          <w:color w:val="auto"/>
          <w:szCs w:val="21"/>
          <w:highlight w:val="none"/>
        </w:rPr>
      </w:pPr>
      <w:r>
        <w:rPr>
          <w:rFonts w:hint="eastAsia" w:ascii="宋体" w:hAnsi="宋体"/>
          <w:color w:val="auto"/>
          <w:szCs w:val="21"/>
          <w:highlight w:val="none"/>
        </w:rPr>
        <w:t>(1)从施工场地(现场)清除所有杂物和垃圾等；</w:t>
      </w:r>
    </w:p>
    <w:p w14:paraId="62165260">
      <w:pPr>
        <w:spacing w:line="436" w:lineRule="exact"/>
        <w:ind w:left="1260" w:leftChars="450" w:hanging="315" w:hangingChars="150"/>
        <w:jc w:val="left"/>
        <w:rPr>
          <w:rFonts w:hint="eastAsia" w:ascii="宋体" w:hAnsi="宋体"/>
          <w:color w:val="auto"/>
          <w:szCs w:val="21"/>
          <w:highlight w:val="none"/>
        </w:rPr>
      </w:pPr>
      <w:r>
        <w:rPr>
          <w:rFonts w:hint="eastAsia" w:ascii="宋体" w:hAnsi="宋体"/>
          <w:color w:val="auto"/>
          <w:szCs w:val="21"/>
          <w:highlight w:val="none"/>
        </w:rPr>
        <w:t>(2)从施工场地现场拆除所有的临时工程和临时设施并恢复地面原状，但经监理人批准的护坡桩、锚杆、塔吊基础和无法拆除的埋入式模板等无法拆除的临时设施除外；</w:t>
      </w:r>
    </w:p>
    <w:p w14:paraId="3E37A8A2">
      <w:pPr>
        <w:spacing w:line="436" w:lineRule="exact"/>
        <w:ind w:left="1395" w:leftChars="450" w:hanging="450"/>
        <w:jc w:val="left"/>
        <w:rPr>
          <w:rFonts w:hint="eastAsia" w:ascii="宋体" w:hAnsi="宋体"/>
          <w:color w:val="auto"/>
          <w:szCs w:val="21"/>
          <w:highlight w:val="none"/>
        </w:rPr>
      </w:pPr>
      <w:r>
        <w:rPr>
          <w:rFonts w:hint="eastAsia" w:ascii="宋体" w:hAnsi="宋体"/>
          <w:color w:val="auto"/>
          <w:szCs w:val="21"/>
          <w:highlight w:val="none"/>
        </w:rPr>
        <w:t>(3)撤离所有承包人施工设备和剩余材料(经监理人同意需在缺陷责任期内继续使用的除外)；</w:t>
      </w:r>
    </w:p>
    <w:p w14:paraId="19C4E778">
      <w:pPr>
        <w:spacing w:line="436" w:lineRule="exact"/>
        <w:ind w:left="1395" w:leftChars="450" w:hanging="450"/>
        <w:jc w:val="left"/>
        <w:rPr>
          <w:rFonts w:hint="eastAsia" w:ascii="宋体" w:hAnsi="宋体"/>
          <w:color w:val="auto"/>
          <w:szCs w:val="21"/>
          <w:highlight w:val="none"/>
        </w:rPr>
      </w:pPr>
      <w:r>
        <w:rPr>
          <w:rFonts w:hint="eastAsia" w:ascii="宋体" w:hAnsi="宋体"/>
          <w:color w:val="auto"/>
          <w:szCs w:val="21"/>
          <w:highlight w:val="none"/>
        </w:rPr>
        <w:t>(4)监理人指示的其他清场工作。</w:t>
      </w:r>
    </w:p>
    <w:p w14:paraId="47B0858B">
      <w:pPr>
        <w:keepNext/>
        <w:keepLines/>
        <w:spacing w:line="400" w:lineRule="exact"/>
        <w:outlineLvl w:val="2"/>
        <w:rPr>
          <w:rFonts w:hint="eastAsia" w:eastAsia="黑体"/>
          <w:color w:val="auto"/>
          <w:sz w:val="28"/>
          <w:szCs w:val="28"/>
          <w:highlight w:val="none"/>
        </w:rPr>
      </w:pPr>
      <w:bookmarkStart w:id="2415" w:name="_Toc474768503"/>
      <w:bookmarkStart w:id="2416" w:name="_Toc21418"/>
      <w:r>
        <w:rPr>
          <w:rFonts w:eastAsia="黑体"/>
          <w:color w:val="auto"/>
          <w:sz w:val="28"/>
          <w:szCs w:val="28"/>
          <w:highlight w:val="none"/>
        </w:rPr>
        <w:t>16.</w:t>
      </w:r>
      <w:r>
        <w:rPr>
          <w:rFonts w:hint="eastAsia" w:eastAsia="黑体"/>
          <w:color w:val="auto"/>
          <w:sz w:val="28"/>
          <w:szCs w:val="28"/>
          <w:highlight w:val="none"/>
        </w:rPr>
        <w:t>其他要求</w:t>
      </w:r>
      <w:bookmarkEnd w:id="2415"/>
      <w:bookmarkEnd w:id="2416"/>
    </w:p>
    <w:p w14:paraId="346454E8">
      <w:pPr>
        <w:spacing w:line="500" w:lineRule="exact"/>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如有，另行约定 </w:t>
      </w:r>
      <w:r>
        <w:rPr>
          <w:rFonts w:hint="eastAsia" w:ascii="宋体" w:hAnsi="宋体"/>
          <w:color w:val="auto"/>
          <w:szCs w:val="21"/>
          <w:highlight w:val="none"/>
        </w:rPr>
        <w:t>。</w:t>
      </w:r>
    </w:p>
    <w:p w14:paraId="587A7435">
      <w:pPr>
        <w:spacing w:line="500" w:lineRule="exact"/>
        <w:jc w:val="left"/>
        <w:rPr>
          <w:rFonts w:hint="eastAsia" w:ascii="宋体" w:hAnsi="宋体"/>
          <w:color w:val="auto"/>
          <w:szCs w:val="21"/>
          <w:highlight w:val="none"/>
        </w:rPr>
      </w:pPr>
    </w:p>
    <w:p w14:paraId="2F4F9EF4">
      <w:pPr>
        <w:spacing w:line="500" w:lineRule="exact"/>
        <w:jc w:val="left"/>
        <w:rPr>
          <w:rFonts w:hint="eastAsia" w:ascii="宋体" w:hAnsi="宋体"/>
          <w:color w:val="auto"/>
          <w:szCs w:val="21"/>
          <w:highlight w:val="none"/>
        </w:rPr>
      </w:pPr>
    </w:p>
    <w:p w14:paraId="6F66B0EF">
      <w:pPr>
        <w:spacing w:line="500" w:lineRule="exact"/>
        <w:jc w:val="left"/>
        <w:rPr>
          <w:rFonts w:hint="eastAsia" w:ascii="宋体" w:hAnsi="宋体"/>
          <w:color w:val="auto"/>
          <w:szCs w:val="21"/>
          <w:highlight w:val="none"/>
        </w:rPr>
      </w:pPr>
    </w:p>
    <w:p w14:paraId="505E79D2">
      <w:pPr>
        <w:pStyle w:val="31"/>
        <w:jc w:val="center"/>
        <w:rPr>
          <w:rFonts w:hint="eastAsia"/>
          <w:color w:val="auto"/>
          <w:highlight w:val="none"/>
        </w:rPr>
      </w:pPr>
      <w:bookmarkStart w:id="2417" w:name="_Toc8926"/>
      <w:bookmarkStart w:id="2418" w:name="_Toc474768504"/>
      <w:r>
        <w:rPr>
          <w:rFonts w:hint="eastAsia"/>
          <w:color w:val="auto"/>
          <w:highlight w:val="none"/>
        </w:rPr>
        <w:t>第二节</w:t>
      </w:r>
      <w:r>
        <w:rPr>
          <w:color w:val="auto"/>
          <w:highlight w:val="none"/>
        </w:rPr>
        <w:t xml:space="preserve">  </w:t>
      </w:r>
      <w:r>
        <w:rPr>
          <w:rFonts w:hint="eastAsia"/>
          <w:color w:val="auto"/>
          <w:highlight w:val="none"/>
        </w:rPr>
        <w:t>特殊技术标准和要求</w:t>
      </w:r>
      <w:bookmarkEnd w:id="2417"/>
      <w:bookmarkEnd w:id="2418"/>
    </w:p>
    <w:p w14:paraId="2AD6CEA8">
      <w:pPr>
        <w:spacing w:line="500" w:lineRule="exact"/>
        <w:jc w:val="left"/>
        <w:rPr>
          <w:rFonts w:ascii="宋体" w:hAnsi="宋体"/>
          <w:color w:val="auto"/>
          <w:szCs w:val="21"/>
          <w:highlight w:val="none"/>
        </w:rPr>
      </w:pPr>
    </w:p>
    <w:p w14:paraId="2A2AAE5D">
      <w:pPr>
        <w:keepNext/>
        <w:keepLines/>
        <w:spacing w:line="400" w:lineRule="exact"/>
        <w:outlineLvl w:val="2"/>
        <w:rPr>
          <w:rFonts w:hint="eastAsia" w:eastAsia="黑体"/>
          <w:color w:val="auto"/>
          <w:sz w:val="28"/>
          <w:szCs w:val="28"/>
          <w:highlight w:val="none"/>
        </w:rPr>
      </w:pPr>
      <w:bookmarkStart w:id="2419" w:name="_Toc15549"/>
      <w:bookmarkStart w:id="2420" w:name="_Toc474768505"/>
      <w:r>
        <w:rPr>
          <w:rFonts w:eastAsia="黑体"/>
          <w:color w:val="auto"/>
          <w:sz w:val="28"/>
          <w:szCs w:val="28"/>
          <w:highlight w:val="none"/>
        </w:rPr>
        <w:t>1</w:t>
      </w:r>
      <w:r>
        <w:rPr>
          <w:rFonts w:hint="eastAsia" w:eastAsia="黑体"/>
          <w:color w:val="auto"/>
          <w:sz w:val="28"/>
          <w:szCs w:val="28"/>
          <w:highlight w:val="none"/>
        </w:rPr>
        <w:t>．材料和工程设备技术要求</w:t>
      </w:r>
      <w:bookmarkEnd w:id="2419"/>
      <w:bookmarkEnd w:id="2420"/>
    </w:p>
    <w:p w14:paraId="642C9278">
      <w:pPr>
        <w:spacing w:line="500" w:lineRule="exact"/>
        <w:jc w:val="left"/>
        <w:rPr>
          <w:rFonts w:ascii="宋体" w:hAnsi="宋体"/>
          <w:color w:val="auto"/>
          <w:szCs w:val="21"/>
          <w:highlight w:val="none"/>
        </w:rPr>
      </w:pPr>
      <w:r>
        <w:rPr>
          <w:rFonts w:hint="eastAsia" w:ascii="宋体" w:hAnsi="宋体"/>
          <w:color w:val="auto"/>
          <w:szCs w:val="21"/>
          <w:highlight w:val="none"/>
        </w:rPr>
        <w:t>1.1      承包人自行施工范围内的部分材料和工程设备技术要求如下：</w:t>
      </w:r>
    </w:p>
    <w:p w14:paraId="0BB0E03E">
      <w:pPr>
        <w:spacing w:line="500" w:lineRule="exact"/>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详见施工图中材料和设备技术要求  </w:t>
      </w:r>
      <w:r>
        <w:rPr>
          <w:rFonts w:hint="eastAsia" w:ascii="宋体" w:hAnsi="宋体"/>
          <w:color w:val="auto"/>
          <w:szCs w:val="21"/>
          <w:highlight w:val="none"/>
        </w:rPr>
        <w:t>。</w:t>
      </w:r>
    </w:p>
    <w:p w14:paraId="3EB42856">
      <w:pPr>
        <w:spacing w:line="500" w:lineRule="exact"/>
        <w:ind w:left="945" w:leftChars="450"/>
        <w:jc w:val="left"/>
        <w:rPr>
          <w:rFonts w:hint="eastAsia" w:ascii="宋体" w:hAnsi="宋体"/>
          <w:color w:val="auto"/>
          <w:szCs w:val="21"/>
          <w:highlight w:val="none"/>
        </w:rPr>
      </w:pPr>
      <w:r>
        <w:rPr>
          <w:rFonts w:hint="eastAsia" w:ascii="宋体" w:hAnsi="宋体"/>
          <w:color w:val="auto"/>
          <w:szCs w:val="21"/>
          <w:highlight w:val="none"/>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料和工程设备。</w:t>
      </w:r>
    </w:p>
    <w:p w14:paraId="7667170A">
      <w:pPr>
        <w:spacing w:line="500" w:lineRule="exact"/>
        <w:jc w:val="left"/>
        <w:rPr>
          <w:rFonts w:hint="eastAsia" w:ascii="宋体" w:hAnsi="宋体"/>
          <w:color w:val="auto"/>
          <w:szCs w:val="21"/>
          <w:highlight w:val="none"/>
        </w:rPr>
      </w:pPr>
      <w:r>
        <w:rPr>
          <w:rFonts w:hint="eastAsia" w:ascii="宋体" w:hAnsi="宋体"/>
          <w:color w:val="auto"/>
          <w:szCs w:val="21"/>
          <w:highlight w:val="none"/>
        </w:rPr>
        <w:t>1.2      承包人自行施工范围内的材料和工程设备选型允许的偏离如下：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2120"/>
        <w:gridCol w:w="1744"/>
        <w:gridCol w:w="1744"/>
        <w:gridCol w:w="1744"/>
      </w:tblGrid>
      <w:tr w14:paraId="1CBB9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068E83F6">
            <w:pPr>
              <w:jc w:val="center"/>
              <w:rPr>
                <w:rFonts w:ascii="宋体" w:hAnsi="宋体"/>
                <w:color w:val="auto"/>
                <w:szCs w:val="21"/>
                <w:highlight w:val="none"/>
              </w:rPr>
            </w:pPr>
            <w:r>
              <w:rPr>
                <w:rFonts w:hint="eastAsia" w:ascii="宋体" w:hAnsi="宋体"/>
                <w:color w:val="auto"/>
                <w:szCs w:val="21"/>
                <w:highlight w:val="none"/>
              </w:rPr>
              <w:t>序号</w:t>
            </w:r>
          </w:p>
        </w:tc>
        <w:tc>
          <w:tcPr>
            <w:tcW w:w="2120" w:type="dxa"/>
            <w:tcBorders>
              <w:top w:val="single" w:color="auto" w:sz="4" w:space="0"/>
              <w:left w:val="single" w:color="auto" w:sz="4" w:space="0"/>
              <w:bottom w:val="single" w:color="auto" w:sz="4" w:space="0"/>
              <w:right w:val="single" w:color="auto" w:sz="4" w:space="0"/>
            </w:tcBorders>
            <w:noWrap w:val="0"/>
            <w:vAlign w:val="center"/>
          </w:tcPr>
          <w:p w14:paraId="195C6DC3">
            <w:pPr>
              <w:jc w:val="center"/>
              <w:rPr>
                <w:rFonts w:ascii="宋体" w:hAnsi="宋体"/>
                <w:color w:val="auto"/>
                <w:szCs w:val="21"/>
                <w:highlight w:val="none"/>
              </w:rPr>
            </w:pPr>
            <w:r>
              <w:rPr>
                <w:rFonts w:hint="eastAsia" w:ascii="宋体" w:hAnsi="宋体"/>
                <w:color w:val="auto"/>
                <w:szCs w:val="21"/>
                <w:highlight w:val="none"/>
              </w:rPr>
              <w:t>材料和工程设备</w:t>
            </w:r>
          </w:p>
          <w:p w14:paraId="3457BD73">
            <w:pPr>
              <w:jc w:val="center"/>
              <w:rPr>
                <w:rFonts w:ascii="宋体" w:hAnsi="宋体"/>
                <w:color w:val="auto"/>
                <w:szCs w:val="21"/>
                <w:highlight w:val="none"/>
              </w:rPr>
            </w:pPr>
            <w:r>
              <w:rPr>
                <w:rFonts w:hint="eastAsia" w:ascii="宋体" w:hAnsi="宋体"/>
                <w:color w:val="auto"/>
                <w:szCs w:val="21"/>
                <w:highlight w:val="none"/>
              </w:rPr>
              <w:t>名称</w:t>
            </w:r>
          </w:p>
        </w:tc>
        <w:tc>
          <w:tcPr>
            <w:tcW w:w="1744" w:type="dxa"/>
            <w:tcBorders>
              <w:top w:val="single" w:color="auto" w:sz="4" w:space="0"/>
              <w:left w:val="single" w:color="auto" w:sz="4" w:space="0"/>
              <w:bottom w:val="single" w:color="auto" w:sz="4" w:space="0"/>
              <w:right w:val="single" w:color="auto" w:sz="4" w:space="0"/>
            </w:tcBorders>
            <w:noWrap w:val="0"/>
            <w:vAlign w:val="center"/>
          </w:tcPr>
          <w:p w14:paraId="75C42324">
            <w:pPr>
              <w:jc w:val="center"/>
              <w:rPr>
                <w:rFonts w:ascii="宋体" w:hAnsi="宋体"/>
                <w:color w:val="auto"/>
                <w:szCs w:val="21"/>
                <w:highlight w:val="none"/>
              </w:rPr>
            </w:pPr>
            <w:r>
              <w:rPr>
                <w:rFonts w:hint="eastAsia" w:ascii="宋体" w:hAnsi="宋体"/>
                <w:color w:val="auto"/>
                <w:szCs w:val="21"/>
                <w:highlight w:val="none"/>
              </w:rPr>
              <w:t>技术指标</w:t>
            </w:r>
          </w:p>
        </w:tc>
        <w:tc>
          <w:tcPr>
            <w:tcW w:w="1744" w:type="dxa"/>
            <w:tcBorders>
              <w:top w:val="single" w:color="auto" w:sz="4" w:space="0"/>
              <w:left w:val="single" w:color="auto" w:sz="4" w:space="0"/>
              <w:bottom w:val="single" w:color="auto" w:sz="4" w:space="0"/>
              <w:right w:val="single" w:color="auto" w:sz="4" w:space="0"/>
            </w:tcBorders>
            <w:noWrap w:val="0"/>
            <w:vAlign w:val="center"/>
          </w:tcPr>
          <w:p w14:paraId="53090F2F">
            <w:pPr>
              <w:jc w:val="center"/>
              <w:rPr>
                <w:rFonts w:ascii="宋体" w:hAnsi="宋体"/>
                <w:color w:val="auto"/>
                <w:szCs w:val="21"/>
                <w:highlight w:val="none"/>
              </w:rPr>
            </w:pPr>
            <w:r>
              <w:rPr>
                <w:rFonts w:hint="eastAsia" w:ascii="宋体" w:hAnsi="宋体"/>
                <w:color w:val="auto"/>
                <w:szCs w:val="21"/>
                <w:highlight w:val="none"/>
              </w:rPr>
              <w:t>允许偏离范围</w:t>
            </w:r>
          </w:p>
        </w:tc>
        <w:tc>
          <w:tcPr>
            <w:tcW w:w="1744" w:type="dxa"/>
            <w:tcBorders>
              <w:top w:val="single" w:color="auto" w:sz="4" w:space="0"/>
              <w:left w:val="single" w:color="auto" w:sz="4" w:space="0"/>
              <w:bottom w:val="single" w:color="auto" w:sz="4" w:space="0"/>
              <w:right w:val="single" w:color="auto" w:sz="4" w:space="0"/>
            </w:tcBorders>
            <w:noWrap w:val="0"/>
            <w:vAlign w:val="center"/>
          </w:tcPr>
          <w:p w14:paraId="1054E106">
            <w:pPr>
              <w:jc w:val="center"/>
              <w:rPr>
                <w:rFonts w:ascii="宋体" w:hAnsi="宋体"/>
                <w:color w:val="auto"/>
                <w:szCs w:val="21"/>
                <w:highlight w:val="none"/>
              </w:rPr>
            </w:pPr>
            <w:r>
              <w:rPr>
                <w:rFonts w:hint="eastAsia" w:ascii="宋体" w:hAnsi="宋体"/>
                <w:color w:val="auto"/>
                <w:szCs w:val="21"/>
                <w:highlight w:val="none"/>
              </w:rPr>
              <w:t>备    注</w:t>
            </w:r>
          </w:p>
        </w:tc>
      </w:tr>
      <w:tr w14:paraId="0860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5D5509B4">
            <w:pPr>
              <w:jc w:val="center"/>
              <w:rPr>
                <w:rFonts w:ascii="宋体" w:hAnsi="宋体"/>
                <w:color w:val="auto"/>
                <w:szCs w:val="21"/>
                <w:highlight w:val="none"/>
              </w:rPr>
            </w:pPr>
            <w:r>
              <w:rPr>
                <w:rFonts w:hint="eastAsia" w:ascii="宋体" w:hAnsi="宋体"/>
                <w:color w:val="auto"/>
                <w:szCs w:val="21"/>
                <w:highlight w:val="none"/>
              </w:rPr>
              <w:t>1</w:t>
            </w:r>
          </w:p>
        </w:tc>
        <w:tc>
          <w:tcPr>
            <w:tcW w:w="2120" w:type="dxa"/>
            <w:tcBorders>
              <w:top w:val="single" w:color="auto" w:sz="4" w:space="0"/>
              <w:left w:val="single" w:color="auto" w:sz="4" w:space="0"/>
              <w:bottom w:val="single" w:color="auto" w:sz="4" w:space="0"/>
              <w:right w:val="single" w:color="auto" w:sz="4" w:space="0"/>
            </w:tcBorders>
            <w:noWrap w:val="0"/>
            <w:vAlign w:val="center"/>
          </w:tcPr>
          <w:p w14:paraId="00642E49">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4A6AAC8D">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56739618">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706D44C2">
            <w:pPr>
              <w:jc w:val="center"/>
              <w:rPr>
                <w:rFonts w:ascii="宋体" w:hAnsi="宋体"/>
                <w:color w:val="auto"/>
                <w:szCs w:val="21"/>
                <w:highlight w:val="none"/>
              </w:rPr>
            </w:pPr>
          </w:p>
        </w:tc>
      </w:tr>
      <w:tr w14:paraId="38CB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1B183CCB">
            <w:pPr>
              <w:jc w:val="center"/>
              <w:rPr>
                <w:rFonts w:ascii="宋体" w:hAnsi="宋体"/>
                <w:color w:val="auto"/>
                <w:szCs w:val="21"/>
                <w:highlight w:val="none"/>
              </w:rPr>
            </w:pPr>
            <w:r>
              <w:rPr>
                <w:rFonts w:hint="eastAsia" w:ascii="宋体" w:hAnsi="宋体"/>
                <w:color w:val="auto"/>
                <w:szCs w:val="21"/>
                <w:highlight w:val="none"/>
              </w:rPr>
              <w:t>2</w:t>
            </w:r>
          </w:p>
        </w:tc>
        <w:tc>
          <w:tcPr>
            <w:tcW w:w="2120" w:type="dxa"/>
            <w:tcBorders>
              <w:top w:val="single" w:color="auto" w:sz="4" w:space="0"/>
              <w:left w:val="single" w:color="auto" w:sz="4" w:space="0"/>
              <w:bottom w:val="single" w:color="auto" w:sz="4" w:space="0"/>
              <w:right w:val="single" w:color="auto" w:sz="4" w:space="0"/>
            </w:tcBorders>
            <w:noWrap w:val="0"/>
            <w:vAlign w:val="center"/>
          </w:tcPr>
          <w:p w14:paraId="05A0E2A3">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34223184">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7E913AB3">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44929E0A">
            <w:pPr>
              <w:jc w:val="center"/>
              <w:rPr>
                <w:rFonts w:ascii="宋体" w:hAnsi="宋体"/>
                <w:color w:val="auto"/>
                <w:szCs w:val="21"/>
                <w:highlight w:val="none"/>
              </w:rPr>
            </w:pPr>
          </w:p>
        </w:tc>
      </w:tr>
      <w:tr w14:paraId="11D4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474A230D">
            <w:pPr>
              <w:jc w:val="center"/>
              <w:rPr>
                <w:rFonts w:ascii="宋体" w:hAnsi="宋体"/>
                <w:color w:val="auto"/>
                <w:szCs w:val="21"/>
                <w:highlight w:val="none"/>
              </w:rPr>
            </w:pPr>
            <w:r>
              <w:rPr>
                <w:rFonts w:hint="eastAsia" w:ascii="宋体" w:hAnsi="宋体"/>
                <w:color w:val="auto"/>
                <w:szCs w:val="21"/>
                <w:highlight w:val="none"/>
              </w:rPr>
              <w:t>……</w:t>
            </w:r>
          </w:p>
        </w:tc>
        <w:tc>
          <w:tcPr>
            <w:tcW w:w="2120" w:type="dxa"/>
            <w:tcBorders>
              <w:top w:val="single" w:color="auto" w:sz="4" w:space="0"/>
              <w:left w:val="single" w:color="auto" w:sz="4" w:space="0"/>
              <w:bottom w:val="single" w:color="auto" w:sz="4" w:space="0"/>
              <w:right w:val="single" w:color="auto" w:sz="4" w:space="0"/>
            </w:tcBorders>
            <w:noWrap w:val="0"/>
            <w:vAlign w:val="center"/>
          </w:tcPr>
          <w:p w14:paraId="068F8D0E">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0352CF88">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3217E553">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40D7DC51">
            <w:pPr>
              <w:jc w:val="center"/>
              <w:rPr>
                <w:rFonts w:ascii="宋体" w:hAnsi="宋体"/>
                <w:color w:val="auto"/>
                <w:szCs w:val="21"/>
                <w:highlight w:val="none"/>
              </w:rPr>
            </w:pPr>
          </w:p>
        </w:tc>
      </w:tr>
      <w:tr w14:paraId="7777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0CD82E0A">
            <w:pPr>
              <w:jc w:val="center"/>
              <w:rPr>
                <w:rFonts w:ascii="宋体" w:hAnsi="宋体"/>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noWrap w:val="0"/>
            <w:vAlign w:val="center"/>
          </w:tcPr>
          <w:p w14:paraId="0AC54B44">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524D2956">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427B4EE8">
            <w:pPr>
              <w:jc w:val="center"/>
              <w:rPr>
                <w:rFonts w:ascii="宋体" w:hAnsi="宋体"/>
                <w:color w:val="auto"/>
                <w:szCs w:val="21"/>
                <w:highlight w:val="none"/>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53EB1584">
            <w:pPr>
              <w:jc w:val="center"/>
              <w:rPr>
                <w:rFonts w:ascii="宋体" w:hAnsi="宋体"/>
                <w:color w:val="auto"/>
                <w:szCs w:val="21"/>
                <w:highlight w:val="none"/>
              </w:rPr>
            </w:pPr>
          </w:p>
        </w:tc>
      </w:tr>
    </w:tbl>
    <w:p w14:paraId="01582580">
      <w:pPr>
        <w:spacing w:line="500" w:lineRule="exact"/>
        <w:jc w:val="left"/>
        <w:rPr>
          <w:rFonts w:hint="eastAsia" w:ascii="宋体" w:hAnsi="宋体"/>
          <w:color w:val="auto"/>
          <w:szCs w:val="21"/>
          <w:highlight w:val="none"/>
        </w:rPr>
      </w:pPr>
      <w:r>
        <w:rPr>
          <w:rFonts w:hint="eastAsia" w:ascii="宋体" w:hAnsi="宋体"/>
          <w:color w:val="auto"/>
          <w:szCs w:val="21"/>
          <w:highlight w:val="none"/>
        </w:rPr>
        <w:t>1.3      本工程施工现场所用混凝土或砂浆的供应方式为</w:t>
      </w:r>
      <w:r>
        <w:rPr>
          <w:rFonts w:hint="eastAsia" w:ascii="宋体" w:hAnsi="宋体"/>
          <w:color w:val="auto"/>
          <w:szCs w:val="21"/>
          <w:highlight w:val="none"/>
          <w:u w:val="single"/>
        </w:rPr>
        <w:t xml:space="preserve"> 按照工程量清单要求 </w:t>
      </w:r>
      <w:r>
        <w:rPr>
          <w:rFonts w:hint="eastAsia" w:ascii="宋体" w:hAnsi="宋体"/>
          <w:color w:val="auto"/>
          <w:szCs w:val="21"/>
          <w:highlight w:val="none"/>
        </w:rPr>
        <w:t>。</w:t>
      </w:r>
    </w:p>
    <w:p w14:paraId="751C6BD9">
      <w:pPr>
        <w:spacing w:line="500" w:lineRule="exact"/>
        <w:jc w:val="left"/>
        <w:rPr>
          <w:rFonts w:hint="eastAsia" w:ascii="宋体" w:hAnsi="宋体"/>
          <w:color w:val="auto"/>
          <w:szCs w:val="21"/>
          <w:highlight w:val="none"/>
        </w:rPr>
      </w:pPr>
    </w:p>
    <w:p w14:paraId="3D0D9DB1">
      <w:pPr>
        <w:keepNext/>
        <w:keepLines/>
        <w:spacing w:line="400" w:lineRule="exact"/>
        <w:outlineLvl w:val="2"/>
        <w:rPr>
          <w:rFonts w:hint="eastAsia" w:eastAsia="黑体"/>
          <w:color w:val="auto"/>
          <w:sz w:val="28"/>
          <w:szCs w:val="28"/>
          <w:highlight w:val="none"/>
        </w:rPr>
      </w:pPr>
      <w:bookmarkStart w:id="2421" w:name="_Toc474768506"/>
      <w:bookmarkStart w:id="2422" w:name="_Toc17247"/>
      <w:r>
        <w:rPr>
          <w:rFonts w:eastAsia="黑体"/>
          <w:color w:val="auto"/>
          <w:sz w:val="28"/>
          <w:szCs w:val="28"/>
          <w:highlight w:val="none"/>
        </w:rPr>
        <w:t>2.</w:t>
      </w:r>
      <w:r>
        <w:rPr>
          <w:rFonts w:hint="eastAsia" w:eastAsia="黑体"/>
          <w:color w:val="auto"/>
          <w:sz w:val="28"/>
          <w:szCs w:val="28"/>
          <w:highlight w:val="none"/>
        </w:rPr>
        <w:t>特殊技术要求</w:t>
      </w:r>
      <w:bookmarkEnd w:id="2421"/>
      <w:bookmarkEnd w:id="2422"/>
    </w:p>
    <w:p w14:paraId="1B7F7A6A">
      <w:pPr>
        <w:spacing w:line="500" w:lineRule="exact"/>
        <w:jc w:val="left"/>
        <w:rPr>
          <w:rFonts w:ascii="宋体" w:hAnsi="宋体"/>
          <w:color w:val="auto"/>
          <w:szCs w:val="21"/>
          <w:highlight w:val="none"/>
        </w:rPr>
      </w:pPr>
      <w:r>
        <w:rPr>
          <w:rFonts w:hint="eastAsia" w:ascii="宋体" w:hAnsi="宋体"/>
          <w:color w:val="auto"/>
          <w:szCs w:val="21"/>
          <w:highlight w:val="none"/>
        </w:rPr>
        <w:t>2.1       除合同约定的技术要求外，本工程的特殊技术要求如下：</w:t>
      </w:r>
    </w:p>
    <w:p w14:paraId="479E66C1">
      <w:pPr>
        <w:spacing w:line="500" w:lineRule="exact"/>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如有，另行约定 </w:t>
      </w:r>
      <w:r>
        <w:rPr>
          <w:rFonts w:hint="eastAsia" w:ascii="宋体" w:hAnsi="宋体"/>
          <w:color w:val="auto"/>
          <w:szCs w:val="21"/>
          <w:highlight w:val="none"/>
        </w:rPr>
        <w:t>。</w:t>
      </w:r>
    </w:p>
    <w:p w14:paraId="6F326B98">
      <w:pPr>
        <w:keepNext/>
        <w:keepLines/>
        <w:spacing w:line="400" w:lineRule="exact"/>
        <w:outlineLvl w:val="2"/>
        <w:rPr>
          <w:rFonts w:hint="eastAsia" w:eastAsia="黑体"/>
          <w:color w:val="auto"/>
          <w:sz w:val="28"/>
          <w:szCs w:val="28"/>
          <w:highlight w:val="none"/>
        </w:rPr>
      </w:pPr>
      <w:bookmarkStart w:id="2423" w:name="_Toc474768507"/>
      <w:bookmarkStart w:id="2424" w:name="_Toc12972"/>
      <w:r>
        <w:rPr>
          <w:rFonts w:eastAsia="黑体"/>
          <w:color w:val="auto"/>
          <w:sz w:val="28"/>
          <w:szCs w:val="28"/>
          <w:highlight w:val="none"/>
        </w:rPr>
        <w:t>3</w:t>
      </w:r>
      <w:r>
        <w:rPr>
          <w:rFonts w:hint="eastAsia" w:eastAsia="黑体"/>
          <w:color w:val="auto"/>
          <w:sz w:val="28"/>
          <w:szCs w:val="28"/>
          <w:highlight w:val="none"/>
        </w:rPr>
        <w:t>．新技术、新工艺和新材料</w:t>
      </w:r>
      <w:bookmarkEnd w:id="2423"/>
      <w:bookmarkEnd w:id="2424"/>
    </w:p>
    <w:p w14:paraId="1A5EA29C">
      <w:pPr>
        <w:spacing w:line="500" w:lineRule="exact"/>
        <w:jc w:val="left"/>
        <w:rPr>
          <w:rFonts w:ascii="黑体" w:hAnsi="宋体" w:eastAsia="黑体"/>
          <w:color w:val="auto"/>
          <w:sz w:val="24"/>
          <w:highlight w:val="none"/>
        </w:rPr>
      </w:pPr>
      <w:r>
        <w:rPr>
          <w:rFonts w:hint="eastAsia" w:ascii="黑体" w:hAnsi="宋体" w:eastAsia="黑体"/>
          <w:color w:val="auto"/>
          <w:sz w:val="24"/>
          <w:szCs w:val="24"/>
          <w:highlight w:val="none"/>
        </w:rPr>
        <w:t>3.1 本工程涉及的新技术、新工艺和新材料及相应使用和操作说明如下：</w:t>
      </w:r>
    </w:p>
    <w:p w14:paraId="54881721">
      <w:pPr>
        <w:spacing w:line="500" w:lineRule="exact"/>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如有，另行约定  </w:t>
      </w:r>
      <w:r>
        <w:rPr>
          <w:rFonts w:hint="eastAsia" w:ascii="宋体" w:hAnsi="宋体"/>
          <w:color w:val="auto"/>
          <w:szCs w:val="21"/>
          <w:highlight w:val="none"/>
        </w:rPr>
        <w:t>。</w:t>
      </w:r>
    </w:p>
    <w:p w14:paraId="1CC4792B">
      <w:pPr>
        <w:spacing w:line="500" w:lineRule="exact"/>
        <w:jc w:val="left"/>
        <w:rPr>
          <w:rFonts w:hint="eastAsia" w:ascii="宋体" w:hAnsi="宋体"/>
          <w:b/>
          <w:color w:val="auto"/>
          <w:szCs w:val="21"/>
          <w:highlight w:val="none"/>
        </w:rPr>
      </w:pPr>
    </w:p>
    <w:p w14:paraId="5E5031DA">
      <w:pPr>
        <w:keepNext/>
        <w:keepLines/>
        <w:spacing w:line="400" w:lineRule="exact"/>
        <w:outlineLvl w:val="2"/>
        <w:rPr>
          <w:rFonts w:hint="eastAsia" w:eastAsia="黑体"/>
          <w:color w:val="auto"/>
          <w:sz w:val="28"/>
          <w:szCs w:val="28"/>
          <w:highlight w:val="none"/>
        </w:rPr>
      </w:pPr>
      <w:bookmarkStart w:id="2425" w:name="_Toc474768508"/>
      <w:bookmarkStart w:id="2426" w:name="_Toc7005"/>
      <w:r>
        <w:rPr>
          <w:rFonts w:eastAsia="黑体"/>
          <w:color w:val="auto"/>
          <w:sz w:val="28"/>
          <w:szCs w:val="28"/>
          <w:highlight w:val="none"/>
        </w:rPr>
        <w:t>4</w:t>
      </w:r>
      <w:r>
        <w:rPr>
          <w:rFonts w:hint="eastAsia" w:eastAsia="黑体"/>
          <w:color w:val="auto"/>
          <w:sz w:val="28"/>
          <w:szCs w:val="28"/>
          <w:highlight w:val="none"/>
        </w:rPr>
        <w:t>．其他特殊技术标准和要求</w:t>
      </w:r>
      <w:bookmarkEnd w:id="2425"/>
      <w:bookmarkEnd w:id="2426"/>
    </w:p>
    <w:p w14:paraId="43BF2A81">
      <w:pPr>
        <w:spacing w:line="500" w:lineRule="exact"/>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szCs w:val="21"/>
          <w:u w:val="single"/>
        </w:rPr>
        <w:t>如有，另行约定</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1361F55">
      <w:pPr>
        <w:spacing w:line="500" w:lineRule="exact"/>
        <w:jc w:val="left"/>
        <w:rPr>
          <w:rFonts w:hint="eastAsia" w:ascii="宋体" w:hAnsi="宋体"/>
          <w:color w:val="auto"/>
          <w:szCs w:val="21"/>
          <w:highlight w:val="none"/>
        </w:rPr>
      </w:pPr>
    </w:p>
    <w:p w14:paraId="21A658A3">
      <w:pPr>
        <w:spacing w:line="500" w:lineRule="exact"/>
        <w:jc w:val="left"/>
        <w:rPr>
          <w:rFonts w:hint="eastAsia" w:ascii="宋体" w:hAnsi="宋体"/>
          <w:color w:val="auto"/>
          <w:szCs w:val="21"/>
          <w:highlight w:val="none"/>
        </w:rPr>
      </w:pPr>
    </w:p>
    <w:p w14:paraId="2C73EC07">
      <w:pPr>
        <w:spacing w:line="500" w:lineRule="exact"/>
        <w:jc w:val="left"/>
        <w:rPr>
          <w:rFonts w:hint="eastAsia" w:ascii="宋体" w:hAnsi="宋体"/>
          <w:color w:val="auto"/>
          <w:szCs w:val="21"/>
          <w:highlight w:val="none"/>
        </w:rPr>
      </w:pPr>
    </w:p>
    <w:p w14:paraId="303799A0">
      <w:pPr>
        <w:spacing w:line="500" w:lineRule="exact"/>
        <w:jc w:val="left"/>
        <w:rPr>
          <w:rFonts w:hint="eastAsia" w:ascii="宋体" w:hAnsi="宋体"/>
          <w:color w:val="auto"/>
          <w:szCs w:val="21"/>
          <w:highlight w:val="none"/>
        </w:rPr>
      </w:pPr>
    </w:p>
    <w:p w14:paraId="51CCB70C">
      <w:pPr>
        <w:spacing w:line="500" w:lineRule="exact"/>
        <w:jc w:val="left"/>
        <w:rPr>
          <w:rFonts w:hint="eastAsia" w:ascii="宋体" w:hAnsi="宋体"/>
          <w:color w:val="auto"/>
          <w:szCs w:val="21"/>
          <w:highlight w:val="none"/>
        </w:rPr>
      </w:pPr>
    </w:p>
    <w:p w14:paraId="42FC8197">
      <w:pPr>
        <w:spacing w:line="500" w:lineRule="exact"/>
        <w:jc w:val="left"/>
        <w:rPr>
          <w:rFonts w:hint="eastAsia" w:ascii="宋体" w:hAnsi="宋体"/>
          <w:color w:val="auto"/>
          <w:szCs w:val="21"/>
          <w:highlight w:val="none"/>
        </w:rPr>
      </w:pPr>
    </w:p>
    <w:p w14:paraId="48E84B3A">
      <w:pPr>
        <w:spacing w:line="500" w:lineRule="exact"/>
        <w:jc w:val="left"/>
        <w:rPr>
          <w:rFonts w:hint="eastAsia" w:ascii="宋体" w:hAnsi="宋体"/>
          <w:color w:val="auto"/>
          <w:szCs w:val="21"/>
          <w:highlight w:val="none"/>
        </w:rPr>
      </w:pPr>
    </w:p>
    <w:p w14:paraId="612A41DB">
      <w:pPr>
        <w:spacing w:line="500" w:lineRule="exact"/>
        <w:jc w:val="left"/>
        <w:rPr>
          <w:rFonts w:hint="eastAsia" w:ascii="宋体" w:hAnsi="宋体"/>
          <w:color w:val="auto"/>
          <w:szCs w:val="21"/>
          <w:highlight w:val="none"/>
        </w:rPr>
      </w:pPr>
    </w:p>
    <w:p w14:paraId="0698C5E9">
      <w:pPr>
        <w:spacing w:line="500" w:lineRule="exact"/>
        <w:jc w:val="left"/>
        <w:rPr>
          <w:rFonts w:hint="eastAsia" w:ascii="宋体" w:hAnsi="宋体"/>
          <w:color w:val="auto"/>
          <w:szCs w:val="21"/>
          <w:highlight w:val="none"/>
        </w:rPr>
      </w:pPr>
    </w:p>
    <w:p w14:paraId="3C75B7BC">
      <w:pPr>
        <w:spacing w:line="500" w:lineRule="exact"/>
        <w:jc w:val="left"/>
        <w:rPr>
          <w:rFonts w:hint="eastAsia" w:ascii="宋体" w:hAnsi="宋体"/>
          <w:color w:val="auto"/>
          <w:szCs w:val="21"/>
          <w:highlight w:val="none"/>
        </w:rPr>
      </w:pPr>
    </w:p>
    <w:p w14:paraId="0BF1108A">
      <w:pPr>
        <w:spacing w:line="500" w:lineRule="exact"/>
        <w:jc w:val="left"/>
        <w:rPr>
          <w:rFonts w:hint="eastAsia" w:ascii="宋体" w:hAnsi="宋体"/>
          <w:color w:val="auto"/>
          <w:szCs w:val="21"/>
          <w:highlight w:val="none"/>
        </w:rPr>
      </w:pPr>
    </w:p>
    <w:p w14:paraId="1B94D025">
      <w:pPr>
        <w:spacing w:line="500" w:lineRule="exact"/>
        <w:jc w:val="left"/>
        <w:rPr>
          <w:rFonts w:hint="eastAsia" w:ascii="宋体" w:hAnsi="宋体"/>
          <w:color w:val="auto"/>
          <w:szCs w:val="21"/>
          <w:highlight w:val="none"/>
        </w:rPr>
      </w:pPr>
    </w:p>
    <w:p w14:paraId="37A15FC8">
      <w:pPr>
        <w:spacing w:line="500" w:lineRule="exact"/>
        <w:jc w:val="left"/>
        <w:rPr>
          <w:rFonts w:hint="eastAsia" w:ascii="宋体" w:hAnsi="宋体"/>
          <w:color w:val="auto"/>
          <w:szCs w:val="21"/>
          <w:highlight w:val="none"/>
        </w:rPr>
      </w:pPr>
    </w:p>
    <w:p w14:paraId="338FF748">
      <w:pPr>
        <w:spacing w:line="500" w:lineRule="exact"/>
        <w:jc w:val="left"/>
        <w:rPr>
          <w:rFonts w:hint="eastAsia" w:ascii="宋体" w:hAnsi="宋体"/>
          <w:color w:val="auto"/>
          <w:szCs w:val="21"/>
          <w:highlight w:val="none"/>
        </w:rPr>
      </w:pPr>
    </w:p>
    <w:p w14:paraId="43808D4F">
      <w:pPr>
        <w:spacing w:line="500" w:lineRule="exact"/>
        <w:jc w:val="left"/>
        <w:rPr>
          <w:rFonts w:hint="eastAsia" w:ascii="宋体" w:hAnsi="宋体"/>
          <w:color w:val="auto"/>
          <w:szCs w:val="21"/>
          <w:highlight w:val="none"/>
        </w:rPr>
      </w:pPr>
    </w:p>
    <w:p w14:paraId="27FCFEAC">
      <w:pPr>
        <w:pStyle w:val="31"/>
        <w:jc w:val="center"/>
        <w:rPr>
          <w:rFonts w:hint="eastAsia" w:ascii="黑体" w:hAnsi="宋体"/>
          <w:color w:val="auto"/>
          <w:sz w:val="24"/>
          <w:highlight w:val="none"/>
        </w:rPr>
      </w:pPr>
      <w:bookmarkStart w:id="2427" w:name="_Toc474768509"/>
      <w:bookmarkStart w:id="2428" w:name="_Toc15598"/>
      <w:r>
        <w:rPr>
          <w:rFonts w:hint="eastAsia"/>
          <w:color w:val="auto"/>
          <w:highlight w:val="none"/>
        </w:rPr>
        <w:t>第三节</w:t>
      </w:r>
      <w:r>
        <w:rPr>
          <w:color w:val="auto"/>
          <w:highlight w:val="none"/>
        </w:rPr>
        <w:t xml:space="preserve">  </w:t>
      </w:r>
      <w:r>
        <w:rPr>
          <w:rFonts w:hint="eastAsia"/>
          <w:color w:val="auto"/>
          <w:highlight w:val="none"/>
        </w:rPr>
        <w:t>适用的国家、行业以及地方规范、标准和规程</w:t>
      </w:r>
      <w:bookmarkEnd w:id="2427"/>
      <w:bookmarkEnd w:id="2428"/>
    </w:p>
    <w:p w14:paraId="7FFAA025">
      <w:pPr>
        <w:spacing w:line="500" w:lineRule="exact"/>
        <w:jc w:val="left"/>
        <w:rPr>
          <w:rFonts w:hint="eastAsia" w:ascii="黑体" w:hAnsi="宋体" w:eastAsia="黑体"/>
          <w:b/>
          <w:color w:val="auto"/>
          <w:szCs w:val="21"/>
          <w:highlight w:val="none"/>
        </w:rPr>
      </w:pPr>
    </w:p>
    <w:p w14:paraId="1EACA64F">
      <w:pPr>
        <w:spacing w:line="500" w:lineRule="exact"/>
        <w:jc w:val="left"/>
        <w:rPr>
          <w:rFonts w:hint="eastAsia" w:ascii="黑体" w:hAnsi="宋体" w:eastAsia="黑体"/>
          <w:b/>
          <w:color w:val="auto"/>
          <w:szCs w:val="21"/>
          <w:highlight w:val="none"/>
        </w:rPr>
      </w:pPr>
    </w:p>
    <w:p w14:paraId="50844D18">
      <w:pPr>
        <w:spacing w:line="500" w:lineRule="exact"/>
        <w:jc w:val="left"/>
        <w:rPr>
          <w:rFonts w:hint="eastAsia" w:ascii="宋体" w:hAnsi="宋体"/>
          <w:color w:val="auto"/>
          <w:szCs w:val="21"/>
          <w:highlight w:val="none"/>
        </w:rPr>
      </w:pPr>
      <w:r>
        <w:rPr>
          <w:rFonts w:hint="eastAsia" w:ascii="黑体" w:hAnsi="宋体" w:eastAsia="黑体"/>
          <w:b/>
          <w:color w:val="auto"/>
          <w:szCs w:val="21"/>
          <w:highlight w:val="none"/>
        </w:rPr>
        <w:t>说明：</w:t>
      </w:r>
      <w:r>
        <w:rPr>
          <w:rFonts w:hint="eastAsia" w:ascii="宋体" w:hAnsi="宋体"/>
          <w:color w:val="auto"/>
          <w:szCs w:val="21"/>
          <w:highlight w:val="none"/>
        </w:rPr>
        <w:t>本节内容只需列出规范、标准、规程等的名称、编号等内容。本节由招标人根据国家、行业和地方现行标准、规范和规程等，以及项目具体情况摘录。</w:t>
      </w:r>
    </w:p>
    <w:p w14:paraId="10703393">
      <w:pPr>
        <w:spacing w:after="480" w:afterLines="200" w:line="500" w:lineRule="exact"/>
        <w:jc w:val="left"/>
        <w:rPr>
          <w:rFonts w:hint="eastAsia" w:ascii="黑体" w:hAnsi="宋体" w:eastAsia="黑体"/>
          <w:color w:val="auto"/>
          <w:sz w:val="24"/>
          <w:highlight w:val="none"/>
        </w:rPr>
      </w:pPr>
      <w:r>
        <w:rPr>
          <w:rFonts w:hint="eastAsia" w:ascii="黑体" w:hAnsi="宋体" w:eastAsia="黑体"/>
          <w:b/>
          <w:color w:val="auto"/>
          <w:sz w:val="24"/>
          <w:szCs w:val="24"/>
          <w:highlight w:val="none"/>
        </w:rPr>
        <w:br w:type="page"/>
      </w:r>
      <w:r>
        <w:rPr>
          <w:rFonts w:hint="eastAsia" w:ascii="黑体" w:hAnsi="宋体" w:eastAsia="黑体"/>
          <w:color w:val="auto"/>
          <w:sz w:val="24"/>
          <w:szCs w:val="24"/>
          <w:highlight w:val="none"/>
        </w:rPr>
        <w:t>附件A：施工现场现状平面图</w:t>
      </w:r>
    </w:p>
    <w:p w14:paraId="431956B6">
      <w:pPr>
        <w:spacing w:line="500" w:lineRule="exact"/>
        <w:jc w:val="left"/>
        <w:rPr>
          <w:rFonts w:hint="eastAsia" w:ascii="宋体" w:hAnsi="宋体"/>
          <w:color w:val="auto"/>
          <w:szCs w:val="21"/>
          <w:highlight w:val="none"/>
        </w:rPr>
      </w:pPr>
      <w:r>
        <w:rPr>
          <w:rFonts w:hint="eastAsia" w:ascii="黑体" w:hAnsi="宋体" w:eastAsia="黑体"/>
          <w:color w:val="auto"/>
          <w:szCs w:val="21"/>
          <w:highlight w:val="none"/>
        </w:rPr>
        <w:t>说明：</w:t>
      </w:r>
      <w:r>
        <w:rPr>
          <w:rFonts w:hint="eastAsia" w:ascii="宋体" w:hAnsi="宋体"/>
          <w:color w:val="auto"/>
          <w:szCs w:val="21"/>
          <w:highlight w:val="none"/>
        </w:rPr>
        <w:t>该图由招标人准备，并作为招标文件本章的组成内容提供给投标人。图中应当标示本章第一节第1.2.1项规定的内容，并做必要的文字说明。</w:t>
      </w:r>
    </w:p>
    <w:p w14:paraId="796803B5">
      <w:pPr>
        <w:rPr>
          <w:rFonts w:hint="eastAsia"/>
          <w:color w:val="auto"/>
          <w:sz w:val="20"/>
          <w:highlight w:val="none"/>
        </w:rPr>
      </w:pPr>
      <w:r>
        <w:rPr>
          <w:rFonts w:hint="eastAsia"/>
          <w:color w:val="auto"/>
          <w:sz w:val="20"/>
          <w:highlight w:val="none"/>
        </w:rPr>
        <w:t xml:space="preserve"> </w:t>
      </w:r>
      <w:bookmarkEnd w:id="2382"/>
    </w:p>
    <w:p w14:paraId="63E7F18D">
      <w:pPr>
        <w:pStyle w:val="2"/>
        <w:pageBreakBefore/>
        <w:spacing w:before="120" w:after="120" w:line="400" w:lineRule="exact"/>
        <w:jc w:val="center"/>
        <w:rPr>
          <w:rFonts w:hint="eastAsia" w:ascii="黑体" w:hAnsi="黑体" w:eastAsia="黑体"/>
          <w:b w:val="0"/>
          <w:bCs w:val="0"/>
          <w:color w:val="auto"/>
          <w:sz w:val="48"/>
          <w:szCs w:val="48"/>
          <w:highlight w:val="none"/>
        </w:rPr>
      </w:pPr>
      <w:bookmarkStart w:id="2429" w:name="_Toc521075690"/>
      <w:bookmarkStart w:id="2430" w:name="_Toc521075265"/>
      <w:bookmarkStart w:id="2431" w:name="_Toc1790"/>
      <w:r>
        <w:rPr>
          <w:rFonts w:hint="eastAsia" w:ascii="黑体" w:hAnsi="黑体" w:eastAsia="黑体"/>
          <w:b w:val="0"/>
          <w:bCs w:val="0"/>
          <w:color w:val="auto"/>
          <w:sz w:val="48"/>
          <w:szCs w:val="48"/>
          <w:highlight w:val="none"/>
        </w:rPr>
        <w:t>第四卷</w:t>
      </w:r>
      <w:bookmarkEnd w:id="2429"/>
      <w:bookmarkEnd w:id="2430"/>
      <w:bookmarkEnd w:id="2431"/>
    </w:p>
    <w:p w14:paraId="0A1C405D">
      <w:pPr>
        <w:pStyle w:val="2"/>
        <w:spacing w:before="120" w:after="120" w:line="400" w:lineRule="exact"/>
        <w:jc w:val="center"/>
        <w:rPr>
          <w:rFonts w:ascii="黑体" w:hAnsi="黑体" w:eastAsia="黑体"/>
          <w:b w:val="0"/>
          <w:bCs w:val="0"/>
          <w:color w:val="auto"/>
          <w:sz w:val="32"/>
          <w:highlight w:val="none"/>
        </w:rPr>
      </w:pPr>
      <w:bookmarkStart w:id="2432" w:name="_Toc521075691"/>
      <w:bookmarkStart w:id="2433" w:name="_Toc26944"/>
      <w:bookmarkStart w:id="2434" w:name="_Toc521075266"/>
      <w:r>
        <w:rPr>
          <w:rFonts w:hint="eastAsia" w:ascii="黑体" w:hAnsi="黑体" w:eastAsia="黑体"/>
          <w:b w:val="0"/>
          <w:bCs w:val="0"/>
          <w:color w:val="auto"/>
          <w:sz w:val="32"/>
          <w:highlight w:val="none"/>
        </w:rPr>
        <w:t>第八章  投标文件格式</w:t>
      </w:r>
      <w:bookmarkEnd w:id="2432"/>
      <w:bookmarkEnd w:id="2433"/>
      <w:bookmarkEnd w:id="2434"/>
    </w:p>
    <w:p w14:paraId="52CAC54D">
      <w:pPr>
        <w:rPr>
          <w:rFonts w:hint="eastAsia" w:ascii="黑体" w:hAnsi="Times New Roman" w:eastAsia="黑体"/>
          <w:color w:val="auto"/>
          <w:sz w:val="32"/>
          <w:szCs w:val="32"/>
          <w:highlight w:val="none"/>
        </w:rPr>
      </w:pPr>
    </w:p>
    <w:p w14:paraId="7491CD99">
      <w:pPr>
        <w:rPr>
          <w:rFonts w:hint="eastAsia" w:ascii="黑体" w:eastAsia="黑体"/>
          <w:color w:val="auto"/>
          <w:sz w:val="32"/>
          <w:szCs w:val="32"/>
          <w:highlight w:val="none"/>
        </w:rPr>
      </w:pPr>
    </w:p>
    <w:p w14:paraId="630228DD">
      <w:pPr>
        <w:rPr>
          <w:rFonts w:hint="eastAsia" w:ascii="黑体" w:eastAsia="黑体"/>
          <w:color w:val="auto"/>
          <w:sz w:val="32"/>
          <w:szCs w:val="32"/>
          <w:highlight w:val="none"/>
        </w:rPr>
      </w:pPr>
    </w:p>
    <w:p w14:paraId="3C204CAE">
      <w:pPr>
        <w:rPr>
          <w:rFonts w:hint="eastAsia" w:ascii="黑体" w:eastAsia="黑体"/>
          <w:color w:val="auto"/>
          <w:sz w:val="32"/>
          <w:szCs w:val="32"/>
          <w:highlight w:val="none"/>
        </w:rPr>
      </w:pPr>
    </w:p>
    <w:p w14:paraId="7FE81BCF">
      <w:pPr>
        <w:rPr>
          <w:rFonts w:hint="eastAsia" w:ascii="黑体" w:eastAsia="黑体"/>
          <w:color w:val="auto"/>
          <w:sz w:val="32"/>
          <w:szCs w:val="32"/>
          <w:highlight w:val="none"/>
        </w:rPr>
      </w:pPr>
    </w:p>
    <w:p w14:paraId="57799224">
      <w:pPr>
        <w:rPr>
          <w:rFonts w:hint="eastAsia" w:ascii="黑体" w:eastAsia="黑体"/>
          <w:color w:val="auto"/>
          <w:sz w:val="32"/>
          <w:szCs w:val="32"/>
          <w:highlight w:val="none"/>
        </w:rPr>
      </w:pPr>
    </w:p>
    <w:p w14:paraId="3C5FBEC3">
      <w:pPr>
        <w:rPr>
          <w:rFonts w:hint="eastAsia" w:ascii="黑体" w:eastAsia="黑体"/>
          <w:color w:val="auto"/>
          <w:sz w:val="32"/>
          <w:szCs w:val="32"/>
          <w:highlight w:val="none"/>
        </w:rPr>
      </w:pPr>
    </w:p>
    <w:p w14:paraId="13292280">
      <w:pPr>
        <w:rPr>
          <w:rFonts w:hint="eastAsia" w:ascii="黑体" w:eastAsia="黑体"/>
          <w:color w:val="auto"/>
          <w:sz w:val="32"/>
          <w:szCs w:val="32"/>
          <w:highlight w:val="none"/>
        </w:rPr>
      </w:pPr>
    </w:p>
    <w:p w14:paraId="61FBF5D2">
      <w:pPr>
        <w:rPr>
          <w:rFonts w:hint="eastAsia" w:ascii="黑体" w:eastAsia="黑体"/>
          <w:color w:val="auto"/>
          <w:sz w:val="32"/>
          <w:szCs w:val="32"/>
          <w:highlight w:val="none"/>
        </w:rPr>
      </w:pPr>
    </w:p>
    <w:p w14:paraId="4345FE3E">
      <w:pPr>
        <w:rPr>
          <w:rFonts w:hint="eastAsia" w:ascii="黑体" w:eastAsia="黑体"/>
          <w:color w:val="auto"/>
          <w:sz w:val="32"/>
          <w:szCs w:val="32"/>
          <w:highlight w:val="none"/>
        </w:rPr>
      </w:pPr>
    </w:p>
    <w:p w14:paraId="61EB9353">
      <w:pPr>
        <w:rPr>
          <w:rFonts w:hint="eastAsia" w:ascii="黑体" w:eastAsia="黑体"/>
          <w:color w:val="auto"/>
          <w:sz w:val="32"/>
          <w:szCs w:val="32"/>
          <w:highlight w:val="none"/>
        </w:rPr>
      </w:pPr>
    </w:p>
    <w:p w14:paraId="16C236BE">
      <w:pPr>
        <w:rPr>
          <w:rFonts w:hint="eastAsia" w:ascii="黑体" w:eastAsia="黑体"/>
          <w:color w:val="auto"/>
          <w:sz w:val="32"/>
          <w:szCs w:val="32"/>
          <w:highlight w:val="none"/>
        </w:rPr>
      </w:pPr>
    </w:p>
    <w:p w14:paraId="2AC409D8">
      <w:pPr>
        <w:rPr>
          <w:rFonts w:hint="eastAsia" w:ascii="黑体" w:eastAsia="黑体"/>
          <w:color w:val="auto"/>
          <w:sz w:val="32"/>
          <w:szCs w:val="32"/>
          <w:highlight w:val="none"/>
        </w:rPr>
      </w:pPr>
    </w:p>
    <w:p w14:paraId="59B162BD">
      <w:pPr>
        <w:rPr>
          <w:rFonts w:hint="eastAsia" w:ascii="黑体" w:eastAsia="黑体"/>
          <w:color w:val="auto"/>
          <w:sz w:val="32"/>
          <w:szCs w:val="32"/>
          <w:highlight w:val="none"/>
        </w:rPr>
      </w:pPr>
    </w:p>
    <w:p w14:paraId="1E903183">
      <w:pPr>
        <w:rPr>
          <w:rFonts w:hint="eastAsia" w:ascii="黑体" w:eastAsia="黑体"/>
          <w:color w:val="auto"/>
          <w:sz w:val="32"/>
          <w:szCs w:val="32"/>
          <w:highlight w:val="none"/>
        </w:rPr>
      </w:pPr>
    </w:p>
    <w:p w14:paraId="02B9CF84">
      <w:pPr>
        <w:rPr>
          <w:rFonts w:hint="eastAsia" w:ascii="黑体" w:eastAsia="黑体"/>
          <w:color w:val="auto"/>
          <w:sz w:val="32"/>
          <w:szCs w:val="32"/>
          <w:highlight w:val="none"/>
        </w:rPr>
      </w:pPr>
    </w:p>
    <w:p w14:paraId="7ECB1695">
      <w:pPr>
        <w:rPr>
          <w:rFonts w:hint="eastAsia" w:ascii="黑体" w:eastAsia="黑体"/>
          <w:color w:val="auto"/>
          <w:sz w:val="32"/>
          <w:szCs w:val="32"/>
          <w:highlight w:val="none"/>
        </w:rPr>
      </w:pPr>
    </w:p>
    <w:p w14:paraId="4632AF4A">
      <w:pPr>
        <w:rPr>
          <w:rFonts w:hint="eastAsia" w:ascii="黑体" w:eastAsia="黑体"/>
          <w:color w:val="auto"/>
          <w:sz w:val="32"/>
          <w:szCs w:val="32"/>
          <w:highlight w:val="none"/>
        </w:rPr>
      </w:pPr>
    </w:p>
    <w:p w14:paraId="457FFA51">
      <w:pPr>
        <w:rPr>
          <w:rFonts w:hint="eastAsia" w:ascii="黑体" w:eastAsia="黑体"/>
          <w:color w:val="auto"/>
          <w:sz w:val="32"/>
          <w:szCs w:val="32"/>
          <w:highlight w:val="none"/>
        </w:rPr>
      </w:pPr>
    </w:p>
    <w:p w14:paraId="46DB0181">
      <w:pPr>
        <w:rPr>
          <w:rFonts w:hint="eastAsia" w:ascii="黑体" w:eastAsia="黑体"/>
          <w:color w:val="auto"/>
          <w:sz w:val="32"/>
          <w:szCs w:val="32"/>
          <w:highlight w:val="none"/>
        </w:rPr>
      </w:pPr>
    </w:p>
    <w:p w14:paraId="7A090763">
      <w:pPr>
        <w:rPr>
          <w:rFonts w:hint="eastAsia" w:ascii="黑体" w:eastAsia="黑体"/>
          <w:color w:val="auto"/>
          <w:sz w:val="32"/>
          <w:szCs w:val="32"/>
          <w:highlight w:val="none"/>
        </w:rPr>
      </w:pPr>
    </w:p>
    <w:p w14:paraId="1D44DF80">
      <w:pPr>
        <w:rPr>
          <w:rFonts w:hint="eastAsia" w:ascii="黑体" w:eastAsia="黑体"/>
          <w:color w:val="auto"/>
          <w:sz w:val="32"/>
          <w:szCs w:val="32"/>
          <w:highlight w:val="none"/>
        </w:rPr>
      </w:pPr>
    </w:p>
    <w:p w14:paraId="490D41E7">
      <w:pPr>
        <w:rPr>
          <w:rFonts w:hint="eastAsia" w:ascii="黑体" w:eastAsia="黑体"/>
          <w:color w:val="auto"/>
          <w:sz w:val="32"/>
          <w:szCs w:val="32"/>
          <w:highlight w:val="none"/>
        </w:rPr>
      </w:pPr>
    </w:p>
    <w:p w14:paraId="47EBFEEC">
      <w:pPr>
        <w:rPr>
          <w:rFonts w:hint="eastAsia" w:ascii="黑体" w:eastAsia="黑体"/>
          <w:color w:val="auto"/>
          <w:sz w:val="32"/>
          <w:szCs w:val="32"/>
          <w:highlight w:val="none"/>
        </w:rPr>
      </w:pPr>
    </w:p>
    <w:p w14:paraId="175C08D6">
      <w:pPr>
        <w:rPr>
          <w:rFonts w:hint="eastAsia" w:ascii="黑体" w:eastAsia="黑体"/>
          <w:color w:val="auto"/>
          <w:sz w:val="32"/>
          <w:szCs w:val="32"/>
          <w:highlight w:val="none"/>
        </w:rPr>
      </w:pPr>
    </w:p>
    <w:p w14:paraId="024FE43E">
      <w:pPr>
        <w:rPr>
          <w:rFonts w:hint="eastAsia" w:ascii="黑体" w:eastAsia="黑体"/>
          <w:color w:val="auto"/>
          <w:sz w:val="32"/>
          <w:szCs w:val="32"/>
          <w:highlight w:val="none"/>
        </w:rPr>
      </w:pPr>
    </w:p>
    <w:p w14:paraId="0A04DB20">
      <w:pPr>
        <w:rPr>
          <w:rFonts w:hint="eastAsia" w:ascii="黑体" w:eastAsia="黑体"/>
          <w:color w:val="auto"/>
          <w:sz w:val="32"/>
          <w:szCs w:val="32"/>
          <w:highlight w:val="none"/>
        </w:rPr>
      </w:pPr>
    </w:p>
    <w:p w14:paraId="2882A7E2">
      <w:pPr>
        <w:rPr>
          <w:rFonts w:hint="eastAsia" w:ascii="黑体" w:eastAsia="黑体"/>
          <w:color w:val="auto"/>
          <w:sz w:val="32"/>
          <w:szCs w:val="32"/>
          <w:highlight w:val="none"/>
        </w:rPr>
      </w:pPr>
    </w:p>
    <w:p w14:paraId="2AC1F596">
      <w:pPr>
        <w:rPr>
          <w:rFonts w:hint="eastAsia" w:ascii="黑体" w:eastAsia="黑体"/>
          <w:color w:val="auto"/>
          <w:sz w:val="32"/>
          <w:szCs w:val="32"/>
          <w:highlight w:val="none"/>
        </w:rPr>
      </w:pPr>
    </w:p>
    <w:p w14:paraId="30B9FBEB">
      <w:pPr>
        <w:rPr>
          <w:rFonts w:ascii="黑体" w:eastAsia="黑体"/>
          <w:color w:val="auto"/>
          <w:sz w:val="32"/>
          <w:szCs w:val="32"/>
          <w:highlight w:val="none"/>
        </w:rPr>
      </w:pPr>
    </w:p>
    <w:p w14:paraId="44714FE0">
      <w:pPr>
        <w:rPr>
          <w:rFonts w:hint="eastAsia" w:ascii="黑体" w:eastAsia="黑体"/>
          <w:color w:val="auto"/>
          <w:sz w:val="32"/>
          <w:szCs w:val="32"/>
          <w:highlight w:val="none"/>
        </w:rPr>
      </w:pPr>
    </w:p>
    <w:p w14:paraId="4BBA0FFF">
      <w:pPr>
        <w:rPr>
          <w:rFonts w:hint="eastAsia" w:ascii="黑体" w:eastAsia="黑体"/>
          <w:color w:val="auto"/>
          <w:sz w:val="32"/>
          <w:szCs w:val="32"/>
          <w:highlight w:val="none"/>
        </w:rPr>
      </w:pPr>
    </w:p>
    <w:p w14:paraId="3F1DD940">
      <w:pPr>
        <w:rPr>
          <w:rFonts w:hint="eastAsia" w:ascii="黑体" w:eastAsia="黑体"/>
          <w:color w:val="auto"/>
          <w:sz w:val="32"/>
          <w:szCs w:val="32"/>
          <w:highlight w:val="none"/>
        </w:rPr>
      </w:pPr>
    </w:p>
    <w:p w14:paraId="717687E5">
      <w:pPr>
        <w:rPr>
          <w:rFonts w:hint="eastAsia" w:ascii="黑体" w:eastAsia="黑体"/>
          <w:color w:val="auto"/>
          <w:sz w:val="32"/>
          <w:szCs w:val="32"/>
          <w:highlight w:val="none"/>
        </w:rPr>
      </w:pPr>
    </w:p>
    <w:p w14:paraId="67493160">
      <w:pPr>
        <w:jc w:val="center"/>
        <w:rPr>
          <w:rFonts w:hint="eastAsia" w:ascii="黑体" w:eastAsia="黑体"/>
          <w:color w:val="auto"/>
          <w:sz w:val="28"/>
          <w:szCs w:val="28"/>
          <w:highlight w:val="none"/>
        </w:rPr>
      </w:pPr>
      <w:r>
        <w:rPr>
          <w:rFonts w:hint="eastAsia" w:ascii="黑体" w:eastAsia="黑体"/>
          <w:color w:val="auto"/>
          <w:sz w:val="32"/>
          <w:szCs w:val="32"/>
          <w:highlight w:val="none"/>
          <w:u w:val="single"/>
        </w:rPr>
        <w:t xml:space="preserve">         </w:t>
      </w:r>
      <w:r>
        <w:rPr>
          <w:rFonts w:hint="eastAsia" w:ascii="宋体" w:hAnsi="宋体"/>
          <w:color w:val="auto"/>
          <w:sz w:val="28"/>
          <w:szCs w:val="28"/>
          <w:highlight w:val="none"/>
        </w:rPr>
        <w:t>（项目名称）</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u w:val="single"/>
        </w:rPr>
        <w:t xml:space="preserve">     </w:t>
      </w:r>
      <w:r>
        <w:rPr>
          <w:rFonts w:hint="eastAsia" w:ascii="宋体" w:hAnsi="宋体"/>
          <w:color w:val="auto"/>
          <w:sz w:val="28"/>
          <w:szCs w:val="28"/>
          <w:highlight w:val="none"/>
        </w:rPr>
        <w:t>（标段名称）</w:t>
      </w:r>
      <w:r>
        <w:rPr>
          <w:rFonts w:hint="eastAsia" w:ascii="黑体" w:eastAsia="黑体"/>
          <w:color w:val="auto"/>
          <w:sz w:val="28"/>
          <w:szCs w:val="28"/>
          <w:highlight w:val="none"/>
        </w:rPr>
        <w:t>施工招标</w:t>
      </w:r>
    </w:p>
    <w:p w14:paraId="7D29EC62">
      <w:pPr>
        <w:spacing w:before="240" w:beforeLines="100"/>
        <w:jc w:val="center"/>
        <w:rPr>
          <w:rFonts w:hint="eastAsia" w:ascii="黑体" w:eastAsia="黑体"/>
          <w:color w:val="auto"/>
          <w:sz w:val="44"/>
          <w:szCs w:val="44"/>
          <w:highlight w:val="none"/>
        </w:rPr>
      </w:pPr>
      <w:r>
        <w:rPr>
          <w:rFonts w:hint="eastAsia" w:ascii="黑体" w:eastAsia="黑体"/>
          <w:color w:val="auto"/>
          <w:sz w:val="44"/>
          <w:szCs w:val="44"/>
          <w:highlight w:val="none"/>
        </w:rPr>
        <w:t>投  标  文  件</w:t>
      </w:r>
    </w:p>
    <w:p w14:paraId="2A719821">
      <w:pPr>
        <w:jc w:val="center"/>
        <w:rPr>
          <w:rFonts w:hint="eastAsia" w:ascii="黑体" w:eastAsia="黑体"/>
          <w:color w:val="auto"/>
          <w:sz w:val="32"/>
          <w:szCs w:val="32"/>
          <w:highlight w:val="none"/>
        </w:rPr>
      </w:pPr>
    </w:p>
    <w:p w14:paraId="5E04A016">
      <w:pPr>
        <w:jc w:val="center"/>
        <w:rPr>
          <w:rFonts w:hint="eastAsia" w:ascii="黑体" w:eastAsia="黑体"/>
          <w:color w:val="auto"/>
          <w:sz w:val="32"/>
          <w:szCs w:val="32"/>
          <w:highlight w:val="none"/>
        </w:rPr>
      </w:pPr>
    </w:p>
    <w:p w14:paraId="64466C42">
      <w:pPr>
        <w:jc w:val="center"/>
        <w:rPr>
          <w:rFonts w:hint="eastAsia" w:ascii="黑体" w:eastAsia="黑体"/>
          <w:color w:val="auto"/>
          <w:sz w:val="32"/>
          <w:szCs w:val="32"/>
          <w:highlight w:val="none"/>
        </w:rPr>
      </w:pPr>
    </w:p>
    <w:p w14:paraId="536CB9C2">
      <w:pPr>
        <w:jc w:val="center"/>
        <w:rPr>
          <w:rFonts w:hint="eastAsia" w:ascii="黑体" w:eastAsia="黑体"/>
          <w:color w:val="auto"/>
          <w:sz w:val="32"/>
          <w:szCs w:val="32"/>
          <w:highlight w:val="none"/>
        </w:rPr>
      </w:pPr>
    </w:p>
    <w:p w14:paraId="10A6306F">
      <w:pPr>
        <w:jc w:val="center"/>
        <w:rPr>
          <w:rFonts w:hint="eastAsia" w:ascii="黑体" w:eastAsia="黑体"/>
          <w:color w:val="auto"/>
          <w:sz w:val="32"/>
          <w:szCs w:val="32"/>
          <w:highlight w:val="none"/>
        </w:rPr>
      </w:pPr>
    </w:p>
    <w:p w14:paraId="135A9033">
      <w:pPr>
        <w:jc w:val="center"/>
        <w:rPr>
          <w:rFonts w:hint="eastAsia" w:ascii="黑体" w:eastAsia="黑体"/>
          <w:color w:val="auto"/>
          <w:sz w:val="32"/>
          <w:szCs w:val="32"/>
          <w:highlight w:val="none"/>
        </w:rPr>
      </w:pPr>
    </w:p>
    <w:p w14:paraId="2C70F691">
      <w:pPr>
        <w:jc w:val="center"/>
        <w:rPr>
          <w:rFonts w:hint="eastAsia" w:ascii="黑体" w:eastAsia="黑体"/>
          <w:color w:val="auto"/>
          <w:sz w:val="32"/>
          <w:szCs w:val="32"/>
          <w:highlight w:val="none"/>
        </w:rPr>
      </w:pPr>
    </w:p>
    <w:p w14:paraId="67B25DA2">
      <w:pPr>
        <w:jc w:val="center"/>
        <w:rPr>
          <w:rFonts w:hint="eastAsia" w:ascii="黑体" w:eastAsia="黑体"/>
          <w:color w:val="auto"/>
          <w:sz w:val="32"/>
          <w:szCs w:val="32"/>
          <w:highlight w:val="none"/>
        </w:rPr>
      </w:pPr>
    </w:p>
    <w:p w14:paraId="156FA18A">
      <w:pPr>
        <w:jc w:val="center"/>
        <w:rPr>
          <w:rFonts w:hint="eastAsia" w:ascii="黑体" w:eastAsia="黑体"/>
          <w:color w:val="auto"/>
          <w:sz w:val="32"/>
          <w:szCs w:val="32"/>
          <w:highlight w:val="none"/>
        </w:rPr>
      </w:pPr>
    </w:p>
    <w:p w14:paraId="60DE5FFA">
      <w:pPr>
        <w:jc w:val="center"/>
        <w:rPr>
          <w:rFonts w:hint="eastAsia" w:ascii="黑体" w:eastAsia="黑体"/>
          <w:color w:val="auto"/>
          <w:sz w:val="32"/>
          <w:szCs w:val="32"/>
          <w:highlight w:val="none"/>
        </w:rPr>
      </w:pPr>
    </w:p>
    <w:p w14:paraId="0051E7D0">
      <w:pPr>
        <w:jc w:val="center"/>
        <w:rPr>
          <w:rFonts w:hint="eastAsia" w:ascii="黑体" w:eastAsia="黑体"/>
          <w:color w:val="auto"/>
          <w:sz w:val="32"/>
          <w:szCs w:val="32"/>
          <w:highlight w:val="none"/>
        </w:rPr>
      </w:pPr>
    </w:p>
    <w:p w14:paraId="4A657DE8">
      <w:pPr>
        <w:jc w:val="center"/>
        <w:rPr>
          <w:rFonts w:hint="eastAsia" w:ascii="黑体" w:eastAsia="黑体"/>
          <w:color w:val="auto"/>
          <w:sz w:val="32"/>
          <w:szCs w:val="32"/>
          <w:highlight w:val="none"/>
        </w:rPr>
      </w:pPr>
    </w:p>
    <w:p w14:paraId="00128D2A">
      <w:pPr>
        <w:jc w:val="center"/>
        <w:rPr>
          <w:rFonts w:hint="eastAsia" w:ascii="黑体" w:eastAsia="黑体"/>
          <w:color w:val="auto"/>
          <w:sz w:val="32"/>
          <w:szCs w:val="32"/>
          <w:highlight w:val="none"/>
        </w:rPr>
      </w:pPr>
    </w:p>
    <w:p w14:paraId="559F7B9D">
      <w:pPr>
        <w:jc w:val="center"/>
        <w:rPr>
          <w:rFonts w:hint="eastAsia" w:ascii="黑体" w:eastAsia="黑体"/>
          <w:color w:val="auto"/>
          <w:sz w:val="32"/>
          <w:szCs w:val="32"/>
          <w:highlight w:val="none"/>
        </w:rPr>
      </w:pPr>
    </w:p>
    <w:p w14:paraId="5D5C8898">
      <w:pPr>
        <w:jc w:val="center"/>
        <w:rPr>
          <w:rFonts w:hint="eastAsia" w:ascii="黑体" w:eastAsia="黑体"/>
          <w:color w:val="auto"/>
          <w:sz w:val="32"/>
          <w:szCs w:val="32"/>
          <w:highlight w:val="none"/>
        </w:rPr>
      </w:pPr>
    </w:p>
    <w:p w14:paraId="496F8BFF">
      <w:pPr>
        <w:jc w:val="center"/>
        <w:rPr>
          <w:rFonts w:hint="eastAsia" w:ascii="黑体" w:eastAsia="黑体"/>
          <w:color w:val="auto"/>
          <w:sz w:val="32"/>
          <w:szCs w:val="32"/>
          <w:highlight w:val="none"/>
        </w:rPr>
      </w:pPr>
    </w:p>
    <w:p w14:paraId="0A2706BB">
      <w:pPr>
        <w:spacing w:line="360" w:lineRule="auto"/>
        <w:jc w:val="center"/>
        <w:rPr>
          <w:rFonts w:hint="eastAsia" w:ascii="黑体" w:eastAsia="黑体"/>
          <w:color w:val="auto"/>
          <w:sz w:val="28"/>
          <w:szCs w:val="28"/>
          <w:highlight w:val="none"/>
        </w:rPr>
      </w:pPr>
      <w:r>
        <w:rPr>
          <w:rFonts w:hint="eastAsia" w:ascii="黑体" w:eastAsia="黑体"/>
          <w:color w:val="auto"/>
          <w:sz w:val="28"/>
          <w:szCs w:val="28"/>
          <w:highlight w:val="none"/>
        </w:rPr>
        <w:t>投标人：</w:t>
      </w: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（盖单位章）</w:t>
      </w:r>
    </w:p>
    <w:p w14:paraId="14C0E540">
      <w:pPr>
        <w:spacing w:line="360" w:lineRule="auto"/>
        <w:jc w:val="center"/>
        <w:rPr>
          <w:rFonts w:hint="eastAsia" w:ascii="黑体" w:eastAsia="黑体"/>
          <w:color w:val="auto"/>
          <w:sz w:val="28"/>
          <w:szCs w:val="28"/>
          <w:highlight w:val="none"/>
        </w:rPr>
      </w:pPr>
      <w:r>
        <w:rPr>
          <w:rFonts w:hint="eastAsia" w:ascii="黑体" w:eastAsia="黑体"/>
          <w:color w:val="auto"/>
          <w:sz w:val="28"/>
          <w:szCs w:val="28"/>
          <w:highlight w:val="none"/>
        </w:rPr>
        <w:t>法定代表人：</w:t>
      </w: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（签字）</w:t>
      </w:r>
    </w:p>
    <w:p w14:paraId="02D5A4BB">
      <w:pPr>
        <w:jc w:val="center"/>
        <w:rPr>
          <w:rFonts w:hint="eastAsia" w:ascii="黑体" w:eastAsia="黑体"/>
          <w:color w:val="auto"/>
          <w:sz w:val="28"/>
          <w:szCs w:val="28"/>
          <w:highlight w:val="none"/>
        </w:rPr>
      </w:pPr>
    </w:p>
    <w:p w14:paraId="5D34BF62">
      <w:pPr>
        <w:jc w:val="center"/>
        <w:rPr>
          <w:rFonts w:hint="eastAsia" w:ascii="黑体" w:eastAsia="黑体"/>
          <w:color w:val="auto"/>
          <w:sz w:val="28"/>
          <w:szCs w:val="28"/>
          <w:highlight w:val="none"/>
        </w:rPr>
      </w:pP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年</w:t>
      </w: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月</w:t>
      </w: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日</w:t>
      </w:r>
    </w:p>
    <w:p w14:paraId="1D99CF15">
      <w:pPr>
        <w:jc w:val="center"/>
        <w:rPr>
          <w:rFonts w:hint="eastAsia" w:ascii="黑体" w:eastAsia="黑体"/>
          <w:color w:val="auto"/>
          <w:sz w:val="28"/>
          <w:szCs w:val="28"/>
          <w:highlight w:val="none"/>
        </w:rPr>
      </w:pPr>
    </w:p>
    <w:p w14:paraId="2CA5344C">
      <w:pPr>
        <w:jc w:val="center"/>
        <w:rPr>
          <w:rFonts w:hint="eastAsia" w:ascii="黑体" w:eastAsia="黑体"/>
          <w:color w:val="auto"/>
          <w:sz w:val="28"/>
          <w:szCs w:val="28"/>
          <w:highlight w:val="none"/>
        </w:rPr>
      </w:pPr>
    </w:p>
    <w:p w14:paraId="0962D231">
      <w:pPr>
        <w:jc w:val="center"/>
        <w:rPr>
          <w:rFonts w:hint="eastAsia" w:ascii="黑体" w:eastAsia="黑体"/>
          <w:color w:val="auto"/>
          <w:sz w:val="28"/>
          <w:szCs w:val="28"/>
          <w:highlight w:val="none"/>
        </w:rPr>
      </w:pPr>
    </w:p>
    <w:p w14:paraId="57441751">
      <w:pPr>
        <w:rPr>
          <w:rFonts w:hint="eastAsia" w:ascii="黑体" w:eastAsia="黑体"/>
          <w:color w:val="auto"/>
          <w:sz w:val="28"/>
          <w:szCs w:val="28"/>
          <w:highlight w:val="none"/>
        </w:rPr>
      </w:pPr>
    </w:p>
    <w:p w14:paraId="7B0B9E28">
      <w:pPr>
        <w:pStyle w:val="31"/>
        <w:jc w:val="center"/>
        <w:rPr>
          <w:rFonts w:hint="eastAsia" w:ascii="黑体"/>
          <w:color w:val="auto"/>
          <w:szCs w:val="28"/>
          <w:highlight w:val="none"/>
        </w:rPr>
      </w:pPr>
      <w:bookmarkStart w:id="2435" w:name="_Toc28532405"/>
      <w:bookmarkStart w:id="2436" w:name="_Toc12390"/>
      <w:r>
        <w:rPr>
          <w:rFonts w:hint="eastAsia"/>
          <w:color w:val="auto"/>
          <w:highlight w:val="none"/>
        </w:rPr>
        <w:t>目</w:t>
      </w:r>
      <w:r>
        <w:rPr>
          <w:color w:val="auto"/>
          <w:highlight w:val="none"/>
        </w:rPr>
        <w:t xml:space="preserve">    </w:t>
      </w:r>
      <w:r>
        <w:rPr>
          <w:rFonts w:hint="eastAsia"/>
          <w:color w:val="auto"/>
          <w:highlight w:val="none"/>
        </w:rPr>
        <w:t>录</w:t>
      </w:r>
      <w:bookmarkEnd w:id="2435"/>
      <w:bookmarkEnd w:id="2436"/>
    </w:p>
    <w:p w14:paraId="34E2395A">
      <w:pPr>
        <w:spacing w:line="600" w:lineRule="exact"/>
        <w:rPr>
          <w:rFonts w:ascii="宋体" w:hAnsi="宋体"/>
          <w:color w:val="auto"/>
          <w:szCs w:val="21"/>
          <w:highlight w:val="none"/>
        </w:rPr>
      </w:pPr>
      <w:r>
        <w:rPr>
          <w:rFonts w:hint="eastAsia" w:ascii="宋体" w:hAnsi="宋体"/>
          <w:color w:val="auto"/>
          <w:szCs w:val="21"/>
          <w:highlight w:val="none"/>
        </w:rPr>
        <w:t>一、投标函及投标函附录</w:t>
      </w:r>
    </w:p>
    <w:p w14:paraId="2A28C157">
      <w:pPr>
        <w:spacing w:line="600" w:lineRule="exact"/>
        <w:rPr>
          <w:rFonts w:hint="eastAsia" w:ascii="宋体" w:hAnsi="宋体"/>
          <w:color w:val="auto"/>
          <w:szCs w:val="21"/>
          <w:highlight w:val="none"/>
        </w:rPr>
      </w:pPr>
      <w:r>
        <w:rPr>
          <w:rFonts w:hint="eastAsia" w:ascii="宋体" w:hAnsi="宋体"/>
          <w:color w:val="auto"/>
          <w:szCs w:val="21"/>
          <w:highlight w:val="none"/>
        </w:rPr>
        <w:t>二、法定代表人身份证明</w:t>
      </w:r>
    </w:p>
    <w:p w14:paraId="58663AA7">
      <w:pPr>
        <w:spacing w:line="600" w:lineRule="exact"/>
        <w:rPr>
          <w:rFonts w:hint="eastAsia" w:ascii="宋体" w:hAnsi="宋体"/>
          <w:color w:val="auto"/>
          <w:szCs w:val="21"/>
          <w:highlight w:val="none"/>
        </w:rPr>
      </w:pPr>
      <w:r>
        <w:rPr>
          <w:rFonts w:hint="eastAsia" w:ascii="宋体" w:hAnsi="宋体"/>
          <w:color w:val="auto"/>
          <w:szCs w:val="21"/>
          <w:highlight w:val="none"/>
        </w:rPr>
        <w:t>三、投标保证金</w:t>
      </w:r>
    </w:p>
    <w:p w14:paraId="0B1AAFDF">
      <w:pPr>
        <w:spacing w:line="600" w:lineRule="exact"/>
        <w:rPr>
          <w:rFonts w:hint="eastAsia" w:ascii="宋体" w:hAnsi="宋体"/>
          <w:color w:val="auto"/>
          <w:szCs w:val="21"/>
          <w:highlight w:val="none"/>
        </w:rPr>
      </w:pPr>
      <w:r>
        <w:rPr>
          <w:rFonts w:hint="eastAsia" w:ascii="宋体" w:hAnsi="宋体"/>
          <w:color w:val="auto"/>
          <w:szCs w:val="21"/>
          <w:highlight w:val="none"/>
        </w:rPr>
        <w:t>四、联合体协议书</w:t>
      </w:r>
    </w:p>
    <w:p w14:paraId="3254ACE6">
      <w:pPr>
        <w:spacing w:line="600" w:lineRule="exact"/>
        <w:rPr>
          <w:rFonts w:hint="eastAsia" w:ascii="宋体" w:hAnsi="宋体"/>
          <w:color w:val="auto"/>
          <w:szCs w:val="21"/>
          <w:highlight w:val="none"/>
        </w:rPr>
      </w:pPr>
      <w:r>
        <w:rPr>
          <w:rFonts w:hint="eastAsia" w:ascii="宋体" w:hAnsi="宋体"/>
          <w:color w:val="auto"/>
          <w:szCs w:val="21"/>
          <w:highlight w:val="none"/>
        </w:rPr>
        <w:t>五、拟分包项目情况表</w:t>
      </w:r>
    </w:p>
    <w:p w14:paraId="727B8240">
      <w:pPr>
        <w:spacing w:line="600" w:lineRule="exact"/>
        <w:rPr>
          <w:rFonts w:hint="eastAsia" w:ascii="宋体" w:hAnsi="宋体"/>
          <w:color w:val="auto"/>
          <w:szCs w:val="21"/>
          <w:highlight w:val="none"/>
        </w:rPr>
      </w:pPr>
      <w:r>
        <w:rPr>
          <w:rFonts w:hint="eastAsia" w:ascii="宋体" w:hAnsi="宋体"/>
          <w:color w:val="auto"/>
          <w:szCs w:val="21"/>
          <w:highlight w:val="none"/>
        </w:rPr>
        <w:t>五、分包意向协议书</w:t>
      </w:r>
    </w:p>
    <w:p w14:paraId="1520C2B7">
      <w:pPr>
        <w:spacing w:line="600" w:lineRule="exact"/>
        <w:rPr>
          <w:rFonts w:hint="eastAsia" w:ascii="宋体" w:hAnsi="宋体"/>
          <w:color w:val="auto"/>
          <w:szCs w:val="21"/>
          <w:highlight w:val="none"/>
        </w:rPr>
      </w:pPr>
      <w:r>
        <w:rPr>
          <w:rFonts w:hint="eastAsia" w:ascii="宋体" w:hAnsi="宋体"/>
          <w:color w:val="auto"/>
          <w:szCs w:val="21"/>
          <w:highlight w:val="none"/>
        </w:rPr>
        <w:t>六、中小企业声明函</w:t>
      </w:r>
    </w:p>
    <w:p w14:paraId="27A22880">
      <w:pPr>
        <w:spacing w:line="600" w:lineRule="exact"/>
        <w:rPr>
          <w:rFonts w:hint="eastAsia" w:ascii="宋体" w:hAnsi="宋体"/>
          <w:color w:val="auto"/>
          <w:szCs w:val="21"/>
          <w:highlight w:val="none"/>
        </w:rPr>
      </w:pPr>
      <w:r>
        <w:rPr>
          <w:rFonts w:hint="eastAsia" w:ascii="宋体" w:hAnsi="宋体"/>
          <w:color w:val="auto"/>
          <w:szCs w:val="21"/>
          <w:highlight w:val="none"/>
        </w:rPr>
        <w:t>七、项目管理机构</w:t>
      </w:r>
    </w:p>
    <w:p w14:paraId="45C33207">
      <w:pPr>
        <w:spacing w:line="600" w:lineRule="exact"/>
        <w:rPr>
          <w:rFonts w:hint="eastAsia" w:ascii="宋体" w:hAnsi="宋体"/>
          <w:color w:val="auto"/>
          <w:szCs w:val="21"/>
          <w:highlight w:val="none"/>
        </w:rPr>
      </w:pPr>
      <w:r>
        <w:rPr>
          <w:rFonts w:hint="eastAsia" w:ascii="宋体" w:hAnsi="宋体"/>
          <w:color w:val="auto"/>
          <w:szCs w:val="21"/>
          <w:highlight w:val="none"/>
        </w:rPr>
        <w:t>八、资格审查资料</w:t>
      </w:r>
    </w:p>
    <w:p w14:paraId="2C29D425">
      <w:pPr>
        <w:spacing w:line="600" w:lineRule="exact"/>
        <w:rPr>
          <w:rFonts w:hint="eastAsia" w:ascii="宋体" w:hAnsi="宋体"/>
          <w:color w:val="auto"/>
          <w:szCs w:val="21"/>
          <w:highlight w:val="none"/>
        </w:rPr>
      </w:pPr>
      <w:r>
        <w:rPr>
          <w:rFonts w:hint="eastAsia" w:ascii="宋体" w:hAnsi="宋体"/>
          <w:color w:val="auto"/>
          <w:szCs w:val="21"/>
          <w:highlight w:val="none"/>
        </w:rPr>
        <w:t>九、已标价工程量清单</w:t>
      </w:r>
    </w:p>
    <w:p w14:paraId="41A61106">
      <w:pPr>
        <w:spacing w:line="600" w:lineRule="exact"/>
        <w:rPr>
          <w:rFonts w:hint="eastAsia" w:ascii="宋体" w:hAnsi="宋体"/>
          <w:color w:val="auto"/>
          <w:szCs w:val="21"/>
          <w:highlight w:val="none"/>
        </w:rPr>
      </w:pPr>
      <w:r>
        <w:rPr>
          <w:rFonts w:hint="eastAsia" w:ascii="宋体" w:hAnsi="宋体"/>
          <w:color w:val="auto"/>
          <w:szCs w:val="21"/>
          <w:highlight w:val="none"/>
        </w:rPr>
        <w:t>十、施工组织设计</w:t>
      </w:r>
    </w:p>
    <w:p w14:paraId="3583E99D">
      <w:pPr>
        <w:spacing w:line="600" w:lineRule="exact"/>
        <w:rPr>
          <w:rFonts w:hint="eastAsia" w:ascii="宋体" w:hAnsi="宋体"/>
          <w:color w:val="auto"/>
          <w:szCs w:val="21"/>
          <w:highlight w:val="none"/>
        </w:rPr>
      </w:pPr>
      <w:r>
        <w:rPr>
          <w:rFonts w:hint="eastAsia" w:ascii="宋体" w:hAnsi="宋体"/>
          <w:color w:val="auto"/>
          <w:szCs w:val="21"/>
          <w:highlight w:val="none"/>
        </w:rPr>
        <w:t>十一、其他材料</w:t>
      </w:r>
    </w:p>
    <w:p w14:paraId="1BFA43A6">
      <w:pPr>
        <w:pStyle w:val="31"/>
        <w:jc w:val="center"/>
        <w:rPr>
          <w:rFonts w:hint="eastAsia" w:ascii="黑体" w:hAnsi="宋体"/>
          <w:color w:val="auto"/>
          <w:szCs w:val="28"/>
          <w:highlight w:val="none"/>
        </w:rPr>
      </w:pPr>
      <w:bookmarkStart w:id="2437" w:name="_Toc28532406"/>
      <w:r>
        <w:rPr>
          <w:color w:val="auto"/>
          <w:highlight w:val="none"/>
        </w:rPr>
        <w:br w:type="page"/>
      </w:r>
      <w:bookmarkStart w:id="2438" w:name="_Toc28921"/>
      <w:r>
        <w:rPr>
          <w:rFonts w:hint="eastAsia"/>
          <w:color w:val="auto"/>
          <w:highlight w:val="none"/>
        </w:rPr>
        <w:t>一、投标函及投标函附录</w:t>
      </w:r>
      <w:bookmarkEnd w:id="2437"/>
      <w:bookmarkEnd w:id="2438"/>
    </w:p>
    <w:p w14:paraId="0CD986E9">
      <w:pPr>
        <w:pStyle w:val="33"/>
        <w:jc w:val="center"/>
        <w:rPr>
          <w:rFonts w:hint="eastAsia" w:ascii="Times New Roman" w:hAnsi="Times New Roman"/>
          <w:color w:val="auto"/>
          <w:sz w:val="28"/>
          <w:szCs w:val="28"/>
          <w:highlight w:val="none"/>
        </w:rPr>
      </w:pPr>
      <w:bookmarkStart w:id="2439" w:name="_Toc28532407"/>
      <w:bookmarkStart w:id="2440" w:name="_Toc27336"/>
      <w:r>
        <w:rPr>
          <w:rFonts w:hint="eastAsia"/>
          <w:color w:val="auto"/>
          <w:sz w:val="28"/>
          <w:szCs w:val="28"/>
          <w:highlight w:val="none"/>
        </w:rPr>
        <w:t>（一）投标函</w:t>
      </w:r>
      <w:bookmarkEnd w:id="2439"/>
      <w:bookmarkEnd w:id="2440"/>
    </w:p>
    <w:p w14:paraId="5B77357C">
      <w:pPr>
        <w:spacing w:line="440" w:lineRule="exact"/>
        <w:rPr>
          <w:color w:val="auto"/>
          <w:szCs w:val="21"/>
          <w:highlight w:val="none"/>
        </w:rPr>
      </w:pPr>
      <w:r>
        <w:rPr>
          <w:color w:val="auto"/>
          <w:szCs w:val="21"/>
          <w:highlight w:val="none"/>
          <w:u w:val="single"/>
        </w:rPr>
        <w:t xml:space="preserve">                        </w:t>
      </w:r>
      <w:r>
        <w:rPr>
          <w:rFonts w:hint="eastAsia"/>
          <w:color w:val="auto"/>
          <w:szCs w:val="21"/>
          <w:highlight w:val="none"/>
        </w:rPr>
        <w:t>（招标人名称）：</w:t>
      </w:r>
    </w:p>
    <w:p w14:paraId="25E6A9C9">
      <w:pPr>
        <w:spacing w:line="440" w:lineRule="exact"/>
        <w:ind w:firstLine="420" w:firstLineChars="200"/>
        <w:rPr>
          <w:color w:val="auto"/>
          <w:szCs w:val="21"/>
          <w:highlight w:val="none"/>
        </w:rPr>
      </w:pPr>
      <w:r>
        <w:rPr>
          <w:color w:val="auto"/>
          <w:szCs w:val="21"/>
          <w:highlight w:val="none"/>
        </w:rPr>
        <w:t>1</w:t>
      </w:r>
      <w:r>
        <w:rPr>
          <w:rFonts w:hint="eastAsia"/>
          <w:color w:val="auto"/>
          <w:szCs w:val="21"/>
          <w:highlight w:val="none"/>
        </w:rPr>
        <w:t>．我方已仔细研究了</w:t>
      </w:r>
      <w:r>
        <w:rPr>
          <w:color w:val="auto"/>
          <w:szCs w:val="21"/>
          <w:highlight w:val="none"/>
          <w:u w:val="single"/>
        </w:rPr>
        <w:t xml:space="preserve">          </w:t>
      </w:r>
      <w:r>
        <w:rPr>
          <w:rFonts w:hint="eastAsia"/>
          <w:color w:val="auto"/>
          <w:szCs w:val="21"/>
          <w:highlight w:val="none"/>
        </w:rPr>
        <w:t>（项目名称）</w:t>
      </w:r>
      <w:r>
        <w:rPr>
          <w:color w:val="auto"/>
          <w:szCs w:val="21"/>
          <w:highlight w:val="none"/>
          <w:u w:val="single"/>
        </w:rPr>
        <w:t xml:space="preserve">     </w:t>
      </w:r>
      <w:r>
        <w:rPr>
          <w:rFonts w:hint="eastAsia"/>
          <w:color w:val="auto"/>
          <w:highlight w:val="none"/>
        </w:rPr>
        <w:t>（标段名称）</w:t>
      </w:r>
      <w:r>
        <w:rPr>
          <w:rFonts w:hint="eastAsia"/>
          <w:color w:val="auto"/>
          <w:szCs w:val="21"/>
          <w:highlight w:val="none"/>
        </w:rPr>
        <w:t>施工招标文件的全部内容，愿意以人民币（大写）</w:t>
      </w:r>
      <w:r>
        <w:rPr>
          <w:color w:val="auto"/>
          <w:szCs w:val="21"/>
          <w:highlight w:val="none"/>
          <w:u w:val="single"/>
        </w:rPr>
        <w:t xml:space="preserve">         </w:t>
      </w:r>
      <w:r>
        <w:rPr>
          <w:rFonts w:hint="eastAsia"/>
          <w:color w:val="auto"/>
          <w:szCs w:val="21"/>
          <w:highlight w:val="none"/>
        </w:rPr>
        <w:t>元（</w:t>
      </w:r>
      <w:r>
        <w:rPr>
          <w:color w:val="auto"/>
          <w:szCs w:val="21"/>
          <w:highlight w:val="none"/>
        </w:rPr>
        <w:t>¥</w:t>
      </w:r>
      <w:r>
        <w:rPr>
          <w:color w:val="auto"/>
          <w:szCs w:val="21"/>
          <w:highlight w:val="none"/>
          <w:u w:val="single"/>
        </w:rPr>
        <w:t xml:space="preserve">           </w:t>
      </w:r>
      <w:r>
        <w:rPr>
          <w:rFonts w:hint="eastAsia"/>
          <w:color w:val="auto"/>
          <w:szCs w:val="21"/>
          <w:highlight w:val="none"/>
        </w:rPr>
        <w:t>元）的投标总报价，工期</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日历天，按合同约定实施和完成承包工程，修补工程中的任何缺陷，工程质量达到</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w:t>
      </w:r>
    </w:p>
    <w:p w14:paraId="7B1D4DC2">
      <w:pPr>
        <w:spacing w:line="480" w:lineRule="exact"/>
        <w:ind w:firstLine="420" w:firstLineChars="200"/>
        <w:rPr>
          <w:rFonts w:ascii="宋体" w:hAnsi="宋体"/>
          <w:color w:val="auto"/>
          <w:szCs w:val="21"/>
          <w:highlight w:val="none"/>
        </w:rPr>
      </w:pPr>
      <w:r>
        <w:rPr>
          <w:rFonts w:hint="eastAsia" w:ascii="宋体" w:hAnsi="宋体"/>
          <w:color w:val="auto"/>
          <w:szCs w:val="21"/>
          <w:highlight w:val="none"/>
        </w:rPr>
        <w:t>在我方的上述投标</w:t>
      </w:r>
      <w:r>
        <w:rPr>
          <w:rFonts w:hint="eastAsia"/>
          <w:color w:val="auto"/>
          <w:szCs w:val="21"/>
          <w:highlight w:val="none"/>
        </w:rPr>
        <w:t>总</w:t>
      </w:r>
      <w:r>
        <w:rPr>
          <w:rFonts w:hint="eastAsia" w:ascii="宋体" w:hAnsi="宋体"/>
          <w:color w:val="auto"/>
          <w:szCs w:val="21"/>
          <w:highlight w:val="none"/>
        </w:rPr>
        <w:t xml:space="preserve">报价中，包括：安全文明施工费 </w:t>
      </w:r>
      <w:r>
        <w:rPr>
          <w:color w:val="auto"/>
          <w:szCs w:val="21"/>
          <w:highlight w:val="none"/>
        </w:rPr>
        <w:t>¥</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元；暂列金额 </w:t>
      </w:r>
      <w:r>
        <w:rPr>
          <w:color w:val="auto"/>
          <w:szCs w:val="21"/>
          <w:highlight w:val="none"/>
        </w:rPr>
        <w:t>¥</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元；专业工程暂估价 </w:t>
      </w:r>
      <w:r>
        <w:rPr>
          <w:color w:val="auto"/>
          <w:szCs w:val="21"/>
          <w:highlight w:val="none"/>
        </w:rPr>
        <w:t>¥</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元。</w:t>
      </w:r>
    </w:p>
    <w:p w14:paraId="753F16FF">
      <w:pPr>
        <w:spacing w:line="480" w:lineRule="exact"/>
        <w:ind w:firstLine="420" w:firstLineChars="200"/>
        <w:rPr>
          <w:rFonts w:hint="eastAsia" w:ascii="宋体" w:hAnsi="宋体"/>
          <w:color w:val="auto"/>
          <w:szCs w:val="21"/>
          <w:highlight w:val="none"/>
        </w:rPr>
      </w:pPr>
      <w:r>
        <w:rPr>
          <w:color w:val="auto"/>
          <w:szCs w:val="21"/>
          <w:highlight w:val="none"/>
        </w:rPr>
        <w:t xml:space="preserve">2.  </w:t>
      </w:r>
      <w:r>
        <w:rPr>
          <w:rFonts w:hint="eastAsia"/>
          <w:color w:val="auto"/>
          <w:szCs w:val="21"/>
          <w:highlight w:val="none"/>
        </w:rPr>
        <w:t>我方拟派的项目经理：</w:t>
      </w:r>
      <w:r>
        <w:rPr>
          <w:color w:val="auto"/>
          <w:szCs w:val="21"/>
          <w:highlight w:val="none"/>
          <w:u w:val="single"/>
        </w:rPr>
        <w:t xml:space="preserve">       </w:t>
      </w:r>
      <w:r>
        <w:rPr>
          <w:rFonts w:hint="eastAsia"/>
          <w:color w:val="auto"/>
          <w:szCs w:val="21"/>
          <w:highlight w:val="none"/>
        </w:rPr>
        <w:t>（姓名），证书名称：</w:t>
      </w:r>
      <w:r>
        <w:rPr>
          <w:color w:val="auto"/>
          <w:szCs w:val="21"/>
          <w:highlight w:val="none"/>
          <w:u w:val="single"/>
        </w:rPr>
        <w:t xml:space="preserve">        </w:t>
      </w:r>
      <w:r>
        <w:rPr>
          <w:rFonts w:hint="eastAsia"/>
          <w:color w:val="auto"/>
          <w:szCs w:val="21"/>
          <w:highlight w:val="none"/>
        </w:rPr>
        <w:t>，证书编号：</w:t>
      </w:r>
      <w:r>
        <w:rPr>
          <w:color w:val="auto"/>
          <w:szCs w:val="21"/>
          <w:highlight w:val="none"/>
          <w:u w:val="single"/>
        </w:rPr>
        <w:t xml:space="preserve">       </w:t>
      </w:r>
      <w:r>
        <w:rPr>
          <w:rFonts w:hint="eastAsia"/>
          <w:color w:val="auto"/>
          <w:szCs w:val="21"/>
          <w:highlight w:val="none"/>
        </w:rPr>
        <w:t>。</w:t>
      </w:r>
    </w:p>
    <w:p w14:paraId="614E3A2D">
      <w:pPr>
        <w:spacing w:line="440" w:lineRule="exact"/>
        <w:ind w:firstLine="420" w:firstLineChars="200"/>
        <w:rPr>
          <w:rFonts w:hint="eastAsia" w:ascii="Times New Roman" w:hAnsi="Times New Roman"/>
          <w:color w:val="auto"/>
          <w:szCs w:val="21"/>
          <w:highlight w:val="none"/>
        </w:rPr>
      </w:pPr>
      <w:r>
        <w:rPr>
          <w:color w:val="auto"/>
          <w:szCs w:val="21"/>
          <w:highlight w:val="none"/>
        </w:rPr>
        <w:t>3</w:t>
      </w:r>
      <w:r>
        <w:rPr>
          <w:rFonts w:hint="eastAsia"/>
          <w:color w:val="auto"/>
          <w:szCs w:val="21"/>
          <w:highlight w:val="none"/>
        </w:rPr>
        <w:t>．我方承诺在投标有效期</w:t>
      </w:r>
      <w:r>
        <w:rPr>
          <w:color w:val="auto"/>
          <w:szCs w:val="21"/>
          <w:highlight w:val="none"/>
          <w:u w:val="single"/>
        </w:rPr>
        <w:t xml:space="preserve">     </w:t>
      </w:r>
      <w:r>
        <w:rPr>
          <w:rFonts w:hint="eastAsia"/>
          <w:color w:val="auto"/>
          <w:szCs w:val="21"/>
          <w:highlight w:val="none"/>
        </w:rPr>
        <w:t>天内不修改、撤销投标文件。</w:t>
      </w:r>
    </w:p>
    <w:p w14:paraId="1C0C6EFF">
      <w:pPr>
        <w:spacing w:line="440" w:lineRule="exact"/>
        <w:ind w:firstLine="420" w:firstLineChars="200"/>
        <w:rPr>
          <w:color w:val="auto"/>
          <w:szCs w:val="21"/>
          <w:highlight w:val="none"/>
        </w:rPr>
      </w:pPr>
      <w:r>
        <w:rPr>
          <w:color w:val="auto"/>
          <w:szCs w:val="21"/>
          <w:highlight w:val="none"/>
        </w:rPr>
        <w:t>4</w:t>
      </w:r>
      <w:r>
        <w:rPr>
          <w:rFonts w:hint="eastAsia"/>
          <w:color w:val="auto"/>
          <w:szCs w:val="21"/>
          <w:highlight w:val="none"/>
        </w:rPr>
        <w:t>．随同本投标函提交投标保证金一份，金额为人民币（大写）</w:t>
      </w:r>
      <w:r>
        <w:rPr>
          <w:color w:val="auto"/>
          <w:szCs w:val="21"/>
          <w:highlight w:val="none"/>
          <w:u w:val="single"/>
        </w:rPr>
        <w:t xml:space="preserve">        </w:t>
      </w:r>
      <w:r>
        <w:rPr>
          <w:rFonts w:hint="eastAsia"/>
          <w:color w:val="auto"/>
          <w:szCs w:val="21"/>
          <w:highlight w:val="none"/>
        </w:rPr>
        <w:t>元（</w:t>
      </w:r>
      <w:r>
        <w:rPr>
          <w:color w:val="auto"/>
          <w:szCs w:val="21"/>
          <w:highlight w:val="none"/>
        </w:rPr>
        <w:t>¥</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w:t>
      </w:r>
    </w:p>
    <w:p w14:paraId="0BA4F9E6">
      <w:pPr>
        <w:spacing w:line="440" w:lineRule="exact"/>
        <w:ind w:firstLine="420" w:firstLineChars="200"/>
        <w:rPr>
          <w:color w:val="auto"/>
          <w:szCs w:val="21"/>
          <w:highlight w:val="none"/>
        </w:rPr>
      </w:pPr>
      <w:r>
        <w:rPr>
          <w:color w:val="auto"/>
          <w:szCs w:val="21"/>
          <w:highlight w:val="none"/>
        </w:rPr>
        <w:t>5</w:t>
      </w:r>
      <w:r>
        <w:rPr>
          <w:rFonts w:hint="eastAsia"/>
          <w:color w:val="auto"/>
          <w:szCs w:val="21"/>
          <w:highlight w:val="none"/>
        </w:rPr>
        <w:t>．如我方中标：</w:t>
      </w:r>
    </w:p>
    <w:p w14:paraId="155681C1">
      <w:pPr>
        <w:spacing w:line="440" w:lineRule="exact"/>
        <w:ind w:firstLine="718" w:firstLineChars="342"/>
        <w:rPr>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）我方承诺在收到中标通知书后，在中标通知书规定的期限内与你方签订合同。</w:t>
      </w:r>
    </w:p>
    <w:p w14:paraId="72F53B60">
      <w:pPr>
        <w:spacing w:line="440" w:lineRule="exact"/>
        <w:ind w:firstLine="718" w:firstLineChars="342"/>
        <w:rPr>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）随同本投标函递交的投标函附录属于合同文件的组成部分。</w:t>
      </w:r>
    </w:p>
    <w:p w14:paraId="4CB98404">
      <w:pPr>
        <w:spacing w:line="440" w:lineRule="exact"/>
        <w:ind w:firstLine="718" w:firstLineChars="342"/>
        <w:rPr>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）我方承诺按照招标文件规定向你方递交履约保证金。</w:t>
      </w:r>
    </w:p>
    <w:p w14:paraId="06D337FA">
      <w:pPr>
        <w:spacing w:line="440" w:lineRule="exact"/>
        <w:ind w:firstLine="718" w:firstLineChars="342"/>
        <w:rPr>
          <w:color w:val="auto"/>
          <w:szCs w:val="21"/>
          <w:highlight w:val="none"/>
        </w:rPr>
      </w:pPr>
      <w:r>
        <w:rPr>
          <w:rFonts w:hint="eastAsia"/>
          <w:color w:val="auto"/>
          <w:szCs w:val="21"/>
          <w:highlight w:val="none"/>
        </w:rPr>
        <w:t>（</w:t>
      </w:r>
      <w:r>
        <w:rPr>
          <w:color w:val="auto"/>
          <w:szCs w:val="21"/>
          <w:highlight w:val="none"/>
        </w:rPr>
        <w:t>4</w:t>
      </w:r>
      <w:r>
        <w:rPr>
          <w:rFonts w:hint="eastAsia"/>
          <w:color w:val="auto"/>
          <w:szCs w:val="21"/>
          <w:highlight w:val="none"/>
        </w:rPr>
        <w:t>）我方承诺在合同约定的期限内完成并移交全部合同工程。</w:t>
      </w:r>
    </w:p>
    <w:p w14:paraId="3A084DEF">
      <w:pPr>
        <w:spacing w:line="440" w:lineRule="exact"/>
        <w:ind w:firstLine="420" w:firstLineChars="200"/>
        <w:rPr>
          <w:color w:val="auto"/>
          <w:szCs w:val="21"/>
          <w:highlight w:val="none"/>
        </w:rPr>
      </w:pPr>
      <w:r>
        <w:rPr>
          <w:color w:val="auto"/>
          <w:szCs w:val="21"/>
          <w:highlight w:val="none"/>
        </w:rPr>
        <w:t>6</w:t>
      </w:r>
      <w:r>
        <w:rPr>
          <w:rFonts w:hint="eastAsia"/>
          <w:color w:val="auto"/>
          <w:szCs w:val="21"/>
          <w:highlight w:val="none"/>
        </w:rPr>
        <w:t>．</w:t>
      </w:r>
      <w:r>
        <w:rPr>
          <w:rFonts w:hint="eastAsia"/>
          <w:color w:val="auto"/>
          <w:highlight w:val="none"/>
        </w:rPr>
        <w:t>我方在此声明，所递交的投标文件及有关资料内容完整、真实和准确，且不存在第二章“投标人须知”第</w:t>
      </w:r>
      <w:r>
        <w:rPr>
          <w:color w:val="auto"/>
          <w:highlight w:val="none"/>
        </w:rPr>
        <w:t>1.4.3</w:t>
      </w:r>
      <w:r>
        <w:rPr>
          <w:rFonts w:hint="eastAsia"/>
          <w:color w:val="auto"/>
          <w:highlight w:val="none"/>
        </w:rPr>
        <w:t>项规定的任何一种情形。</w:t>
      </w:r>
    </w:p>
    <w:p w14:paraId="6CAE3788">
      <w:pPr>
        <w:spacing w:line="440" w:lineRule="exact"/>
        <w:ind w:firstLine="420" w:firstLineChars="200"/>
        <w:rPr>
          <w:color w:val="auto"/>
          <w:szCs w:val="21"/>
          <w:highlight w:val="none"/>
        </w:rPr>
      </w:pPr>
      <w:r>
        <w:rPr>
          <w:color w:val="auto"/>
          <w:szCs w:val="21"/>
          <w:highlight w:val="none"/>
        </w:rPr>
        <w:t>7</w:t>
      </w:r>
      <w:r>
        <w:rPr>
          <w:rFonts w:hint="eastAsia"/>
          <w:color w:val="auto"/>
          <w:szCs w:val="21"/>
          <w:highlight w:val="none"/>
        </w:rPr>
        <w:t>．</w:t>
      </w:r>
      <w:r>
        <w:rPr>
          <w:color w:val="auto"/>
          <w:szCs w:val="21"/>
          <w:highlight w:val="none"/>
          <w:u w:val="single"/>
        </w:rPr>
        <w:t xml:space="preserve">                                       </w:t>
      </w:r>
      <w:r>
        <w:rPr>
          <w:rFonts w:hint="eastAsia"/>
          <w:color w:val="auto"/>
          <w:szCs w:val="21"/>
          <w:highlight w:val="none"/>
        </w:rPr>
        <w:t>（其他补充说明）。</w:t>
      </w:r>
    </w:p>
    <w:p w14:paraId="62E0D60F">
      <w:pPr>
        <w:spacing w:line="440" w:lineRule="exact"/>
        <w:ind w:firstLine="3675" w:firstLineChars="1750"/>
        <w:rPr>
          <w:color w:val="auto"/>
          <w:szCs w:val="21"/>
          <w:highlight w:val="none"/>
        </w:rPr>
      </w:pPr>
      <w:r>
        <w:rPr>
          <w:rFonts w:hint="eastAsia"/>
          <w:color w:val="auto"/>
          <w:szCs w:val="21"/>
          <w:highlight w:val="none"/>
        </w:rPr>
        <w:t>投</w:t>
      </w:r>
      <w:r>
        <w:rPr>
          <w:color w:val="auto"/>
          <w:szCs w:val="21"/>
          <w:highlight w:val="none"/>
        </w:rPr>
        <w:t xml:space="preserve"> </w:t>
      </w:r>
      <w:r>
        <w:rPr>
          <w:rFonts w:hint="eastAsia"/>
          <w:color w:val="auto"/>
          <w:szCs w:val="21"/>
          <w:highlight w:val="none"/>
        </w:rPr>
        <w:t>标</w:t>
      </w:r>
      <w:r>
        <w:rPr>
          <w:color w:val="auto"/>
          <w:szCs w:val="21"/>
          <w:highlight w:val="none"/>
        </w:rPr>
        <w:t xml:space="preserve"> </w:t>
      </w:r>
      <w:r>
        <w:rPr>
          <w:rFonts w:hint="eastAsia"/>
          <w:color w:val="auto"/>
          <w:szCs w:val="21"/>
          <w:highlight w:val="none"/>
        </w:rPr>
        <w:t>人：</w:t>
      </w:r>
      <w:r>
        <w:rPr>
          <w:color w:val="auto"/>
          <w:szCs w:val="21"/>
          <w:highlight w:val="none"/>
          <w:u w:val="single"/>
        </w:rPr>
        <w:t xml:space="preserve">                      </w:t>
      </w:r>
      <w:r>
        <w:rPr>
          <w:rFonts w:hint="eastAsia"/>
          <w:color w:val="auto"/>
          <w:szCs w:val="21"/>
          <w:highlight w:val="none"/>
        </w:rPr>
        <w:t>（盖单位章）</w:t>
      </w:r>
    </w:p>
    <w:p w14:paraId="52E54887">
      <w:pPr>
        <w:spacing w:line="440" w:lineRule="exact"/>
        <w:ind w:firstLine="3675" w:firstLineChars="1750"/>
        <w:rPr>
          <w:color w:val="auto"/>
          <w:szCs w:val="21"/>
          <w:highlight w:val="none"/>
        </w:rPr>
      </w:pPr>
      <w:r>
        <w:rPr>
          <w:rFonts w:hint="eastAsia"/>
          <w:color w:val="auto"/>
          <w:szCs w:val="21"/>
          <w:highlight w:val="none"/>
        </w:rPr>
        <w:t>法定代表人：</w:t>
      </w:r>
      <w:r>
        <w:rPr>
          <w:color w:val="auto"/>
          <w:szCs w:val="21"/>
          <w:highlight w:val="none"/>
          <w:u w:val="single"/>
        </w:rPr>
        <w:t xml:space="preserve">                        </w:t>
      </w:r>
      <w:r>
        <w:rPr>
          <w:rFonts w:hint="eastAsia"/>
          <w:color w:val="auto"/>
          <w:szCs w:val="21"/>
          <w:highlight w:val="none"/>
        </w:rPr>
        <w:t>（签字）</w:t>
      </w:r>
    </w:p>
    <w:p w14:paraId="7A0D46C0">
      <w:pPr>
        <w:spacing w:line="440" w:lineRule="exact"/>
        <w:ind w:firstLine="3675" w:firstLineChars="1750"/>
        <w:rPr>
          <w:color w:val="auto"/>
          <w:szCs w:val="21"/>
          <w:highlight w:val="none"/>
        </w:rPr>
      </w:pPr>
      <w:r>
        <w:rPr>
          <w:rFonts w:hint="eastAsia"/>
          <w:color w:val="auto"/>
          <w:szCs w:val="21"/>
          <w:highlight w:val="none"/>
        </w:rPr>
        <w:t>地址：</w:t>
      </w:r>
      <w:r>
        <w:rPr>
          <w:color w:val="auto"/>
          <w:szCs w:val="21"/>
          <w:highlight w:val="none"/>
          <w:u w:val="single"/>
        </w:rPr>
        <w:t xml:space="preserve">                                     </w:t>
      </w:r>
    </w:p>
    <w:p w14:paraId="6580758C">
      <w:pPr>
        <w:spacing w:line="440" w:lineRule="exact"/>
        <w:ind w:firstLine="3675" w:firstLineChars="1750"/>
        <w:rPr>
          <w:color w:val="auto"/>
          <w:szCs w:val="21"/>
          <w:highlight w:val="none"/>
        </w:rPr>
      </w:pPr>
      <w:r>
        <w:rPr>
          <w:rFonts w:hint="eastAsia"/>
          <w:color w:val="auto"/>
          <w:szCs w:val="21"/>
          <w:highlight w:val="none"/>
        </w:rPr>
        <w:t>网址：</w:t>
      </w:r>
      <w:r>
        <w:rPr>
          <w:color w:val="auto"/>
          <w:szCs w:val="21"/>
          <w:highlight w:val="none"/>
          <w:u w:val="single"/>
        </w:rPr>
        <w:t xml:space="preserve">                                     </w:t>
      </w:r>
    </w:p>
    <w:p w14:paraId="07952DDF">
      <w:pPr>
        <w:spacing w:line="440" w:lineRule="exact"/>
        <w:ind w:firstLine="3675" w:firstLineChars="1750"/>
        <w:rPr>
          <w:color w:val="auto"/>
          <w:szCs w:val="21"/>
          <w:highlight w:val="none"/>
        </w:rPr>
      </w:pPr>
      <w:r>
        <w:rPr>
          <w:rFonts w:hint="eastAsia"/>
          <w:color w:val="auto"/>
          <w:szCs w:val="21"/>
          <w:highlight w:val="none"/>
        </w:rPr>
        <w:t>电话：</w:t>
      </w:r>
      <w:r>
        <w:rPr>
          <w:color w:val="auto"/>
          <w:szCs w:val="21"/>
          <w:highlight w:val="none"/>
          <w:u w:val="single"/>
        </w:rPr>
        <w:t xml:space="preserve">                                     </w:t>
      </w:r>
    </w:p>
    <w:p w14:paraId="0318621A">
      <w:pPr>
        <w:spacing w:line="440" w:lineRule="exact"/>
        <w:ind w:firstLine="3675" w:firstLineChars="1750"/>
        <w:rPr>
          <w:color w:val="auto"/>
          <w:szCs w:val="21"/>
          <w:highlight w:val="none"/>
        </w:rPr>
      </w:pPr>
      <w:r>
        <w:rPr>
          <w:rFonts w:hint="eastAsia"/>
          <w:color w:val="auto"/>
          <w:szCs w:val="21"/>
          <w:highlight w:val="none"/>
        </w:rPr>
        <w:t>传真：</w:t>
      </w:r>
      <w:r>
        <w:rPr>
          <w:color w:val="auto"/>
          <w:szCs w:val="21"/>
          <w:highlight w:val="none"/>
          <w:u w:val="single"/>
        </w:rPr>
        <w:t xml:space="preserve">                                     </w:t>
      </w:r>
    </w:p>
    <w:p w14:paraId="21D44EA4">
      <w:pPr>
        <w:spacing w:line="440" w:lineRule="exact"/>
        <w:ind w:firstLine="3675" w:firstLineChars="1750"/>
        <w:rPr>
          <w:color w:val="auto"/>
          <w:szCs w:val="21"/>
          <w:highlight w:val="none"/>
        </w:rPr>
      </w:pPr>
      <w:r>
        <w:rPr>
          <w:rFonts w:hint="eastAsia"/>
          <w:color w:val="auto"/>
          <w:szCs w:val="21"/>
          <w:highlight w:val="none"/>
        </w:rPr>
        <w:t>邮政编码：</w:t>
      </w:r>
      <w:r>
        <w:rPr>
          <w:color w:val="auto"/>
          <w:szCs w:val="21"/>
          <w:highlight w:val="none"/>
          <w:u w:val="single"/>
        </w:rPr>
        <w:t xml:space="preserve">                                 </w:t>
      </w:r>
    </w:p>
    <w:p w14:paraId="3538E3E1">
      <w:pPr>
        <w:spacing w:line="440" w:lineRule="exact"/>
        <w:ind w:firstLine="5040" w:firstLineChars="2400"/>
        <w:rPr>
          <w:color w:val="auto"/>
          <w:szCs w:val="21"/>
          <w:highlight w:val="none"/>
        </w:rPr>
      </w:pP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74A41162">
      <w:pPr>
        <w:spacing w:line="400" w:lineRule="exact"/>
        <w:ind w:left="630" w:hanging="630" w:hangingChars="300"/>
        <w:rPr>
          <w:rFonts w:ascii="宋体" w:hAnsi="宋体"/>
          <w:color w:val="auto"/>
          <w:szCs w:val="21"/>
          <w:highlight w:val="none"/>
        </w:rPr>
      </w:pPr>
      <w:r>
        <w:rPr>
          <w:rFonts w:hint="eastAsia" w:ascii="宋体" w:hAnsi="宋体"/>
          <w:color w:val="auto"/>
          <w:szCs w:val="21"/>
          <w:highlight w:val="none"/>
        </w:rPr>
        <w:t>备注：项目经理如是注册类执业资格，证书名称填写 专业类别 级别 注册建造师，其证书编号应填写注册执业证书编号。如是职称证书，证书名称填写专业类别 级别 工程师,其证书编号应填写职称证书编号。</w:t>
      </w:r>
    </w:p>
    <w:p w14:paraId="3E1CFEA1">
      <w:pPr>
        <w:pStyle w:val="33"/>
        <w:jc w:val="center"/>
        <w:rPr>
          <w:rFonts w:hint="eastAsia" w:ascii="Times New Roman" w:hAnsi="Times New Roman"/>
          <w:color w:val="auto"/>
          <w:sz w:val="28"/>
          <w:szCs w:val="28"/>
          <w:highlight w:val="none"/>
        </w:rPr>
      </w:pPr>
      <w:bookmarkStart w:id="2441" w:name="_Toc28532408"/>
      <w:bookmarkStart w:id="2442" w:name="_Toc24632"/>
      <w:r>
        <w:rPr>
          <w:rFonts w:hint="eastAsia"/>
          <w:color w:val="auto"/>
          <w:sz w:val="28"/>
          <w:szCs w:val="28"/>
          <w:highlight w:val="none"/>
        </w:rPr>
        <w:t>（二）投标函附录</w:t>
      </w:r>
      <w:bookmarkEnd w:id="2441"/>
      <w:bookmarkEnd w:id="2442"/>
    </w:p>
    <w:p w14:paraId="071530AA">
      <w:pPr>
        <w:rPr>
          <w:rFonts w:ascii="宋体" w:hAnsi="宋体"/>
          <w:b/>
          <w:color w:val="auto"/>
          <w:szCs w:val="21"/>
          <w:highlight w:val="none"/>
        </w:rPr>
      </w:pPr>
    </w:p>
    <w:p w14:paraId="472EE4AA">
      <w:pPr>
        <w:rPr>
          <w:rFonts w:hint="eastAsia" w:ascii="宋体" w:hAnsi="宋体"/>
          <w:color w:val="auto"/>
          <w:szCs w:val="21"/>
          <w:highlight w:val="none"/>
        </w:rPr>
      </w:pPr>
      <w:r>
        <w:rPr>
          <w:rFonts w:hint="eastAsia" w:ascii="宋体" w:hAnsi="宋体"/>
          <w:b/>
          <w:color w:val="auto"/>
          <w:szCs w:val="21"/>
          <w:highlight w:val="none"/>
        </w:rPr>
        <w:t>工程名称：</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color w:val="auto"/>
          <w:highlight w:val="none"/>
        </w:rPr>
        <w:t>（标段名称）</w:t>
      </w:r>
    </w:p>
    <w:p w14:paraId="0910DA18">
      <w:pPr>
        <w:rPr>
          <w:rFonts w:hint="eastAsia" w:ascii="宋体" w:hAnsi="宋体"/>
          <w:color w:val="auto"/>
          <w:szCs w:val="21"/>
          <w:highlight w:val="none"/>
        </w:rPr>
      </w:pPr>
    </w:p>
    <w:tbl>
      <w:tblPr>
        <w:tblStyle w:val="15"/>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700"/>
        <w:gridCol w:w="1440"/>
        <w:gridCol w:w="3780"/>
        <w:gridCol w:w="720"/>
      </w:tblGrid>
      <w:tr w14:paraId="3D2B9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1C72217">
            <w:pPr>
              <w:jc w:val="center"/>
              <w:rPr>
                <w:rFonts w:ascii="宋体" w:hAnsi="宋体"/>
                <w:color w:val="auto"/>
                <w:szCs w:val="21"/>
                <w:highlight w:val="none"/>
              </w:rPr>
            </w:pPr>
            <w:r>
              <w:rPr>
                <w:rFonts w:hint="eastAsia" w:ascii="宋体" w:hAnsi="宋体"/>
                <w:color w:val="auto"/>
                <w:szCs w:val="21"/>
                <w:highlight w:val="none"/>
              </w:rPr>
              <w:t>序号</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56097E30">
            <w:pPr>
              <w:jc w:val="center"/>
              <w:rPr>
                <w:rFonts w:ascii="宋体" w:hAnsi="宋体"/>
                <w:color w:val="auto"/>
                <w:szCs w:val="21"/>
                <w:highlight w:val="none"/>
              </w:rPr>
            </w:pPr>
            <w:r>
              <w:rPr>
                <w:rFonts w:hint="eastAsia" w:ascii="宋体" w:hAnsi="宋体"/>
                <w:color w:val="auto"/>
                <w:szCs w:val="21"/>
                <w:highlight w:val="none"/>
              </w:rPr>
              <w:t>条款内容</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784A3662">
            <w:pPr>
              <w:jc w:val="center"/>
              <w:rPr>
                <w:rFonts w:ascii="宋体" w:hAnsi="宋体"/>
                <w:color w:val="auto"/>
                <w:szCs w:val="21"/>
                <w:highlight w:val="none"/>
              </w:rPr>
            </w:pPr>
            <w:r>
              <w:rPr>
                <w:rFonts w:hint="eastAsia" w:ascii="宋体" w:hAnsi="宋体"/>
                <w:color w:val="auto"/>
                <w:szCs w:val="21"/>
                <w:highlight w:val="none"/>
              </w:rPr>
              <w:t>合同条款号</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2DA497EA">
            <w:pPr>
              <w:jc w:val="center"/>
              <w:rPr>
                <w:rFonts w:ascii="宋体" w:hAnsi="宋体"/>
                <w:color w:val="auto"/>
                <w:szCs w:val="21"/>
                <w:highlight w:val="none"/>
              </w:rPr>
            </w:pPr>
            <w:r>
              <w:rPr>
                <w:rFonts w:hint="eastAsia" w:ascii="宋体" w:hAnsi="宋体"/>
                <w:color w:val="auto"/>
                <w:szCs w:val="21"/>
                <w:highlight w:val="none"/>
              </w:rPr>
              <w:t>约定内容</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61AFEF1E">
            <w:pPr>
              <w:jc w:val="center"/>
              <w:rPr>
                <w:rFonts w:ascii="宋体" w:hAnsi="宋体"/>
                <w:color w:val="auto"/>
                <w:szCs w:val="21"/>
                <w:highlight w:val="none"/>
              </w:rPr>
            </w:pPr>
            <w:r>
              <w:rPr>
                <w:rFonts w:hint="eastAsia" w:ascii="宋体" w:hAnsi="宋体"/>
                <w:color w:val="auto"/>
                <w:szCs w:val="21"/>
                <w:highlight w:val="none"/>
              </w:rPr>
              <w:t>备注</w:t>
            </w:r>
          </w:p>
        </w:tc>
      </w:tr>
      <w:tr w14:paraId="5995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D841C0D">
            <w:pPr>
              <w:jc w:val="center"/>
              <w:rPr>
                <w:rFonts w:ascii="黑体" w:hAnsi="宋体" w:eastAsia="黑体"/>
                <w:color w:val="auto"/>
                <w:szCs w:val="21"/>
                <w:highlight w:val="none"/>
              </w:rPr>
            </w:pPr>
            <w:r>
              <w:rPr>
                <w:rFonts w:hint="eastAsia" w:ascii="黑体" w:hAnsi="宋体" w:eastAsia="黑体"/>
                <w:color w:val="auto"/>
                <w:szCs w:val="21"/>
                <w:highlight w:val="none"/>
              </w:rPr>
              <w:t>1</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07778231">
            <w:pPr>
              <w:rPr>
                <w:rFonts w:ascii="宋体" w:hAnsi="宋体"/>
                <w:color w:val="auto"/>
                <w:szCs w:val="21"/>
                <w:highlight w:val="none"/>
              </w:rPr>
            </w:pPr>
            <w:r>
              <w:rPr>
                <w:rFonts w:hint="eastAsia" w:ascii="宋体" w:hAnsi="宋体"/>
                <w:color w:val="auto"/>
                <w:szCs w:val="21"/>
                <w:highlight w:val="none"/>
              </w:rPr>
              <w:t>项目经理</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70A2CF6">
            <w:pPr>
              <w:autoSpaceDE w:val="0"/>
              <w:autoSpaceDN w:val="0"/>
              <w:adjustRightInd w:val="0"/>
              <w:spacing w:before="50"/>
              <w:rPr>
                <w:rFonts w:ascii="宋体" w:hAnsi="宋体" w:cs="Arial"/>
                <w:color w:val="auto"/>
                <w:kern w:val="0"/>
                <w:szCs w:val="21"/>
                <w:highlight w:val="none"/>
              </w:rPr>
            </w:pPr>
            <w:r>
              <w:rPr>
                <w:rFonts w:hint="eastAsia" w:ascii="宋体" w:hAnsi="宋体"/>
                <w:color w:val="auto"/>
                <w:szCs w:val="21"/>
                <w:highlight w:val="none"/>
              </w:rPr>
              <w:t>1.1.2.4</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51EB669E">
            <w:pPr>
              <w:rPr>
                <w:rFonts w:ascii="宋体" w:hAnsi="宋体"/>
                <w:color w:val="auto"/>
                <w:szCs w:val="21"/>
                <w:highlight w:val="none"/>
              </w:rPr>
            </w:pPr>
            <w:r>
              <w:rPr>
                <w:rFonts w:hint="eastAsia" w:ascii="宋体" w:hAnsi="宋体"/>
                <w:color w:val="auto"/>
                <w:szCs w:val="21"/>
                <w:highlight w:val="none"/>
              </w:rPr>
              <w:t>（见投标函）</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C7C9352">
            <w:pPr>
              <w:jc w:val="center"/>
              <w:rPr>
                <w:rFonts w:ascii="宋体" w:hAnsi="宋体"/>
                <w:color w:val="auto"/>
                <w:szCs w:val="21"/>
                <w:highlight w:val="none"/>
              </w:rPr>
            </w:pPr>
          </w:p>
        </w:tc>
      </w:tr>
      <w:tr w14:paraId="7EDC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34B4048">
            <w:pPr>
              <w:jc w:val="center"/>
              <w:rPr>
                <w:rFonts w:ascii="黑体" w:hAnsi="宋体" w:eastAsia="黑体"/>
                <w:color w:val="auto"/>
                <w:szCs w:val="21"/>
                <w:highlight w:val="none"/>
              </w:rPr>
            </w:pPr>
            <w:r>
              <w:rPr>
                <w:rFonts w:hint="eastAsia" w:ascii="黑体" w:hAnsi="宋体" w:eastAsia="黑体"/>
                <w:color w:val="auto"/>
                <w:szCs w:val="21"/>
                <w:highlight w:val="none"/>
              </w:rPr>
              <w:t>2</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7F4C44C2">
            <w:pPr>
              <w:rPr>
                <w:rFonts w:ascii="宋体" w:hAnsi="宋体"/>
                <w:color w:val="auto"/>
                <w:szCs w:val="21"/>
                <w:highlight w:val="none"/>
              </w:rPr>
            </w:pPr>
            <w:r>
              <w:rPr>
                <w:rFonts w:hint="eastAsia" w:ascii="宋体" w:hAnsi="宋体" w:cs="Arial"/>
                <w:color w:val="auto"/>
                <w:kern w:val="0"/>
                <w:szCs w:val="21"/>
                <w:highlight w:val="none"/>
              </w:rPr>
              <w:t>工期</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D0383DE">
            <w:pPr>
              <w:autoSpaceDE w:val="0"/>
              <w:autoSpaceDN w:val="0"/>
              <w:adjustRightInd w:val="0"/>
              <w:spacing w:before="72" w:beforeLines="30"/>
              <w:rPr>
                <w:rFonts w:ascii="宋体" w:hAnsi="宋体" w:cs="Arial"/>
                <w:bCs/>
                <w:color w:val="auto"/>
                <w:kern w:val="0"/>
                <w:szCs w:val="21"/>
                <w:highlight w:val="none"/>
              </w:rPr>
            </w:pPr>
            <w:r>
              <w:rPr>
                <w:rFonts w:hint="eastAsia" w:ascii="宋体" w:hAnsi="宋体" w:cs="Arial"/>
                <w:bCs/>
                <w:color w:val="auto"/>
                <w:kern w:val="0"/>
                <w:szCs w:val="21"/>
                <w:highlight w:val="none"/>
              </w:rPr>
              <w:t>1.1.4.3</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17507B9A">
            <w:pPr>
              <w:rPr>
                <w:rFonts w:ascii="宋体" w:hAnsi="宋体"/>
                <w:color w:val="auto"/>
                <w:szCs w:val="21"/>
                <w:highlight w:val="none"/>
              </w:rPr>
            </w:pPr>
            <w:r>
              <w:rPr>
                <w:rFonts w:hint="eastAsia" w:ascii="宋体" w:hAnsi="宋体"/>
                <w:color w:val="auto"/>
                <w:szCs w:val="21"/>
                <w:highlight w:val="none"/>
              </w:rPr>
              <w:t>（见投标函）</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53EECD24">
            <w:pPr>
              <w:jc w:val="center"/>
              <w:rPr>
                <w:rFonts w:ascii="宋体" w:hAnsi="宋体"/>
                <w:color w:val="auto"/>
                <w:szCs w:val="21"/>
                <w:highlight w:val="none"/>
              </w:rPr>
            </w:pPr>
          </w:p>
        </w:tc>
      </w:tr>
      <w:tr w14:paraId="7F21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6A397C3">
            <w:pPr>
              <w:jc w:val="center"/>
              <w:rPr>
                <w:rFonts w:ascii="黑体" w:hAnsi="宋体" w:eastAsia="黑体"/>
                <w:color w:val="auto"/>
                <w:szCs w:val="21"/>
                <w:highlight w:val="none"/>
              </w:rPr>
            </w:pPr>
            <w:r>
              <w:rPr>
                <w:rFonts w:hint="eastAsia" w:ascii="黑体" w:hAnsi="宋体" w:eastAsia="黑体"/>
                <w:color w:val="auto"/>
                <w:szCs w:val="21"/>
                <w:highlight w:val="none"/>
              </w:rPr>
              <w:t>3</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633FE6C2">
            <w:pPr>
              <w:rPr>
                <w:rFonts w:ascii="宋体" w:hAnsi="宋体"/>
                <w:color w:val="auto"/>
                <w:szCs w:val="21"/>
                <w:highlight w:val="none"/>
              </w:rPr>
            </w:pPr>
            <w:r>
              <w:rPr>
                <w:rFonts w:hint="eastAsia" w:ascii="宋体" w:hAnsi="宋体"/>
                <w:color w:val="auto"/>
                <w:szCs w:val="21"/>
                <w:highlight w:val="none"/>
              </w:rPr>
              <w:t>缺陷责任期</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35328C6D">
            <w:pPr>
              <w:rPr>
                <w:rFonts w:ascii="宋体" w:hAnsi="宋体"/>
                <w:color w:val="auto"/>
                <w:szCs w:val="21"/>
                <w:highlight w:val="none"/>
              </w:rPr>
            </w:pPr>
            <w:r>
              <w:rPr>
                <w:rFonts w:hint="eastAsia" w:ascii="宋体" w:hAnsi="宋体"/>
                <w:color w:val="auto"/>
                <w:szCs w:val="21"/>
                <w:highlight w:val="none"/>
              </w:rPr>
              <w:t>1.1.4.5</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7B03708A">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5D311FBF">
            <w:pPr>
              <w:jc w:val="center"/>
              <w:rPr>
                <w:rFonts w:ascii="宋体" w:hAnsi="宋体"/>
                <w:color w:val="auto"/>
                <w:szCs w:val="21"/>
                <w:highlight w:val="none"/>
              </w:rPr>
            </w:pPr>
          </w:p>
        </w:tc>
      </w:tr>
      <w:tr w14:paraId="3AA7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5508818">
            <w:pPr>
              <w:jc w:val="center"/>
              <w:rPr>
                <w:rFonts w:ascii="黑体" w:hAnsi="宋体" w:eastAsia="黑体"/>
                <w:color w:val="auto"/>
                <w:szCs w:val="21"/>
                <w:highlight w:val="none"/>
              </w:rPr>
            </w:pPr>
            <w:r>
              <w:rPr>
                <w:rFonts w:hint="eastAsia" w:ascii="黑体" w:hAnsi="宋体" w:eastAsia="黑体"/>
                <w:color w:val="auto"/>
                <w:szCs w:val="21"/>
                <w:highlight w:val="none"/>
              </w:rPr>
              <w:t>4</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76F94E53">
            <w:pPr>
              <w:rPr>
                <w:rFonts w:ascii="宋体" w:hAnsi="宋体"/>
                <w:color w:val="auto"/>
                <w:szCs w:val="21"/>
                <w:highlight w:val="none"/>
              </w:rPr>
            </w:pPr>
            <w:r>
              <w:rPr>
                <w:rFonts w:hint="eastAsia" w:ascii="宋体" w:hAnsi="宋体"/>
                <w:color w:val="auto"/>
                <w:szCs w:val="21"/>
                <w:highlight w:val="none"/>
              </w:rPr>
              <w:t>承包人履约担保金额</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4394D846">
            <w:pPr>
              <w:rPr>
                <w:rFonts w:ascii="宋体" w:hAnsi="宋体"/>
                <w:color w:val="auto"/>
                <w:szCs w:val="21"/>
                <w:highlight w:val="none"/>
              </w:rPr>
            </w:pPr>
            <w:r>
              <w:rPr>
                <w:rFonts w:hint="eastAsia" w:ascii="宋体" w:hAnsi="宋体"/>
                <w:color w:val="auto"/>
                <w:szCs w:val="21"/>
                <w:highlight w:val="none"/>
              </w:rPr>
              <w:t>4.2</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29B09750">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2785FA81">
            <w:pPr>
              <w:jc w:val="center"/>
              <w:rPr>
                <w:rFonts w:ascii="宋体" w:hAnsi="宋体"/>
                <w:color w:val="auto"/>
                <w:szCs w:val="21"/>
                <w:highlight w:val="none"/>
              </w:rPr>
            </w:pPr>
          </w:p>
        </w:tc>
      </w:tr>
      <w:tr w14:paraId="44C3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CA3E1D3">
            <w:pPr>
              <w:jc w:val="center"/>
              <w:rPr>
                <w:rFonts w:ascii="黑体" w:hAnsi="宋体" w:eastAsia="黑体"/>
                <w:color w:val="auto"/>
                <w:szCs w:val="21"/>
                <w:highlight w:val="none"/>
              </w:rPr>
            </w:pPr>
            <w:r>
              <w:rPr>
                <w:rFonts w:hint="eastAsia" w:ascii="黑体" w:hAnsi="宋体" w:eastAsia="黑体"/>
                <w:color w:val="auto"/>
                <w:szCs w:val="21"/>
                <w:highlight w:val="none"/>
              </w:rPr>
              <w:t>5</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564E286F">
            <w:pPr>
              <w:rPr>
                <w:rFonts w:ascii="宋体" w:hAnsi="宋体"/>
                <w:color w:val="auto"/>
                <w:szCs w:val="21"/>
                <w:highlight w:val="none"/>
              </w:rPr>
            </w:pPr>
            <w:r>
              <w:rPr>
                <w:rFonts w:hint="eastAsia" w:ascii="宋体" w:hAnsi="宋体"/>
                <w:color w:val="auto"/>
                <w:szCs w:val="21"/>
                <w:highlight w:val="none"/>
              </w:rPr>
              <w:t>分包</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3EA0675E">
            <w:pPr>
              <w:rPr>
                <w:rFonts w:ascii="宋体" w:hAnsi="宋体"/>
                <w:color w:val="auto"/>
                <w:szCs w:val="21"/>
                <w:highlight w:val="none"/>
              </w:rPr>
            </w:pPr>
            <w:r>
              <w:rPr>
                <w:rFonts w:hint="eastAsia" w:ascii="宋体" w:hAnsi="宋体"/>
                <w:color w:val="auto"/>
                <w:szCs w:val="21"/>
                <w:highlight w:val="none"/>
              </w:rPr>
              <w:t>4.3.4</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44CF2EB5">
            <w:pPr>
              <w:rPr>
                <w:rFonts w:ascii="宋体" w:hAnsi="宋体"/>
                <w:color w:val="auto"/>
                <w:szCs w:val="21"/>
                <w:highlight w:val="none"/>
              </w:rPr>
            </w:pPr>
            <w:r>
              <w:rPr>
                <w:rFonts w:hint="eastAsia" w:ascii="宋体" w:hAnsi="宋体"/>
                <w:color w:val="auto"/>
                <w:szCs w:val="21"/>
                <w:highlight w:val="none"/>
              </w:rPr>
              <w:t>见</w:t>
            </w:r>
            <w:r>
              <w:rPr>
                <w:rFonts w:hint="eastAsia"/>
                <w:color w:val="auto"/>
                <w:highlight w:val="none"/>
              </w:rPr>
              <w:t>拟分包计划表</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7CC5C685">
            <w:pPr>
              <w:jc w:val="center"/>
              <w:rPr>
                <w:rFonts w:ascii="宋体" w:hAnsi="宋体"/>
                <w:color w:val="auto"/>
                <w:szCs w:val="21"/>
                <w:highlight w:val="none"/>
              </w:rPr>
            </w:pPr>
          </w:p>
        </w:tc>
      </w:tr>
      <w:tr w14:paraId="51CC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425C818">
            <w:pPr>
              <w:jc w:val="center"/>
              <w:rPr>
                <w:rFonts w:ascii="黑体" w:hAnsi="宋体" w:eastAsia="黑体"/>
                <w:color w:val="auto"/>
                <w:szCs w:val="21"/>
                <w:highlight w:val="none"/>
              </w:rPr>
            </w:pPr>
            <w:r>
              <w:rPr>
                <w:rFonts w:hint="eastAsia" w:ascii="黑体" w:hAnsi="宋体" w:eastAsia="黑体"/>
                <w:color w:val="auto"/>
                <w:szCs w:val="21"/>
                <w:highlight w:val="none"/>
              </w:rPr>
              <w:t>6</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15B9EFA7">
            <w:pPr>
              <w:rPr>
                <w:rFonts w:ascii="宋体" w:hAnsi="宋体"/>
                <w:color w:val="auto"/>
                <w:szCs w:val="21"/>
                <w:highlight w:val="none"/>
              </w:rPr>
            </w:pPr>
            <w:r>
              <w:rPr>
                <w:rFonts w:hint="eastAsia" w:ascii="宋体" w:hAnsi="宋体"/>
                <w:color w:val="auto"/>
                <w:szCs w:val="21"/>
                <w:highlight w:val="none"/>
              </w:rPr>
              <w:t>逾期竣工违约金</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6F81FDC1">
            <w:pPr>
              <w:rPr>
                <w:rFonts w:ascii="宋体" w:hAnsi="宋体"/>
                <w:color w:val="auto"/>
                <w:szCs w:val="21"/>
                <w:highlight w:val="none"/>
              </w:rPr>
            </w:pPr>
            <w:r>
              <w:rPr>
                <w:rFonts w:hint="eastAsia" w:ascii="宋体" w:hAnsi="宋体"/>
                <w:color w:val="auto"/>
                <w:szCs w:val="21"/>
                <w:highlight w:val="none"/>
              </w:rPr>
              <w:t>11.5</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409E33C1">
            <w:pPr>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元/天</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3C713356">
            <w:pPr>
              <w:jc w:val="center"/>
              <w:rPr>
                <w:rFonts w:ascii="宋体" w:hAnsi="宋体"/>
                <w:color w:val="auto"/>
                <w:szCs w:val="21"/>
                <w:highlight w:val="none"/>
              </w:rPr>
            </w:pPr>
          </w:p>
        </w:tc>
      </w:tr>
      <w:tr w14:paraId="2BD3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A0B6047">
            <w:pPr>
              <w:jc w:val="center"/>
              <w:rPr>
                <w:rFonts w:ascii="黑体" w:hAnsi="宋体" w:eastAsia="黑体"/>
                <w:color w:val="auto"/>
                <w:szCs w:val="21"/>
                <w:highlight w:val="none"/>
              </w:rPr>
            </w:pPr>
            <w:r>
              <w:rPr>
                <w:rFonts w:hint="eastAsia" w:ascii="黑体" w:hAnsi="宋体" w:eastAsia="黑体"/>
                <w:color w:val="auto"/>
                <w:szCs w:val="21"/>
                <w:highlight w:val="none"/>
              </w:rPr>
              <w:t>7</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56DC9610">
            <w:pPr>
              <w:rPr>
                <w:rFonts w:ascii="宋体" w:hAnsi="宋体"/>
                <w:color w:val="auto"/>
                <w:szCs w:val="21"/>
                <w:highlight w:val="none"/>
              </w:rPr>
            </w:pPr>
            <w:r>
              <w:rPr>
                <w:rFonts w:hint="eastAsia" w:ascii="宋体" w:hAnsi="宋体"/>
                <w:color w:val="auto"/>
                <w:szCs w:val="21"/>
                <w:highlight w:val="none"/>
              </w:rPr>
              <w:t>逾期竣工违约金最高限额</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2D888C6E">
            <w:pPr>
              <w:rPr>
                <w:rFonts w:ascii="宋体" w:hAnsi="宋体"/>
                <w:color w:val="auto"/>
                <w:szCs w:val="21"/>
                <w:highlight w:val="none"/>
              </w:rPr>
            </w:pPr>
            <w:r>
              <w:rPr>
                <w:rFonts w:hint="eastAsia" w:ascii="宋体" w:hAnsi="宋体"/>
                <w:color w:val="auto"/>
                <w:szCs w:val="21"/>
                <w:highlight w:val="none"/>
              </w:rPr>
              <w:t>11.5</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59CD59B1">
            <w:pPr>
              <w:rPr>
                <w:rFonts w:ascii="宋体" w:hAnsi="宋体"/>
                <w:color w:val="auto"/>
                <w:szCs w:val="21"/>
                <w:highlight w:val="none"/>
              </w:rPr>
            </w:pPr>
            <w:r>
              <w:rPr>
                <w:rFonts w:hint="eastAsia" w:ascii="宋体" w:hAnsi="宋体"/>
                <w:color w:val="auto"/>
                <w:szCs w:val="21"/>
                <w:highlight w:val="none"/>
                <w:u w:val="single"/>
              </w:rPr>
              <w:t xml:space="preserve">             </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58839762">
            <w:pPr>
              <w:jc w:val="center"/>
              <w:rPr>
                <w:rFonts w:ascii="宋体" w:hAnsi="宋体"/>
                <w:color w:val="auto"/>
                <w:szCs w:val="21"/>
                <w:highlight w:val="none"/>
              </w:rPr>
            </w:pPr>
          </w:p>
        </w:tc>
      </w:tr>
      <w:tr w14:paraId="5E46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F582CE8">
            <w:pPr>
              <w:jc w:val="center"/>
              <w:rPr>
                <w:rFonts w:ascii="黑体" w:hAnsi="宋体" w:eastAsia="黑体"/>
                <w:color w:val="auto"/>
                <w:szCs w:val="21"/>
                <w:highlight w:val="none"/>
              </w:rPr>
            </w:pPr>
            <w:r>
              <w:rPr>
                <w:rFonts w:hint="eastAsia" w:ascii="黑体" w:hAnsi="宋体" w:eastAsia="黑体"/>
                <w:color w:val="auto"/>
                <w:szCs w:val="21"/>
                <w:highlight w:val="none"/>
              </w:rPr>
              <w:t>8</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31E26D10">
            <w:pPr>
              <w:rPr>
                <w:rFonts w:ascii="宋体" w:hAnsi="宋体"/>
                <w:color w:val="auto"/>
                <w:szCs w:val="21"/>
                <w:highlight w:val="none"/>
              </w:rPr>
            </w:pPr>
            <w:r>
              <w:rPr>
                <w:rFonts w:hint="eastAsia" w:ascii="宋体" w:hAnsi="宋体"/>
                <w:color w:val="auto"/>
                <w:szCs w:val="21"/>
                <w:highlight w:val="none"/>
              </w:rPr>
              <w:t>质量标准</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263297FE">
            <w:pPr>
              <w:rPr>
                <w:rFonts w:ascii="宋体" w:hAnsi="宋体"/>
                <w:color w:val="auto"/>
                <w:szCs w:val="21"/>
                <w:highlight w:val="none"/>
              </w:rPr>
            </w:pPr>
            <w:r>
              <w:rPr>
                <w:rFonts w:hint="eastAsia" w:ascii="宋体" w:hAnsi="宋体"/>
                <w:color w:val="auto"/>
                <w:szCs w:val="21"/>
                <w:highlight w:val="none"/>
              </w:rPr>
              <w:t>13.1</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314A7CCF">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77082417">
            <w:pPr>
              <w:jc w:val="center"/>
              <w:rPr>
                <w:rFonts w:ascii="宋体" w:hAnsi="宋体"/>
                <w:color w:val="auto"/>
                <w:szCs w:val="21"/>
                <w:highlight w:val="none"/>
              </w:rPr>
            </w:pPr>
          </w:p>
        </w:tc>
      </w:tr>
      <w:tr w14:paraId="05DA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409A367">
            <w:pPr>
              <w:jc w:val="center"/>
              <w:rPr>
                <w:rFonts w:ascii="黑体" w:hAnsi="宋体" w:eastAsia="黑体"/>
                <w:color w:val="auto"/>
                <w:szCs w:val="21"/>
                <w:highlight w:val="none"/>
              </w:rPr>
            </w:pPr>
            <w:r>
              <w:rPr>
                <w:rFonts w:hint="eastAsia" w:ascii="黑体" w:hAnsi="宋体" w:eastAsia="黑体"/>
                <w:color w:val="auto"/>
                <w:szCs w:val="21"/>
                <w:highlight w:val="none"/>
              </w:rPr>
              <w:t>9</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073E3DF3">
            <w:pPr>
              <w:rPr>
                <w:rFonts w:ascii="宋体" w:hAnsi="宋体"/>
                <w:color w:val="auto"/>
                <w:szCs w:val="21"/>
                <w:highlight w:val="none"/>
              </w:rPr>
            </w:pPr>
            <w:r>
              <w:rPr>
                <w:rFonts w:hint="eastAsia" w:ascii="宋体" w:hAnsi="宋体"/>
                <w:color w:val="auto"/>
                <w:szCs w:val="21"/>
                <w:highlight w:val="none"/>
              </w:rPr>
              <w:t>价格调整的差额计算</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75CC9A4B">
            <w:pPr>
              <w:rPr>
                <w:rFonts w:ascii="宋体" w:hAnsi="宋体"/>
                <w:color w:val="auto"/>
                <w:szCs w:val="21"/>
                <w:highlight w:val="none"/>
              </w:rPr>
            </w:pPr>
            <w:r>
              <w:rPr>
                <w:rFonts w:hint="eastAsia" w:ascii="宋体" w:hAnsi="宋体"/>
                <w:color w:val="auto"/>
                <w:szCs w:val="21"/>
                <w:highlight w:val="none"/>
              </w:rPr>
              <w:t>16.1.1</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1B2F241E">
            <w:pPr>
              <w:rPr>
                <w:rFonts w:ascii="宋体" w:hAnsi="宋体"/>
                <w:color w:val="auto"/>
                <w:szCs w:val="21"/>
                <w:highlight w:val="none"/>
              </w:rPr>
            </w:pPr>
            <w:r>
              <w:rPr>
                <w:rFonts w:hint="eastAsia" w:ascii="宋体" w:hAnsi="宋体"/>
                <w:color w:val="auto"/>
                <w:szCs w:val="21"/>
                <w:highlight w:val="none"/>
              </w:rPr>
              <w:t>见价格指数权重表</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42DEE0E7">
            <w:pPr>
              <w:jc w:val="center"/>
              <w:rPr>
                <w:rFonts w:ascii="宋体" w:hAnsi="宋体"/>
                <w:color w:val="auto"/>
                <w:szCs w:val="21"/>
                <w:highlight w:val="none"/>
              </w:rPr>
            </w:pPr>
          </w:p>
        </w:tc>
      </w:tr>
      <w:tr w14:paraId="090C0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D848301">
            <w:pPr>
              <w:jc w:val="center"/>
              <w:rPr>
                <w:rFonts w:ascii="黑体" w:hAnsi="宋体" w:eastAsia="黑体"/>
                <w:color w:val="auto"/>
                <w:szCs w:val="21"/>
                <w:highlight w:val="none"/>
              </w:rPr>
            </w:pPr>
            <w:r>
              <w:rPr>
                <w:rFonts w:hint="eastAsia" w:ascii="黑体" w:hAnsi="宋体" w:eastAsia="黑体"/>
                <w:color w:val="auto"/>
                <w:szCs w:val="21"/>
                <w:highlight w:val="none"/>
              </w:rPr>
              <w:t>10</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33332F9A">
            <w:pPr>
              <w:rPr>
                <w:rFonts w:ascii="宋体" w:hAnsi="宋体"/>
                <w:color w:val="auto"/>
                <w:szCs w:val="21"/>
                <w:highlight w:val="none"/>
              </w:rPr>
            </w:pPr>
            <w:r>
              <w:rPr>
                <w:rFonts w:hint="eastAsia" w:ascii="宋体" w:hAnsi="宋体"/>
                <w:color w:val="auto"/>
                <w:szCs w:val="21"/>
                <w:highlight w:val="none"/>
              </w:rPr>
              <w:t>预付款额度</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51B833ED">
            <w:pPr>
              <w:rPr>
                <w:rFonts w:ascii="宋体" w:hAnsi="宋体"/>
                <w:color w:val="auto"/>
                <w:szCs w:val="21"/>
                <w:highlight w:val="none"/>
              </w:rPr>
            </w:pPr>
            <w:r>
              <w:rPr>
                <w:rFonts w:hint="eastAsia" w:ascii="宋体" w:hAnsi="宋体"/>
                <w:color w:val="auto"/>
                <w:szCs w:val="21"/>
                <w:highlight w:val="none"/>
              </w:rPr>
              <w:t>17.2.1</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03DE5206">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6A604BFA">
            <w:pPr>
              <w:jc w:val="center"/>
              <w:rPr>
                <w:rFonts w:ascii="宋体" w:hAnsi="宋体"/>
                <w:color w:val="auto"/>
                <w:szCs w:val="21"/>
                <w:highlight w:val="none"/>
              </w:rPr>
            </w:pPr>
          </w:p>
        </w:tc>
      </w:tr>
      <w:tr w14:paraId="7393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BECFA81">
            <w:pPr>
              <w:jc w:val="center"/>
              <w:rPr>
                <w:rFonts w:ascii="宋体" w:hAnsi="宋体"/>
                <w:color w:val="auto"/>
                <w:szCs w:val="21"/>
                <w:highlight w:val="none"/>
              </w:rPr>
            </w:pPr>
            <w:r>
              <w:rPr>
                <w:rFonts w:hint="eastAsia" w:ascii="宋体" w:hAnsi="宋体"/>
                <w:color w:val="auto"/>
                <w:szCs w:val="21"/>
                <w:highlight w:val="none"/>
              </w:rPr>
              <w:t>11</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639B26DF">
            <w:pPr>
              <w:rPr>
                <w:rFonts w:ascii="宋体" w:hAnsi="宋体"/>
                <w:color w:val="auto"/>
                <w:szCs w:val="21"/>
                <w:highlight w:val="none"/>
              </w:rPr>
            </w:pPr>
            <w:r>
              <w:rPr>
                <w:rFonts w:hint="eastAsia" w:ascii="宋体" w:hAnsi="宋体"/>
                <w:color w:val="auto"/>
                <w:szCs w:val="21"/>
                <w:highlight w:val="none"/>
              </w:rPr>
              <w:t>预付款保函金额</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778167C4">
            <w:pPr>
              <w:rPr>
                <w:rFonts w:ascii="宋体" w:hAnsi="宋体"/>
                <w:color w:val="auto"/>
                <w:szCs w:val="21"/>
                <w:highlight w:val="none"/>
              </w:rPr>
            </w:pPr>
            <w:r>
              <w:rPr>
                <w:rFonts w:hint="eastAsia" w:ascii="宋体" w:hAnsi="宋体"/>
                <w:color w:val="auto"/>
                <w:szCs w:val="21"/>
                <w:highlight w:val="none"/>
              </w:rPr>
              <w:t>17.2.2</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3F8793A5">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3CC14253">
            <w:pPr>
              <w:jc w:val="center"/>
              <w:rPr>
                <w:rFonts w:ascii="宋体" w:hAnsi="宋体"/>
                <w:color w:val="auto"/>
                <w:szCs w:val="21"/>
                <w:highlight w:val="none"/>
              </w:rPr>
            </w:pPr>
          </w:p>
        </w:tc>
      </w:tr>
      <w:tr w14:paraId="1886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1886B0A">
            <w:pPr>
              <w:jc w:val="center"/>
              <w:rPr>
                <w:rFonts w:ascii="黑体" w:hAnsi="宋体" w:eastAsia="黑体"/>
                <w:color w:val="auto"/>
                <w:szCs w:val="21"/>
                <w:highlight w:val="none"/>
              </w:rPr>
            </w:pPr>
            <w:r>
              <w:rPr>
                <w:rFonts w:hint="eastAsia" w:ascii="黑体" w:hAnsi="宋体" w:eastAsia="黑体"/>
                <w:color w:val="auto"/>
                <w:szCs w:val="21"/>
                <w:highlight w:val="none"/>
              </w:rPr>
              <w:t>12</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2CA6535F">
            <w:pPr>
              <w:rPr>
                <w:rFonts w:ascii="宋体" w:hAnsi="宋体"/>
                <w:color w:val="auto"/>
                <w:szCs w:val="21"/>
                <w:highlight w:val="none"/>
              </w:rPr>
            </w:pPr>
            <w:r>
              <w:rPr>
                <w:rFonts w:hint="eastAsia" w:ascii="宋体" w:hAnsi="宋体"/>
                <w:color w:val="auto"/>
                <w:szCs w:val="21"/>
                <w:highlight w:val="none"/>
              </w:rPr>
              <w:t>质量保证金扣留百分比</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621D0422">
            <w:pPr>
              <w:rPr>
                <w:rFonts w:ascii="宋体" w:hAnsi="宋体"/>
                <w:color w:val="auto"/>
                <w:szCs w:val="21"/>
                <w:highlight w:val="none"/>
              </w:rPr>
            </w:pPr>
            <w:r>
              <w:rPr>
                <w:rFonts w:hint="eastAsia" w:ascii="宋体" w:hAnsi="宋体"/>
                <w:color w:val="auto"/>
                <w:szCs w:val="21"/>
                <w:highlight w:val="none"/>
              </w:rPr>
              <w:t>17.4.1</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1EEFC5AF">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0BF6BB8">
            <w:pPr>
              <w:jc w:val="center"/>
              <w:rPr>
                <w:rFonts w:ascii="宋体" w:hAnsi="宋体"/>
                <w:color w:val="auto"/>
                <w:szCs w:val="21"/>
                <w:highlight w:val="none"/>
              </w:rPr>
            </w:pPr>
          </w:p>
        </w:tc>
      </w:tr>
      <w:tr w14:paraId="7C49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4AD4C1A">
            <w:pPr>
              <w:jc w:val="center"/>
              <w:rPr>
                <w:rFonts w:ascii="宋体" w:hAnsi="宋体"/>
                <w:color w:val="auto"/>
                <w:szCs w:val="21"/>
                <w:highlight w:val="none"/>
              </w:rPr>
            </w:pPr>
            <w:r>
              <w:rPr>
                <w:rFonts w:hint="eastAsia" w:ascii="宋体" w:hAnsi="宋体"/>
                <w:color w:val="auto"/>
                <w:szCs w:val="21"/>
                <w:highlight w:val="none"/>
              </w:rPr>
              <w:t>13</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504C8C7D">
            <w:pPr>
              <w:rPr>
                <w:rFonts w:ascii="宋体" w:hAnsi="宋体"/>
                <w:color w:val="auto"/>
                <w:szCs w:val="21"/>
                <w:highlight w:val="none"/>
              </w:rPr>
            </w:pPr>
            <w:r>
              <w:rPr>
                <w:rFonts w:hint="eastAsia" w:ascii="宋体" w:hAnsi="宋体"/>
                <w:color w:val="auto"/>
                <w:szCs w:val="21"/>
                <w:highlight w:val="none"/>
              </w:rPr>
              <w:t>质量保证金额度</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03F74859">
            <w:pPr>
              <w:rPr>
                <w:rFonts w:ascii="宋体" w:hAnsi="宋体"/>
                <w:color w:val="auto"/>
                <w:szCs w:val="21"/>
                <w:highlight w:val="none"/>
              </w:rPr>
            </w:pPr>
            <w:r>
              <w:rPr>
                <w:rFonts w:hint="eastAsia" w:ascii="宋体" w:hAnsi="宋体"/>
                <w:color w:val="auto"/>
                <w:szCs w:val="21"/>
                <w:highlight w:val="none"/>
              </w:rPr>
              <w:t>17.4.1</w:t>
            </w:r>
          </w:p>
        </w:tc>
        <w:tc>
          <w:tcPr>
            <w:tcW w:w="3780" w:type="dxa"/>
            <w:tcBorders>
              <w:top w:val="single" w:color="auto" w:sz="4" w:space="0"/>
              <w:left w:val="single" w:color="auto" w:sz="4" w:space="0"/>
              <w:bottom w:val="single" w:color="auto" w:sz="4" w:space="0"/>
              <w:right w:val="single" w:color="auto" w:sz="4" w:space="0"/>
            </w:tcBorders>
            <w:noWrap w:val="0"/>
            <w:vAlign w:val="center"/>
          </w:tcPr>
          <w:p w14:paraId="4C879E38">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18BB4D74">
            <w:pPr>
              <w:jc w:val="center"/>
              <w:rPr>
                <w:rFonts w:ascii="宋体" w:hAnsi="宋体"/>
                <w:color w:val="auto"/>
                <w:szCs w:val="21"/>
                <w:highlight w:val="none"/>
              </w:rPr>
            </w:pPr>
          </w:p>
        </w:tc>
      </w:tr>
      <w:tr w14:paraId="65C9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7CDB77C">
            <w:pPr>
              <w:autoSpaceDE w:val="0"/>
              <w:autoSpaceDN w:val="0"/>
              <w:adjustRightInd w:val="0"/>
              <w:spacing w:before="72" w:beforeLines="30"/>
              <w:jc w:val="center"/>
              <w:rPr>
                <w:rFonts w:ascii="宋体" w:hAnsi="宋体" w:cs="Arial"/>
                <w:color w:val="auto"/>
                <w:kern w:val="0"/>
                <w:szCs w:val="21"/>
                <w:highlight w:val="none"/>
              </w:rPr>
            </w:pPr>
            <w:r>
              <w:rPr>
                <w:rFonts w:hint="eastAsia" w:ascii="宋体" w:hAnsi="宋体" w:cs="Arial"/>
                <w:color w:val="auto"/>
                <w:kern w:val="0"/>
                <w:szCs w:val="21"/>
                <w:highlight w:val="none"/>
              </w:rPr>
              <w:t>14</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0562B51C">
            <w:pPr>
              <w:autoSpaceDE w:val="0"/>
              <w:autoSpaceDN w:val="0"/>
              <w:adjustRightInd w:val="0"/>
              <w:spacing w:before="72" w:beforeLines="30"/>
              <w:rPr>
                <w:rFonts w:ascii="宋体" w:hAnsi="宋体" w:cs="Arial"/>
                <w:color w:val="auto"/>
                <w:kern w:val="0"/>
                <w:szCs w:val="21"/>
                <w:highlight w:val="none"/>
              </w:rPr>
            </w:pPr>
            <w:r>
              <w:rPr>
                <w:rFonts w:hint="eastAsia" w:ascii="宋体" w:hAnsi="宋体" w:cs="Arial"/>
                <w:color w:val="auto"/>
                <w:kern w:val="0"/>
                <w:szCs w:val="21"/>
                <w:highlight w:val="none"/>
              </w:rPr>
              <w:t>技术标准和要求</w:t>
            </w:r>
          </w:p>
        </w:tc>
        <w:tc>
          <w:tcPr>
            <w:tcW w:w="1440"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5BE3CCD3">
            <w:pPr>
              <w:autoSpaceDE w:val="0"/>
              <w:autoSpaceDN w:val="0"/>
              <w:adjustRightInd w:val="0"/>
              <w:spacing w:before="72" w:beforeLines="30"/>
              <w:rPr>
                <w:rFonts w:ascii="宋体" w:hAnsi="宋体" w:cs="Arial"/>
                <w:bCs/>
                <w:color w:val="auto"/>
                <w:kern w:val="0"/>
                <w:szCs w:val="21"/>
                <w:highlight w:val="none"/>
              </w:rPr>
            </w:pPr>
          </w:p>
        </w:tc>
        <w:tc>
          <w:tcPr>
            <w:tcW w:w="3780" w:type="dxa"/>
            <w:tcBorders>
              <w:top w:val="single" w:color="auto" w:sz="4" w:space="0"/>
              <w:left w:val="single" w:color="auto" w:sz="4" w:space="0"/>
              <w:bottom w:val="single" w:color="auto" w:sz="4" w:space="0"/>
              <w:right w:val="single" w:color="auto" w:sz="4" w:space="0"/>
            </w:tcBorders>
            <w:noWrap w:val="0"/>
            <w:vAlign w:val="center"/>
          </w:tcPr>
          <w:p w14:paraId="695F6CB2">
            <w:pPr>
              <w:autoSpaceDE w:val="0"/>
              <w:autoSpaceDN w:val="0"/>
              <w:adjustRightInd w:val="0"/>
              <w:spacing w:before="72" w:beforeLines="30"/>
              <w:rPr>
                <w:rFonts w:ascii="宋体" w:hAnsi="宋体" w:cs="Arial"/>
                <w:color w:val="auto"/>
                <w:kern w:val="0"/>
                <w:szCs w:val="21"/>
                <w:highlight w:val="none"/>
              </w:rPr>
            </w:pPr>
            <w:r>
              <w:rPr>
                <w:rFonts w:hint="eastAsia" w:ascii="宋体" w:hAnsi="宋体"/>
                <w:color w:val="auto"/>
                <w:szCs w:val="21"/>
                <w:highlight w:val="none"/>
              </w:rPr>
              <w:t>符合第七章“技术标准和要求”规定</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4078971">
            <w:pPr>
              <w:jc w:val="center"/>
              <w:rPr>
                <w:rFonts w:ascii="宋体" w:hAnsi="宋体"/>
                <w:color w:val="auto"/>
                <w:szCs w:val="21"/>
                <w:highlight w:val="none"/>
              </w:rPr>
            </w:pPr>
          </w:p>
        </w:tc>
      </w:tr>
      <w:tr w14:paraId="3B3FE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360" w:type="dxa"/>
            <w:gridSpan w:val="5"/>
            <w:tcBorders>
              <w:top w:val="single" w:color="auto" w:sz="4" w:space="0"/>
              <w:left w:val="single" w:color="auto" w:sz="4" w:space="0"/>
              <w:bottom w:val="single" w:color="auto" w:sz="4" w:space="0"/>
              <w:right w:val="single" w:color="auto" w:sz="4" w:space="0"/>
            </w:tcBorders>
            <w:noWrap w:val="0"/>
            <w:vAlign w:val="center"/>
          </w:tcPr>
          <w:p w14:paraId="383FF048">
            <w:pPr>
              <w:rPr>
                <w:rFonts w:ascii="宋体" w:hAnsi="宋体"/>
                <w:color w:val="auto"/>
                <w:szCs w:val="21"/>
                <w:highlight w:val="none"/>
              </w:rPr>
            </w:pPr>
            <w:r>
              <w:rPr>
                <w:rFonts w:hint="eastAsia" w:ascii="黑体" w:hAnsi="宋体" w:eastAsia="黑体"/>
                <w:color w:val="auto"/>
                <w:szCs w:val="21"/>
                <w:highlight w:val="none"/>
              </w:rPr>
              <w:t>备注：</w:t>
            </w:r>
            <w:r>
              <w:rPr>
                <w:rFonts w:hint="eastAsia" w:ascii="宋体" w:hAnsi="宋体"/>
                <w:color w:val="auto"/>
                <w:szCs w:val="21"/>
                <w:highlight w:val="none"/>
              </w:rPr>
              <w:t>投标人在响应招标文件中规定的实质性要求和条件的基础上，可做出其他有利于招标人的承诺。此类承诺可在本表中予以补充填写。</w:t>
            </w:r>
          </w:p>
        </w:tc>
      </w:tr>
    </w:tbl>
    <w:p w14:paraId="3EC6B032">
      <w:pPr>
        <w:spacing w:line="440" w:lineRule="exact"/>
        <w:rPr>
          <w:rFonts w:hint="eastAsia" w:ascii="Times New Roman" w:hAnsi="Times New Roman"/>
          <w:color w:val="auto"/>
          <w:szCs w:val="21"/>
          <w:highlight w:val="none"/>
        </w:rPr>
      </w:pPr>
    </w:p>
    <w:p w14:paraId="63F29B57">
      <w:pPr>
        <w:spacing w:line="440" w:lineRule="exact"/>
        <w:ind w:firstLine="3675" w:firstLineChars="1750"/>
        <w:rPr>
          <w:color w:val="auto"/>
          <w:szCs w:val="21"/>
          <w:highlight w:val="none"/>
        </w:rPr>
      </w:pPr>
      <w:r>
        <w:rPr>
          <w:rFonts w:hint="eastAsia"/>
          <w:color w:val="auto"/>
          <w:szCs w:val="21"/>
          <w:highlight w:val="none"/>
        </w:rPr>
        <w:t>投</w:t>
      </w:r>
      <w:r>
        <w:rPr>
          <w:color w:val="auto"/>
          <w:szCs w:val="21"/>
          <w:highlight w:val="none"/>
        </w:rPr>
        <w:t xml:space="preserve"> </w:t>
      </w:r>
      <w:r>
        <w:rPr>
          <w:rFonts w:hint="eastAsia"/>
          <w:color w:val="auto"/>
          <w:szCs w:val="21"/>
          <w:highlight w:val="none"/>
        </w:rPr>
        <w:t>标</w:t>
      </w:r>
      <w:r>
        <w:rPr>
          <w:color w:val="auto"/>
          <w:szCs w:val="21"/>
          <w:highlight w:val="none"/>
        </w:rPr>
        <w:t xml:space="preserve"> </w:t>
      </w:r>
      <w:r>
        <w:rPr>
          <w:rFonts w:hint="eastAsia"/>
          <w:color w:val="auto"/>
          <w:szCs w:val="21"/>
          <w:highlight w:val="none"/>
        </w:rPr>
        <w:t>人：</w:t>
      </w:r>
      <w:r>
        <w:rPr>
          <w:color w:val="auto"/>
          <w:szCs w:val="21"/>
          <w:highlight w:val="none"/>
          <w:u w:val="single"/>
        </w:rPr>
        <w:t xml:space="preserve">                      </w:t>
      </w:r>
      <w:r>
        <w:rPr>
          <w:rFonts w:hint="eastAsia"/>
          <w:color w:val="auto"/>
          <w:szCs w:val="21"/>
          <w:highlight w:val="none"/>
        </w:rPr>
        <w:t>（盖单位章）</w:t>
      </w:r>
    </w:p>
    <w:p w14:paraId="5989865F">
      <w:pPr>
        <w:spacing w:line="440" w:lineRule="exact"/>
        <w:ind w:firstLine="3675" w:firstLineChars="1750"/>
        <w:rPr>
          <w:color w:val="auto"/>
          <w:szCs w:val="21"/>
          <w:highlight w:val="none"/>
        </w:rPr>
      </w:pPr>
      <w:r>
        <w:rPr>
          <w:rFonts w:hint="eastAsia"/>
          <w:color w:val="auto"/>
          <w:szCs w:val="21"/>
          <w:highlight w:val="none"/>
        </w:rPr>
        <w:t>法定代表人：</w:t>
      </w:r>
      <w:r>
        <w:rPr>
          <w:color w:val="auto"/>
          <w:szCs w:val="21"/>
          <w:highlight w:val="none"/>
          <w:u w:val="single"/>
        </w:rPr>
        <w:t xml:space="preserve">                        </w:t>
      </w:r>
      <w:r>
        <w:rPr>
          <w:rFonts w:hint="eastAsia"/>
          <w:color w:val="auto"/>
          <w:szCs w:val="21"/>
          <w:highlight w:val="none"/>
        </w:rPr>
        <w:t>（签字）</w:t>
      </w:r>
    </w:p>
    <w:p w14:paraId="3D367A8F">
      <w:pPr>
        <w:spacing w:line="440" w:lineRule="exact"/>
        <w:ind w:firstLine="5040" w:firstLineChars="2400"/>
        <w:rPr>
          <w:color w:val="auto"/>
          <w:szCs w:val="21"/>
          <w:highlight w:val="none"/>
        </w:rPr>
      </w:pP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05F09AC7">
      <w:pPr>
        <w:spacing w:after="120" w:afterLines="50" w:line="480" w:lineRule="exact"/>
        <w:jc w:val="left"/>
        <w:rPr>
          <w:color w:val="auto"/>
          <w:szCs w:val="24"/>
          <w:highlight w:val="none"/>
        </w:rPr>
      </w:pPr>
    </w:p>
    <w:p w14:paraId="777495D0">
      <w:pPr>
        <w:spacing w:after="120" w:afterLines="50" w:line="480" w:lineRule="exact"/>
        <w:jc w:val="left"/>
        <w:rPr>
          <w:color w:val="auto"/>
          <w:highlight w:val="none"/>
        </w:rPr>
      </w:pPr>
      <w:r>
        <w:rPr>
          <w:rFonts w:hint="eastAsia"/>
          <w:color w:val="auto"/>
          <w:highlight w:val="none"/>
        </w:rPr>
        <w:t>备注：本附录适用于</w:t>
      </w:r>
      <w:r>
        <w:rPr>
          <w:color w:val="auto"/>
          <w:highlight w:val="none"/>
        </w:rPr>
        <w:t>2010</w:t>
      </w:r>
      <w:r>
        <w:rPr>
          <w:rFonts w:hint="eastAsia"/>
          <w:color w:val="auto"/>
          <w:highlight w:val="none"/>
        </w:rPr>
        <w:t>年版《房屋建筑和市政工程标准施工招标文件》中的合同条款。</w:t>
      </w:r>
    </w:p>
    <w:p w14:paraId="1FEB8120">
      <w:pPr>
        <w:pStyle w:val="33"/>
        <w:jc w:val="center"/>
        <w:rPr>
          <w:color w:val="auto"/>
          <w:sz w:val="28"/>
          <w:szCs w:val="28"/>
          <w:highlight w:val="none"/>
        </w:rPr>
      </w:pPr>
      <w:bookmarkStart w:id="2443" w:name="_Toc28532409"/>
      <w:bookmarkStart w:id="2444" w:name="_Toc22276"/>
      <w:r>
        <w:rPr>
          <w:rFonts w:hint="eastAsia"/>
          <w:color w:val="auto"/>
          <w:sz w:val="28"/>
          <w:szCs w:val="28"/>
          <w:highlight w:val="none"/>
        </w:rPr>
        <w:t>（二）投标函附录</w:t>
      </w:r>
      <w:bookmarkEnd w:id="2443"/>
      <w:bookmarkEnd w:id="2444"/>
    </w:p>
    <w:p w14:paraId="6732133F">
      <w:pPr>
        <w:rPr>
          <w:rFonts w:ascii="宋体" w:hAnsi="宋体"/>
          <w:b/>
          <w:color w:val="auto"/>
          <w:szCs w:val="21"/>
          <w:highlight w:val="none"/>
        </w:rPr>
      </w:pPr>
    </w:p>
    <w:p w14:paraId="4F2EB7AD">
      <w:pPr>
        <w:rPr>
          <w:rFonts w:hint="eastAsia" w:ascii="宋体" w:hAnsi="宋体"/>
          <w:color w:val="auto"/>
          <w:szCs w:val="21"/>
          <w:highlight w:val="none"/>
        </w:rPr>
      </w:pPr>
      <w:r>
        <w:rPr>
          <w:rFonts w:hint="eastAsia" w:ascii="宋体" w:hAnsi="宋体"/>
          <w:b/>
          <w:color w:val="auto"/>
          <w:szCs w:val="21"/>
          <w:highlight w:val="none"/>
        </w:rPr>
        <w:t>工程名称：</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color w:val="auto"/>
          <w:highlight w:val="none"/>
        </w:rPr>
        <w:t>（标段名称）</w:t>
      </w:r>
    </w:p>
    <w:p w14:paraId="182F6084">
      <w:pPr>
        <w:rPr>
          <w:rFonts w:hint="eastAsia" w:ascii="宋体" w:hAnsi="宋体"/>
          <w:color w:val="auto"/>
          <w:szCs w:val="21"/>
          <w:highlight w:val="none"/>
        </w:rPr>
      </w:pPr>
    </w:p>
    <w:tbl>
      <w:tblPr>
        <w:tblStyle w:val="15"/>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399"/>
        <w:gridCol w:w="1314"/>
        <w:gridCol w:w="4207"/>
        <w:gridCol w:w="720"/>
      </w:tblGrid>
      <w:tr w14:paraId="53E9B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0D88635">
            <w:pPr>
              <w:jc w:val="center"/>
              <w:rPr>
                <w:rFonts w:ascii="宋体" w:hAnsi="宋体"/>
                <w:color w:val="auto"/>
                <w:szCs w:val="21"/>
                <w:highlight w:val="none"/>
              </w:rPr>
            </w:pPr>
            <w:r>
              <w:rPr>
                <w:rFonts w:hint="eastAsia" w:ascii="宋体" w:hAnsi="宋体"/>
                <w:color w:val="auto"/>
                <w:szCs w:val="21"/>
                <w:highlight w:val="none"/>
              </w:rPr>
              <w:t>序号</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77E679FC">
            <w:pPr>
              <w:jc w:val="center"/>
              <w:rPr>
                <w:rFonts w:ascii="宋体" w:hAnsi="宋体"/>
                <w:color w:val="auto"/>
                <w:szCs w:val="21"/>
                <w:highlight w:val="none"/>
              </w:rPr>
            </w:pPr>
            <w:r>
              <w:rPr>
                <w:rFonts w:hint="eastAsia" w:ascii="宋体" w:hAnsi="宋体"/>
                <w:color w:val="auto"/>
                <w:szCs w:val="21"/>
                <w:highlight w:val="none"/>
              </w:rPr>
              <w:t>条款内容</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17359AF5">
            <w:pPr>
              <w:jc w:val="center"/>
              <w:rPr>
                <w:rFonts w:ascii="宋体" w:hAnsi="宋体"/>
                <w:color w:val="auto"/>
                <w:szCs w:val="21"/>
                <w:highlight w:val="none"/>
              </w:rPr>
            </w:pPr>
            <w:r>
              <w:rPr>
                <w:rFonts w:hint="eastAsia" w:ascii="宋体" w:hAnsi="宋体"/>
                <w:color w:val="auto"/>
                <w:szCs w:val="21"/>
                <w:highlight w:val="none"/>
              </w:rPr>
              <w:t>合同条款号</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36943D88">
            <w:pPr>
              <w:jc w:val="center"/>
              <w:rPr>
                <w:rFonts w:ascii="宋体" w:hAnsi="宋体"/>
                <w:color w:val="auto"/>
                <w:szCs w:val="21"/>
                <w:highlight w:val="none"/>
              </w:rPr>
            </w:pPr>
            <w:r>
              <w:rPr>
                <w:rFonts w:hint="eastAsia" w:ascii="宋体" w:hAnsi="宋体"/>
                <w:color w:val="auto"/>
                <w:szCs w:val="21"/>
                <w:highlight w:val="none"/>
              </w:rPr>
              <w:t>约定内容</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3BA55B6">
            <w:pPr>
              <w:jc w:val="center"/>
              <w:rPr>
                <w:rFonts w:ascii="宋体" w:hAnsi="宋体"/>
                <w:color w:val="auto"/>
                <w:szCs w:val="21"/>
                <w:highlight w:val="none"/>
              </w:rPr>
            </w:pPr>
            <w:r>
              <w:rPr>
                <w:rFonts w:hint="eastAsia" w:ascii="宋体" w:hAnsi="宋体"/>
                <w:color w:val="auto"/>
                <w:szCs w:val="21"/>
                <w:highlight w:val="none"/>
              </w:rPr>
              <w:t>备注</w:t>
            </w:r>
          </w:p>
        </w:tc>
      </w:tr>
      <w:tr w14:paraId="00DE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2123371">
            <w:pPr>
              <w:jc w:val="center"/>
              <w:rPr>
                <w:rFonts w:ascii="黑体" w:hAnsi="宋体" w:eastAsia="黑体"/>
                <w:color w:val="auto"/>
                <w:szCs w:val="21"/>
                <w:highlight w:val="none"/>
              </w:rPr>
            </w:pPr>
            <w:r>
              <w:rPr>
                <w:rFonts w:hint="eastAsia" w:ascii="黑体" w:hAnsi="宋体" w:eastAsia="黑体"/>
                <w:color w:val="auto"/>
                <w:szCs w:val="21"/>
                <w:highlight w:val="none"/>
              </w:rPr>
              <w:t>1</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4305DEC5">
            <w:pPr>
              <w:rPr>
                <w:rFonts w:ascii="宋体" w:hAnsi="宋体"/>
                <w:color w:val="auto"/>
                <w:szCs w:val="21"/>
                <w:highlight w:val="none"/>
              </w:rPr>
            </w:pPr>
            <w:r>
              <w:rPr>
                <w:rFonts w:hint="eastAsia" w:ascii="宋体" w:hAnsi="宋体"/>
                <w:color w:val="auto"/>
                <w:szCs w:val="21"/>
                <w:highlight w:val="none"/>
              </w:rPr>
              <w:t>项目经理</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032EDF90">
            <w:pPr>
              <w:autoSpaceDE w:val="0"/>
              <w:autoSpaceDN w:val="0"/>
              <w:adjustRightInd w:val="0"/>
              <w:spacing w:before="50"/>
              <w:rPr>
                <w:rFonts w:ascii="宋体" w:hAnsi="宋体"/>
                <w:color w:val="auto"/>
                <w:szCs w:val="21"/>
                <w:highlight w:val="none"/>
              </w:rPr>
            </w:pPr>
            <w:r>
              <w:rPr>
                <w:rFonts w:hint="eastAsia" w:ascii="宋体" w:hAnsi="宋体"/>
                <w:color w:val="auto"/>
                <w:szCs w:val="21"/>
                <w:highlight w:val="none"/>
              </w:rPr>
              <w:t>1.1.2.8</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24B70C9F">
            <w:pPr>
              <w:rPr>
                <w:rFonts w:ascii="宋体" w:hAnsi="宋体"/>
                <w:color w:val="auto"/>
                <w:szCs w:val="21"/>
                <w:highlight w:val="none"/>
              </w:rPr>
            </w:pPr>
            <w:r>
              <w:rPr>
                <w:rFonts w:hint="eastAsia" w:ascii="宋体" w:hAnsi="宋体"/>
                <w:color w:val="auto"/>
                <w:szCs w:val="21"/>
                <w:highlight w:val="none"/>
              </w:rPr>
              <w:t>（见投标函）</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7D0A6849">
            <w:pPr>
              <w:jc w:val="center"/>
              <w:rPr>
                <w:rFonts w:ascii="宋体" w:hAnsi="宋体"/>
                <w:color w:val="auto"/>
                <w:szCs w:val="21"/>
                <w:highlight w:val="none"/>
              </w:rPr>
            </w:pPr>
          </w:p>
        </w:tc>
      </w:tr>
      <w:tr w14:paraId="2784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4F88C44">
            <w:pPr>
              <w:jc w:val="center"/>
              <w:rPr>
                <w:rFonts w:ascii="黑体" w:hAnsi="宋体" w:eastAsia="黑体"/>
                <w:color w:val="auto"/>
                <w:szCs w:val="21"/>
                <w:highlight w:val="none"/>
              </w:rPr>
            </w:pPr>
            <w:r>
              <w:rPr>
                <w:rFonts w:hint="eastAsia" w:ascii="黑体" w:hAnsi="宋体" w:eastAsia="黑体"/>
                <w:color w:val="auto"/>
                <w:szCs w:val="21"/>
                <w:highlight w:val="none"/>
              </w:rPr>
              <w:t>2</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13E6FFBD">
            <w:pPr>
              <w:rPr>
                <w:rFonts w:ascii="宋体" w:hAnsi="宋体"/>
                <w:color w:val="auto"/>
                <w:szCs w:val="21"/>
                <w:highlight w:val="none"/>
              </w:rPr>
            </w:pPr>
            <w:r>
              <w:rPr>
                <w:rFonts w:hint="eastAsia" w:ascii="宋体" w:hAnsi="宋体" w:cs="Arial"/>
                <w:color w:val="auto"/>
                <w:kern w:val="0"/>
                <w:szCs w:val="21"/>
                <w:highlight w:val="none"/>
              </w:rPr>
              <w:t>工期</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2EA49BB6">
            <w:pPr>
              <w:autoSpaceDE w:val="0"/>
              <w:autoSpaceDN w:val="0"/>
              <w:adjustRightInd w:val="0"/>
              <w:spacing w:before="50"/>
              <w:rPr>
                <w:rFonts w:ascii="宋体" w:hAnsi="宋体"/>
                <w:color w:val="auto"/>
                <w:szCs w:val="21"/>
                <w:highlight w:val="none"/>
              </w:rPr>
            </w:pPr>
            <w:r>
              <w:rPr>
                <w:rFonts w:hint="eastAsia" w:ascii="宋体" w:hAnsi="宋体"/>
                <w:color w:val="auto"/>
                <w:szCs w:val="21"/>
                <w:highlight w:val="none"/>
              </w:rPr>
              <w:t>1.1.4.3</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7BADE629">
            <w:pPr>
              <w:rPr>
                <w:rFonts w:ascii="宋体" w:hAnsi="宋体"/>
                <w:color w:val="auto"/>
                <w:szCs w:val="21"/>
                <w:highlight w:val="none"/>
              </w:rPr>
            </w:pPr>
            <w:r>
              <w:rPr>
                <w:rFonts w:hint="eastAsia" w:ascii="宋体" w:hAnsi="宋体"/>
                <w:color w:val="auto"/>
                <w:szCs w:val="21"/>
                <w:highlight w:val="none"/>
              </w:rPr>
              <w:t>（见投标函）</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6CC9805">
            <w:pPr>
              <w:jc w:val="center"/>
              <w:rPr>
                <w:rFonts w:ascii="宋体" w:hAnsi="宋体"/>
                <w:color w:val="auto"/>
                <w:szCs w:val="21"/>
                <w:highlight w:val="none"/>
              </w:rPr>
            </w:pPr>
          </w:p>
        </w:tc>
      </w:tr>
      <w:tr w14:paraId="24BAD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06F1CC2">
            <w:pPr>
              <w:jc w:val="center"/>
              <w:rPr>
                <w:rFonts w:ascii="黑体" w:hAnsi="宋体" w:eastAsia="黑体"/>
                <w:color w:val="auto"/>
                <w:szCs w:val="21"/>
                <w:highlight w:val="none"/>
              </w:rPr>
            </w:pPr>
            <w:r>
              <w:rPr>
                <w:rFonts w:hint="eastAsia" w:ascii="黑体" w:hAnsi="宋体" w:eastAsia="黑体"/>
                <w:color w:val="auto"/>
                <w:szCs w:val="21"/>
                <w:highlight w:val="none"/>
              </w:rPr>
              <w:t>3</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5BE84F05">
            <w:pPr>
              <w:rPr>
                <w:rFonts w:ascii="宋体" w:hAnsi="宋体"/>
                <w:color w:val="auto"/>
                <w:szCs w:val="21"/>
                <w:highlight w:val="none"/>
              </w:rPr>
            </w:pPr>
            <w:r>
              <w:rPr>
                <w:rFonts w:hint="eastAsia" w:ascii="宋体" w:hAnsi="宋体"/>
                <w:color w:val="auto"/>
                <w:szCs w:val="21"/>
                <w:highlight w:val="none"/>
              </w:rPr>
              <w:t>缺陷责任期</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73B6B70D">
            <w:pPr>
              <w:autoSpaceDE w:val="0"/>
              <w:autoSpaceDN w:val="0"/>
              <w:adjustRightInd w:val="0"/>
              <w:spacing w:before="50"/>
              <w:rPr>
                <w:rFonts w:ascii="宋体" w:hAnsi="宋体"/>
                <w:color w:val="auto"/>
                <w:szCs w:val="21"/>
                <w:highlight w:val="none"/>
              </w:rPr>
            </w:pPr>
            <w:r>
              <w:rPr>
                <w:rFonts w:hint="eastAsia" w:ascii="宋体" w:hAnsi="宋体"/>
                <w:color w:val="auto"/>
                <w:szCs w:val="21"/>
                <w:highlight w:val="none"/>
              </w:rPr>
              <w:t>1.1.4.4</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177CBEC7">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31798A7E">
            <w:pPr>
              <w:jc w:val="center"/>
              <w:rPr>
                <w:rFonts w:ascii="宋体" w:hAnsi="宋体"/>
                <w:color w:val="auto"/>
                <w:szCs w:val="21"/>
                <w:highlight w:val="none"/>
              </w:rPr>
            </w:pPr>
          </w:p>
        </w:tc>
      </w:tr>
      <w:tr w14:paraId="0DA0E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A727AE2">
            <w:pPr>
              <w:jc w:val="center"/>
              <w:rPr>
                <w:rFonts w:ascii="黑体" w:hAnsi="宋体" w:eastAsia="黑体"/>
                <w:color w:val="auto"/>
                <w:szCs w:val="21"/>
                <w:highlight w:val="none"/>
              </w:rPr>
            </w:pPr>
            <w:r>
              <w:rPr>
                <w:rFonts w:hint="eastAsia" w:ascii="黑体" w:hAnsi="宋体" w:eastAsia="黑体"/>
                <w:color w:val="auto"/>
                <w:szCs w:val="21"/>
                <w:highlight w:val="none"/>
              </w:rPr>
              <w:t>4</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7C106A64">
            <w:pPr>
              <w:rPr>
                <w:rFonts w:ascii="宋体" w:hAnsi="宋体"/>
                <w:color w:val="auto"/>
                <w:szCs w:val="21"/>
                <w:highlight w:val="none"/>
              </w:rPr>
            </w:pPr>
            <w:r>
              <w:rPr>
                <w:rFonts w:hint="eastAsia"/>
                <w:color w:val="auto"/>
                <w:highlight w:val="none"/>
              </w:rPr>
              <w:t>项目经理每月在施工现场的时间</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5E5B0C34">
            <w:pPr>
              <w:autoSpaceDE w:val="0"/>
              <w:autoSpaceDN w:val="0"/>
              <w:adjustRightInd w:val="0"/>
              <w:spacing w:before="50"/>
              <w:rPr>
                <w:rFonts w:ascii="宋体" w:hAnsi="宋体"/>
                <w:color w:val="auto"/>
                <w:szCs w:val="21"/>
                <w:highlight w:val="none"/>
              </w:rPr>
            </w:pPr>
            <w:r>
              <w:rPr>
                <w:rFonts w:hint="eastAsia" w:ascii="宋体" w:hAnsi="宋体"/>
                <w:color w:val="auto"/>
                <w:szCs w:val="21"/>
                <w:highlight w:val="none"/>
              </w:rPr>
              <w:t>3.2.1</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2E067BEA">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4207FB64">
            <w:pPr>
              <w:jc w:val="center"/>
              <w:rPr>
                <w:rFonts w:ascii="宋体" w:hAnsi="宋体"/>
                <w:color w:val="auto"/>
                <w:szCs w:val="21"/>
                <w:highlight w:val="none"/>
              </w:rPr>
            </w:pPr>
          </w:p>
        </w:tc>
      </w:tr>
      <w:tr w14:paraId="1396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EA49066">
            <w:pPr>
              <w:jc w:val="center"/>
              <w:rPr>
                <w:rFonts w:ascii="黑体" w:hAnsi="宋体" w:eastAsia="黑体"/>
                <w:color w:val="auto"/>
                <w:szCs w:val="21"/>
                <w:highlight w:val="none"/>
              </w:rPr>
            </w:pPr>
            <w:r>
              <w:rPr>
                <w:rFonts w:hint="eastAsia" w:ascii="黑体" w:hAnsi="宋体" w:eastAsia="黑体"/>
                <w:color w:val="auto"/>
                <w:szCs w:val="21"/>
                <w:highlight w:val="none"/>
              </w:rPr>
              <w:t>5</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0123412D">
            <w:pPr>
              <w:rPr>
                <w:color w:val="auto"/>
                <w:szCs w:val="24"/>
                <w:highlight w:val="none"/>
              </w:rPr>
            </w:pPr>
            <w:r>
              <w:rPr>
                <w:rFonts w:hint="eastAsia"/>
                <w:color w:val="auto"/>
                <w:highlight w:val="none"/>
              </w:rPr>
              <w:t>项目经理擅自离开施工现场的违约责任</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182CC49E">
            <w:pPr>
              <w:autoSpaceDE w:val="0"/>
              <w:autoSpaceDN w:val="0"/>
              <w:adjustRightInd w:val="0"/>
              <w:spacing w:before="50"/>
              <w:rPr>
                <w:rFonts w:ascii="宋体" w:hAnsi="宋体"/>
                <w:color w:val="auto"/>
                <w:szCs w:val="21"/>
                <w:highlight w:val="none"/>
              </w:rPr>
            </w:pPr>
            <w:r>
              <w:rPr>
                <w:rFonts w:hint="eastAsia" w:ascii="宋体" w:hAnsi="宋体"/>
                <w:color w:val="auto"/>
                <w:szCs w:val="21"/>
                <w:highlight w:val="none"/>
              </w:rPr>
              <w:t>3.2.1</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72409856">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39BA3CE">
            <w:pPr>
              <w:jc w:val="center"/>
              <w:rPr>
                <w:rFonts w:ascii="宋体" w:hAnsi="宋体"/>
                <w:color w:val="auto"/>
                <w:szCs w:val="21"/>
                <w:highlight w:val="none"/>
              </w:rPr>
            </w:pPr>
          </w:p>
        </w:tc>
      </w:tr>
      <w:tr w14:paraId="3550B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9D310E5">
            <w:pPr>
              <w:jc w:val="center"/>
              <w:rPr>
                <w:rFonts w:ascii="黑体" w:hAnsi="宋体" w:eastAsia="黑体"/>
                <w:color w:val="auto"/>
                <w:szCs w:val="21"/>
                <w:highlight w:val="none"/>
              </w:rPr>
            </w:pPr>
            <w:r>
              <w:rPr>
                <w:rFonts w:hint="eastAsia" w:ascii="黑体" w:hAnsi="宋体" w:eastAsia="黑体"/>
                <w:color w:val="auto"/>
                <w:szCs w:val="21"/>
                <w:highlight w:val="none"/>
              </w:rPr>
              <w:t>6</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0709F9A9">
            <w:pPr>
              <w:rPr>
                <w:color w:val="auto"/>
                <w:szCs w:val="24"/>
                <w:highlight w:val="none"/>
              </w:rPr>
            </w:pPr>
            <w:r>
              <w:rPr>
                <w:rFonts w:hint="eastAsia"/>
                <w:color w:val="auto"/>
                <w:highlight w:val="none"/>
              </w:rPr>
              <w:t>擅自更换项目经理的违约责任</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12CA5C12">
            <w:pPr>
              <w:autoSpaceDE w:val="0"/>
              <w:autoSpaceDN w:val="0"/>
              <w:adjustRightInd w:val="0"/>
              <w:spacing w:before="50"/>
              <w:rPr>
                <w:rFonts w:ascii="宋体" w:hAnsi="宋体"/>
                <w:color w:val="auto"/>
                <w:szCs w:val="21"/>
                <w:highlight w:val="none"/>
              </w:rPr>
            </w:pPr>
            <w:r>
              <w:rPr>
                <w:rFonts w:hint="eastAsia" w:ascii="宋体" w:hAnsi="宋体"/>
                <w:color w:val="auto"/>
                <w:szCs w:val="21"/>
                <w:highlight w:val="none"/>
              </w:rPr>
              <w:t>3.2.3</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3E311E0D">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61C5FB80">
            <w:pPr>
              <w:jc w:val="center"/>
              <w:rPr>
                <w:rFonts w:ascii="宋体" w:hAnsi="宋体"/>
                <w:color w:val="auto"/>
                <w:szCs w:val="21"/>
                <w:highlight w:val="none"/>
              </w:rPr>
            </w:pPr>
          </w:p>
        </w:tc>
      </w:tr>
      <w:tr w14:paraId="40ED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3CBBF46">
            <w:pPr>
              <w:jc w:val="center"/>
              <w:rPr>
                <w:rFonts w:ascii="黑体" w:hAnsi="宋体" w:eastAsia="黑体"/>
                <w:color w:val="auto"/>
                <w:szCs w:val="21"/>
                <w:highlight w:val="none"/>
              </w:rPr>
            </w:pPr>
            <w:r>
              <w:rPr>
                <w:rFonts w:hint="eastAsia" w:ascii="黑体" w:hAnsi="宋体" w:eastAsia="黑体"/>
                <w:color w:val="auto"/>
                <w:szCs w:val="21"/>
                <w:highlight w:val="none"/>
              </w:rPr>
              <w:t>7</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55F5C103">
            <w:pPr>
              <w:rPr>
                <w:color w:val="auto"/>
                <w:szCs w:val="24"/>
                <w:highlight w:val="none"/>
              </w:rPr>
            </w:pPr>
            <w:r>
              <w:rPr>
                <w:rFonts w:hint="eastAsia"/>
                <w:color w:val="auto"/>
                <w:highlight w:val="none"/>
              </w:rPr>
              <w:t>无正当理由拒绝更换项目经理的违约责任</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02D448EB">
            <w:pPr>
              <w:autoSpaceDE w:val="0"/>
              <w:autoSpaceDN w:val="0"/>
              <w:adjustRightInd w:val="0"/>
              <w:spacing w:before="50"/>
              <w:rPr>
                <w:rFonts w:ascii="宋体" w:hAnsi="宋体"/>
                <w:color w:val="auto"/>
                <w:szCs w:val="21"/>
                <w:highlight w:val="none"/>
              </w:rPr>
            </w:pPr>
            <w:r>
              <w:rPr>
                <w:rFonts w:hint="eastAsia" w:ascii="宋体" w:hAnsi="宋体"/>
                <w:color w:val="auto"/>
                <w:szCs w:val="21"/>
                <w:highlight w:val="none"/>
              </w:rPr>
              <w:t>3.2.4</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7605AD3C">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7D570149">
            <w:pPr>
              <w:jc w:val="center"/>
              <w:rPr>
                <w:rFonts w:ascii="宋体" w:hAnsi="宋体"/>
                <w:color w:val="auto"/>
                <w:szCs w:val="21"/>
                <w:highlight w:val="none"/>
              </w:rPr>
            </w:pPr>
          </w:p>
        </w:tc>
      </w:tr>
      <w:tr w14:paraId="29F89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164D3EF">
            <w:pPr>
              <w:jc w:val="center"/>
              <w:rPr>
                <w:rFonts w:ascii="黑体" w:hAnsi="宋体" w:eastAsia="黑体"/>
                <w:color w:val="auto"/>
                <w:szCs w:val="21"/>
                <w:highlight w:val="none"/>
              </w:rPr>
            </w:pPr>
            <w:r>
              <w:rPr>
                <w:rFonts w:hint="eastAsia" w:ascii="黑体" w:hAnsi="宋体" w:eastAsia="黑体"/>
                <w:color w:val="auto"/>
                <w:szCs w:val="21"/>
                <w:highlight w:val="none"/>
              </w:rPr>
              <w:t>8</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5725D096">
            <w:pPr>
              <w:rPr>
                <w:rFonts w:ascii="宋体" w:hAnsi="宋体"/>
                <w:color w:val="auto"/>
                <w:szCs w:val="21"/>
                <w:highlight w:val="none"/>
              </w:rPr>
            </w:pPr>
            <w:r>
              <w:rPr>
                <w:rFonts w:hint="eastAsia" w:ascii="宋体" w:hAnsi="宋体"/>
                <w:color w:val="auto"/>
                <w:szCs w:val="21"/>
                <w:highlight w:val="none"/>
              </w:rPr>
              <w:t>承包人履约担保金额</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5A6AAB85">
            <w:pPr>
              <w:rPr>
                <w:rFonts w:ascii="宋体" w:hAnsi="宋体"/>
                <w:color w:val="auto"/>
                <w:szCs w:val="21"/>
                <w:highlight w:val="none"/>
              </w:rPr>
            </w:pPr>
            <w:r>
              <w:rPr>
                <w:rFonts w:hint="eastAsia" w:ascii="宋体" w:hAnsi="宋体"/>
                <w:color w:val="auto"/>
                <w:szCs w:val="21"/>
                <w:highlight w:val="none"/>
              </w:rPr>
              <w:t>3.7</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231F473F">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3EB4A19">
            <w:pPr>
              <w:jc w:val="center"/>
              <w:rPr>
                <w:rFonts w:ascii="宋体" w:hAnsi="宋体"/>
                <w:color w:val="auto"/>
                <w:szCs w:val="21"/>
                <w:highlight w:val="none"/>
              </w:rPr>
            </w:pPr>
          </w:p>
        </w:tc>
      </w:tr>
      <w:tr w14:paraId="1906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F66BBE4">
            <w:pPr>
              <w:jc w:val="center"/>
              <w:rPr>
                <w:rFonts w:ascii="黑体" w:hAnsi="宋体" w:eastAsia="黑体"/>
                <w:color w:val="auto"/>
                <w:szCs w:val="21"/>
                <w:highlight w:val="none"/>
              </w:rPr>
            </w:pPr>
            <w:r>
              <w:rPr>
                <w:rFonts w:hint="eastAsia" w:ascii="黑体" w:hAnsi="宋体" w:eastAsia="黑体"/>
                <w:color w:val="auto"/>
                <w:szCs w:val="21"/>
                <w:highlight w:val="none"/>
              </w:rPr>
              <w:t>9</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66F5620E">
            <w:pPr>
              <w:rPr>
                <w:rFonts w:ascii="宋体" w:hAnsi="宋体"/>
                <w:color w:val="auto"/>
                <w:szCs w:val="21"/>
                <w:highlight w:val="none"/>
              </w:rPr>
            </w:pPr>
            <w:r>
              <w:rPr>
                <w:rFonts w:hint="eastAsia" w:ascii="宋体" w:hAnsi="宋体"/>
                <w:color w:val="auto"/>
                <w:szCs w:val="21"/>
                <w:highlight w:val="none"/>
              </w:rPr>
              <w:t>分包</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63990932">
            <w:pPr>
              <w:rPr>
                <w:rFonts w:ascii="宋体" w:hAnsi="宋体"/>
                <w:color w:val="auto"/>
                <w:szCs w:val="21"/>
                <w:highlight w:val="none"/>
              </w:rPr>
            </w:pPr>
            <w:r>
              <w:rPr>
                <w:rFonts w:hint="eastAsia" w:ascii="宋体" w:hAnsi="宋体"/>
                <w:color w:val="auto"/>
                <w:szCs w:val="21"/>
                <w:highlight w:val="none"/>
              </w:rPr>
              <w:t>3.5.2</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41799A29">
            <w:pPr>
              <w:rPr>
                <w:rFonts w:ascii="宋体" w:hAnsi="宋体"/>
                <w:color w:val="auto"/>
                <w:szCs w:val="21"/>
                <w:highlight w:val="none"/>
              </w:rPr>
            </w:pPr>
            <w:r>
              <w:rPr>
                <w:rFonts w:hint="eastAsia" w:ascii="宋体" w:hAnsi="宋体"/>
                <w:color w:val="auto"/>
                <w:szCs w:val="21"/>
                <w:highlight w:val="none"/>
              </w:rPr>
              <w:t>见</w:t>
            </w:r>
            <w:r>
              <w:rPr>
                <w:rFonts w:hint="eastAsia"/>
                <w:color w:val="auto"/>
                <w:highlight w:val="none"/>
              </w:rPr>
              <w:t>拟分包计划表</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64B805B6">
            <w:pPr>
              <w:jc w:val="center"/>
              <w:rPr>
                <w:rFonts w:ascii="宋体" w:hAnsi="宋体"/>
                <w:color w:val="auto"/>
                <w:szCs w:val="21"/>
                <w:highlight w:val="none"/>
              </w:rPr>
            </w:pPr>
          </w:p>
        </w:tc>
      </w:tr>
      <w:tr w14:paraId="56D7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55BCF66">
            <w:pPr>
              <w:jc w:val="center"/>
              <w:rPr>
                <w:rFonts w:ascii="黑体" w:hAnsi="宋体" w:eastAsia="黑体"/>
                <w:color w:val="auto"/>
                <w:szCs w:val="21"/>
                <w:highlight w:val="none"/>
              </w:rPr>
            </w:pPr>
            <w:r>
              <w:rPr>
                <w:rFonts w:hint="eastAsia" w:ascii="黑体" w:hAnsi="宋体" w:eastAsia="黑体"/>
                <w:color w:val="auto"/>
                <w:szCs w:val="21"/>
                <w:highlight w:val="none"/>
              </w:rPr>
              <w:t>10</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2A5F2926">
            <w:pPr>
              <w:rPr>
                <w:rFonts w:ascii="宋体" w:hAnsi="宋体"/>
                <w:color w:val="auto"/>
                <w:szCs w:val="21"/>
                <w:highlight w:val="none"/>
              </w:rPr>
            </w:pPr>
            <w:r>
              <w:rPr>
                <w:rFonts w:hint="eastAsia" w:ascii="宋体" w:hAnsi="宋体"/>
                <w:color w:val="auto"/>
                <w:szCs w:val="21"/>
                <w:highlight w:val="none"/>
              </w:rPr>
              <w:t>逾期竣工违约金</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030390F9">
            <w:pPr>
              <w:rPr>
                <w:rFonts w:ascii="宋体" w:hAnsi="宋体"/>
                <w:color w:val="auto"/>
                <w:szCs w:val="21"/>
                <w:highlight w:val="none"/>
              </w:rPr>
            </w:pPr>
            <w:r>
              <w:rPr>
                <w:rFonts w:hint="eastAsia" w:ascii="宋体" w:hAnsi="宋体"/>
                <w:color w:val="auto"/>
                <w:szCs w:val="21"/>
                <w:highlight w:val="none"/>
              </w:rPr>
              <w:t>7.5.2</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4F22259E">
            <w:pPr>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元/天</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2D88A681">
            <w:pPr>
              <w:jc w:val="center"/>
              <w:rPr>
                <w:rFonts w:ascii="宋体" w:hAnsi="宋体"/>
                <w:color w:val="auto"/>
                <w:szCs w:val="21"/>
                <w:highlight w:val="none"/>
              </w:rPr>
            </w:pPr>
          </w:p>
        </w:tc>
      </w:tr>
      <w:tr w14:paraId="187AF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50E47EB">
            <w:pPr>
              <w:jc w:val="center"/>
              <w:rPr>
                <w:rFonts w:ascii="黑体" w:hAnsi="宋体" w:eastAsia="黑体"/>
                <w:color w:val="auto"/>
                <w:szCs w:val="21"/>
                <w:highlight w:val="none"/>
              </w:rPr>
            </w:pPr>
            <w:r>
              <w:rPr>
                <w:rFonts w:hint="eastAsia" w:ascii="黑体" w:hAnsi="宋体" w:eastAsia="黑体"/>
                <w:color w:val="auto"/>
                <w:szCs w:val="21"/>
                <w:highlight w:val="none"/>
              </w:rPr>
              <w:t>11</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63577B4E">
            <w:pPr>
              <w:rPr>
                <w:rFonts w:ascii="宋体" w:hAnsi="宋体"/>
                <w:color w:val="auto"/>
                <w:szCs w:val="21"/>
                <w:highlight w:val="none"/>
              </w:rPr>
            </w:pPr>
            <w:r>
              <w:rPr>
                <w:rFonts w:hint="eastAsia" w:ascii="宋体" w:hAnsi="宋体"/>
                <w:color w:val="auto"/>
                <w:szCs w:val="21"/>
                <w:highlight w:val="none"/>
              </w:rPr>
              <w:t>逾期竣工违约金的上限</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43D56202">
            <w:pPr>
              <w:rPr>
                <w:rFonts w:ascii="宋体" w:hAnsi="宋体"/>
                <w:color w:val="auto"/>
                <w:szCs w:val="21"/>
                <w:highlight w:val="none"/>
              </w:rPr>
            </w:pPr>
            <w:r>
              <w:rPr>
                <w:rFonts w:hint="eastAsia" w:ascii="宋体" w:hAnsi="宋体"/>
                <w:color w:val="auto"/>
                <w:szCs w:val="21"/>
                <w:highlight w:val="none"/>
              </w:rPr>
              <w:t>7.5.2</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579C1FC2">
            <w:pPr>
              <w:rPr>
                <w:rFonts w:ascii="宋体" w:hAnsi="宋体"/>
                <w:color w:val="auto"/>
                <w:szCs w:val="21"/>
                <w:highlight w:val="none"/>
              </w:rPr>
            </w:pPr>
            <w:r>
              <w:rPr>
                <w:rFonts w:hint="eastAsia" w:ascii="宋体" w:hAnsi="宋体"/>
                <w:color w:val="auto"/>
                <w:szCs w:val="21"/>
                <w:highlight w:val="none"/>
                <w:u w:val="single"/>
              </w:rPr>
              <w:t xml:space="preserve">             </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FF8A145">
            <w:pPr>
              <w:jc w:val="center"/>
              <w:rPr>
                <w:rFonts w:ascii="宋体" w:hAnsi="宋体"/>
                <w:color w:val="auto"/>
                <w:szCs w:val="21"/>
                <w:highlight w:val="none"/>
              </w:rPr>
            </w:pPr>
          </w:p>
        </w:tc>
      </w:tr>
      <w:tr w14:paraId="3C15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E21A0C4">
            <w:pPr>
              <w:jc w:val="center"/>
              <w:rPr>
                <w:rFonts w:ascii="黑体" w:hAnsi="宋体" w:eastAsia="黑体"/>
                <w:color w:val="auto"/>
                <w:szCs w:val="21"/>
                <w:highlight w:val="none"/>
              </w:rPr>
            </w:pPr>
            <w:r>
              <w:rPr>
                <w:rFonts w:hint="eastAsia" w:ascii="黑体" w:hAnsi="宋体" w:eastAsia="黑体"/>
                <w:color w:val="auto"/>
                <w:szCs w:val="21"/>
                <w:highlight w:val="none"/>
              </w:rPr>
              <w:t>12</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4255BB8A">
            <w:pPr>
              <w:rPr>
                <w:rFonts w:ascii="宋体" w:hAnsi="宋体"/>
                <w:color w:val="auto"/>
                <w:szCs w:val="21"/>
                <w:highlight w:val="none"/>
              </w:rPr>
            </w:pPr>
            <w:r>
              <w:rPr>
                <w:rFonts w:hint="eastAsia" w:ascii="宋体" w:hAnsi="宋体"/>
                <w:color w:val="auto"/>
                <w:szCs w:val="21"/>
                <w:highlight w:val="none"/>
              </w:rPr>
              <w:t>价格调整的差额计算</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10379A06">
            <w:pPr>
              <w:rPr>
                <w:rFonts w:ascii="宋体" w:hAnsi="宋体"/>
                <w:color w:val="auto"/>
                <w:szCs w:val="21"/>
                <w:highlight w:val="none"/>
              </w:rPr>
            </w:pPr>
            <w:r>
              <w:rPr>
                <w:rFonts w:hint="eastAsia" w:ascii="宋体" w:hAnsi="宋体"/>
                <w:color w:val="auto"/>
                <w:szCs w:val="21"/>
                <w:highlight w:val="none"/>
              </w:rPr>
              <w:t>11.1</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46BC1190">
            <w:pPr>
              <w:rPr>
                <w:rFonts w:ascii="宋体" w:hAnsi="宋体"/>
                <w:color w:val="auto"/>
                <w:szCs w:val="21"/>
                <w:highlight w:val="none"/>
              </w:rPr>
            </w:pPr>
            <w:r>
              <w:rPr>
                <w:rFonts w:hint="eastAsia"/>
                <w:color w:val="auto"/>
                <w:highlight w:val="none"/>
              </w:rPr>
              <w:t>采用价格指数进行价格调整时，</w:t>
            </w:r>
            <w:r>
              <w:rPr>
                <w:rFonts w:hint="eastAsia" w:ascii="宋体" w:hAnsi="宋体"/>
                <w:color w:val="auto"/>
                <w:szCs w:val="21"/>
                <w:highlight w:val="none"/>
              </w:rPr>
              <w:t>见价格指数权重表</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EC43441">
            <w:pPr>
              <w:jc w:val="center"/>
              <w:rPr>
                <w:rFonts w:ascii="宋体" w:hAnsi="宋体"/>
                <w:color w:val="auto"/>
                <w:szCs w:val="21"/>
                <w:highlight w:val="none"/>
              </w:rPr>
            </w:pPr>
          </w:p>
        </w:tc>
      </w:tr>
      <w:tr w14:paraId="06A5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C41FDCB">
            <w:pPr>
              <w:jc w:val="center"/>
              <w:rPr>
                <w:rFonts w:ascii="宋体" w:hAnsi="宋体"/>
                <w:color w:val="auto"/>
                <w:szCs w:val="21"/>
                <w:highlight w:val="none"/>
              </w:rPr>
            </w:pPr>
            <w:r>
              <w:rPr>
                <w:rFonts w:hint="eastAsia" w:ascii="宋体" w:hAnsi="宋体"/>
                <w:color w:val="auto"/>
                <w:szCs w:val="21"/>
                <w:highlight w:val="none"/>
              </w:rPr>
              <w:t>13</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18542607">
            <w:pPr>
              <w:rPr>
                <w:rFonts w:ascii="宋体" w:hAnsi="宋体"/>
                <w:color w:val="auto"/>
                <w:szCs w:val="21"/>
                <w:highlight w:val="none"/>
              </w:rPr>
            </w:pPr>
            <w:r>
              <w:rPr>
                <w:rFonts w:hint="eastAsia" w:ascii="宋体" w:hAnsi="宋体"/>
                <w:color w:val="auto"/>
                <w:szCs w:val="21"/>
                <w:highlight w:val="none"/>
              </w:rPr>
              <w:t>预付款</w:t>
            </w:r>
            <w:r>
              <w:rPr>
                <w:rFonts w:hint="eastAsia"/>
                <w:color w:val="auto"/>
                <w:highlight w:val="none"/>
              </w:rPr>
              <w:t>支付比例或金额</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48360BAA">
            <w:pPr>
              <w:rPr>
                <w:rFonts w:ascii="宋体" w:hAnsi="宋体"/>
                <w:color w:val="auto"/>
                <w:szCs w:val="21"/>
                <w:highlight w:val="none"/>
              </w:rPr>
            </w:pPr>
            <w:r>
              <w:rPr>
                <w:rFonts w:hint="eastAsia" w:ascii="宋体" w:hAnsi="宋体"/>
                <w:color w:val="auto"/>
                <w:szCs w:val="21"/>
                <w:highlight w:val="none"/>
              </w:rPr>
              <w:t>12.2.1</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567AADC3">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3C1DC9CE">
            <w:pPr>
              <w:jc w:val="center"/>
              <w:rPr>
                <w:rFonts w:ascii="宋体" w:hAnsi="宋体"/>
                <w:color w:val="auto"/>
                <w:szCs w:val="21"/>
                <w:highlight w:val="none"/>
              </w:rPr>
            </w:pPr>
          </w:p>
        </w:tc>
      </w:tr>
      <w:tr w14:paraId="43BA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99EDF41">
            <w:pPr>
              <w:autoSpaceDE w:val="0"/>
              <w:autoSpaceDN w:val="0"/>
              <w:adjustRightInd w:val="0"/>
              <w:spacing w:before="72" w:beforeLines="30"/>
              <w:jc w:val="center"/>
              <w:rPr>
                <w:rFonts w:ascii="宋体" w:hAnsi="宋体" w:cs="Arial"/>
                <w:color w:val="auto"/>
                <w:kern w:val="0"/>
                <w:szCs w:val="21"/>
                <w:highlight w:val="none"/>
              </w:rPr>
            </w:pPr>
            <w:r>
              <w:rPr>
                <w:rFonts w:hint="eastAsia" w:ascii="宋体" w:hAnsi="宋体" w:cs="Arial"/>
                <w:color w:val="auto"/>
                <w:kern w:val="0"/>
                <w:szCs w:val="21"/>
                <w:highlight w:val="none"/>
              </w:rPr>
              <w:t>14</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7BB695C7">
            <w:pPr>
              <w:rPr>
                <w:rFonts w:ascii="宋体" w:hAnsi="宋体"/>
                <w:color w:val="auto"/>
                <w:szCs w:val="21"/>
                <w:highlight w:val="none"/>
              </w:rPr>
            </w:pPr>
            <w:r>
              <w:rPr>
                <w:rFonts w:hint="eastAsia" w:ascii="宋体" w:hAnsi="宋体"/>
                <w:color w:val="auto"/>
                <w:szCs w:val="21"/>
                <w:highlight w:val="none"/>
              </w:rPr>
              <w:t>质量保证金额度</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7B58A10D">
            <w:pPr>
              <w:rPr>
                <w:rFonts w:ascii="宋体" w:hAnsi="宋体"/>
                <w:color w:val="auto"/>
                <w:szCs w:val="21"/>
                <w:highlight w:val="none"/>
              </w:rPr>
            </w:pPr>
            <w:r>
              <w:rPr>
                <w:rFonts w:hint="eastAsia" w:ascii="宋体" w:hAnsi="宋体"/>
                <w:color w:val="auto"/>
                <w:szCs w:val="21"/>
                <w:highlight w:val="none"/>
              </w:rPr>
              <w:t>15.3.1</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25C5ABBA">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6615AD3B">
            <w:pPr>
              <w:jc w:val="center"/>
              <w:rPr>
                <w:rFonts w:ascii="宋体" w:hAnsi="宋体"/>
                <w:color w:val="auto"/>
                <w:szCs w:val="21"/>
                <w:highlight w:val="none"/>
              </w:rPr>
            </w:pPr>
          </w:p>
        </w:tc>
      </w:tr>
      <w:tr w14:paraId="2408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0C5ABF8">
            <w:pPr>
              <w:jc w:val="center"/>
              <w:rPr>
                <w:rFonts w:ascii="宋体" w:hAnsi="宋体"/>
                <w:color w:val="auto"/>
                <w:szCs w:val="21"/>
                <w:highlight w:val="none"/>
              </w:rPr>
            </w:pPr>
            <w:r>
              <w:rPr>
                <w:rFonts w:hint="eastAsia" w:ascii="宋体" w:hAnsi="宋体"/>
                <w:color w:val="auto"/>
                <w:szCs w:val="21"/>
                <w:highlight w:val="none"/>
              </w:rPr>
              <w:t>15</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5774721C">
            <w:pPr>
              <w:rPr>
                <w:rFonts w:ascii="宋体" w:hAnsi="宋体"/>
                <w:color w:val="auto"/>
                <w:szCs w:val="21"/>
                <w:highlight w:val="none"/>
              </w:rPr>
            </w:pPr>
            <w:r>
              <w:rPr>
                <w:rFonts w:hint="eastAsia"/>
                <w:color w:val="auto"/>
                <w:highlight w:val="none"/>
              </w:rPr>
              <w:t>质量保证金的扣留方式</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40EA95F6">
            <w:pPr>
              <w:rPr>
                <w:rFonts w:ascii="宋体" w:hAnsi="宋体"/>
                <w:color w:val="auto"/>
                <w:szCs w:val="21"/>
                <w:highlight w:val="none"/>
              </w:rPr>
            </w:pPr>
            <w:r>
              <w:rPr>
                <w:rFonts w:hint="eastAsia" w:ascii="宋体" w:hAnsi="宋体"/>
                <w:color w:val="auto"/>
                <w:szCs w:val="21"/>
                <w:highlight w:val="none"/>
              </w:rPr>
              <w:t>15.3.2</w:t>
            </w:r>
          </w:p>
        </w:tc>
        <w:tc>
          <w:tcPr>
            <w:tcW w:w="4207" w:type="dxa"/>
            <w:tcBorders>
              <w:top w:val="single" w:color="auto" w:sz="4" w:space="0"/>
              <w:left w:val="single" w:color="auto" w:sz="4" w:space="0"/>
              <w:bottom w:val="single" w:color="auto" w:sz="4" w:space="0"/>
              <w:right w:val="single" w:color="auto" w:sz="4" w:space="0"/>
            </w:tcBorders>
            <w:noWrap w:val="0"/>
            <w:vAlign w:val="center"/>
          </w:tcPr>
          <w:p w14:paraId="1CB1EE2E">
            <w:pPr>
              <w:rPr>
                <w:rFonts w:ascii="宋体" w:hAnsi="宋体"/>
                <w:color w:val="auto"/>
                <w:szCs w:val="21"/>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C42083D">
            <w:pPr>
              <w:jc w:val="center"/>
              <w:rPr>
                <w:rFonts w:ascii="宋体" w:hAnsi="宋体"/>
                <w:color w:val="auto"/>
                <w:szCs w:val="21"/>
                <w:highlight w:val="none"/>
              </w:rPr>
            </w:pPr>
          </w:p>
        </w:tc>
      </w:tr>
      <w:tr w14:paraId="0501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B5FADF0">
            <w:pPr>
              <w:autoSpaceDE w:val="0"/>
              <w:autoSpaceDN w:val="0"/>
              <w:adjustRightInd w:val="0"/>
              <w:spacing w:before="72" w:beforeLines="30"/>
              <w:jc w:val="center"/>
              <w:rPr>
                <w:rFonts w:ascii="宋体" w:hAnsi="宋体" w:cs="Arial"/>
                <w:color w:val="auto"/>
                <w:kern w:val="0"/>
                <w:szCs w:val="21"/>
                <w:highlight w:val="none"/>
              </w:rPr>
            </w:pPr>
            <w:r>
              <w:rPr>
                <w:rFonts w:hint="eastAsia" w:ascii="宋体" w:hAnsi="宋体" w:cs="Arial"/>
                <w:color w:val="auto"/>
                <w:kern w:val="0"/>
                <w:szCs w:val="21"/>
                <w:highlight w:val="none"/>
              </w:rPr>
              <w:t>16</w:t>
            </w:r>
          </w:p>
        </w:tc>
        <w:tc>
          <w:tcPr>
            <w:tcW w:w="2399" w:type="dxa"/>
            <w:tcBorders>
              <w:top w:val="single" w:color="auto" w:sz="4" w:space="0"/>
              <w:left w:val="single" w:color="auto" w:sz="4" w:space="0"/>
              <w:bottom w:val="single" w:color="auto" w:sz="4" w:space="0"/>
              <w:right w:val="single" w:color="auto" w:sz="4" w:space="0"/>
            </w:tcBorders>
            <w:noWrap w:val="0"/>
            <w:vAlign w:val="center"/>
          </w:tcPr>
          <w:p w14:paraId="22F800CE">
            <w:pPr>
              <w:autoSpaceDE w:val="0"/>
              <w:autoSpaceDN w:val="0"/>
              <w:adjustRightInd w:val="0"/>
              <w:spacing w:before="72" w:beforeLines="30"/>
              <w:rPr>
                <w:rFonts w:ascii="宋体" w:hAnsi="宋体" w:cs="Arial"/>
                <w:color w:val="auto"/>
                <w:kern w:val="0"/>
                <w:szCs w:val="21"/>
                <w:highlight w:val="none"/>
              </w:rPr>
            </w:pPr>
            <w:r>
              <w:rPr>
                <w:rFonts w:hint="eastAsia" w:ascii="宋体" w:hAnsi="宋体" w:cs="Arial"/>
                <w:color w:val="auto"/>
                <w:kern w:val="0"/>
                <w:szCs w:val="21"/>
                <w:highlight w:val="none"/>
              </w:rPr>
              <w:t>技术标准和要求</w:t>
            </w:r>
          </w:p>
        </w:tc>
        <w:tc>
          <w:tcPr>
            <w:tcW w:w="1314" w:type="dxa"/>
            <w:tcBorders>
              <w:top w:val="single" w:color="auto" w:sz="4" w:space="0"/>
              <w:left w:val="single" w:color="auto" w:sz="4" w:space="0"/>
              <w:bottom w:val="single" w:color="auto" w:sz="4" w:space="0"/>
              <w:right w:val="single" w:color="auto" w:sz="4" w:space="0"/>
            </w:tcBorders>
            <w:noWrap w:val="0"/>
            <w:tcMar>
              <w:top w:w="0" w:type="dxa"/>
              <w:left w:w="170" w:type="dxa"/>
              <w:bottom w:w="0" w:type="dxa"/>
              <w:right w:w="108" w:type="dxa"/>
            </w:tcMar>
            <w:vAlign w:val="center"/>
          </w:tcPr>
          <w:p w14:paraId="77FFC381">
            <w:pPr>
              <w:autoSpaceDE w:val="0"/>
              <w:autoSpaceDN w:val="0"/>
              <w:adjustRightInd w:val="0"/>
              <w:spacing w:before="72" w:beforeLines="30"/>
              <w:rPr>
                <w:rFonts w:ascii="宋体" w:hAnsi="宋体" w:cs="Arial"/>
                <w:bCs/>
                <w:color w:val="auto"/>
                <w:kern w:val="0"/>
                <w:szCs w:val="21"/>
                <w:highlight w:val="none"/>
              </w:rPr>
            </w:pPr>
          </w:p>
        </w:tc>
        <w:tc>
          <w:tcPr>
            <w:tcW w:w="4207" w:type="dxa"/>
            <w:tcBorders>
              <w:top w:val="single" w:color="auto" w:sz="4" w:space="0"/>
              <w:left w:val="single" w:color="auto" w:sz="4" w:space="0"/>
              <w:bottom w:val="single" w:color="auto" w:sz="4" w:space="0"/>
              <w:right w:val="single" w:color="auto" w:sz="4" w:space="0"/>
            </w:tcBorders>
            <w:noWrap w:val="0"/>
            <w:vAlign w:val="center"/>
          </w:tcPr>
          <w:p w14:paraId="5DB9282E">
            <w:pPr>
              <w:autoSpaceDE w:val="0"/>
              <w:autoSpaceDN w:val="0"/>
              <w:adjustRightInd w:val="0"/>
              <w:spacing w:before="72" w:beforeLines="30"/>
              <w:rPr>
                <w:rFonts w:ascii="宋体" w:hAnsi="宋体" w:cs="Arial"/>
                <w:color w:val="auto"/>
                <w:kern w:val="0"/>
                <w:szCs w:val="21"/>
                <w:highlight w:val="none"/>
              </w:rPr>
            </w:pPr>
            <w:r>
              <w:rPr>
                <w:rFonts w:hint="eastAsia" w:ascii="宋体" w:hAnsi="宋体"/>
                <w:color w:val="auto"/>
                <w:szCs w:val="21"/>
                <w:highlight w:val="none"/>
              </w:rPr>
              <w:t>符合第七章“技术标准和要求”规定</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09B8CC3D">
            <w:pPr>
              <w:jc w:val="center"/>
              <w:rPr>
                <w:rFonts w:ascii="宋体" w:hAnsi="宋体"/>
                <w:color w:val="auto"/>
                <w:szCs w:val="21"/>
                <w:highlight w:val="none"/>
              </w:rPr>
            </w:pPr>
          </w:p>
        </w:tc>
      </w:tr>
      <w:tr w14:paraId="2A583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360" w:type="dxa"/>
            <w:gridSpan w:val="5"/>
            <w:tcBorders>
              <w:top w:val="single" w:color="auto" w:sz="4" w:space="0"/>
              <w:left w:val="single" w:color="auto" w:sz="4" w:space="0"/>
              <w:bottom w:val="single" w:color="auto" w:sz="4" w:space="0"/>
              <w:right w:val="single" w:color="auto" w:sz="4" w:space="0"/>
            </w:tcBorders>
            <w:noWrap w:val="0"/>
            <w:vAlign w:val="center"/>
          </w:tcPr>
          <w:p w14:paraId="629D6FF1">
            <w:pPr>
              <w:rPr>
                <w:rFonts w:ascii="宋体" w:hAnsi="宋体"/>
                <w:color w:val="auto"/>
                <w:szCs w:val="21"/>
                <w:highlight w:val="none"/>
              </w:rPr>
            </w:pPr>
            <w:r>
              <w:rPr>
                <w:rFonts w:hint="eastAsia" w:ascii="黑体" w:hAnsi="宋体" w:eastAsia="黑体"/>
                <w:color w:val="auto"/>
                <w:szCs w:val="21"/>
                <w:highlight w:val="none"/>
              </w:rPr>
              <w:t>备注：</w:t>
            </w:r>
            <w:r>
              <w:rPr>
                <w:rFonts w:hint="eastAsia" w:ascii="宋体" w:hAnsi="宋体"/>
                <w:color w:val="auto"/>
                <w:szCs w:val="21"/>
                <w:highlight w:val="none"/>
              </w:rPr>
              <w:t>投标人在响应招标文件中规定的实质性要求和条件的基础上，可做出其他有利于招标人的承诺。此类承诺可在本表中予以补充填写。</w:t>
            </w:r>
          </w:p>
        </w:tc>
      </w:tr>
    </w:tbl>
    <w:p w14:paraId="374C45BD">
      <w:pPr>
        <w:spacing w:line="440" w:lineRule="exact"/>
        <w:ind w:firstLine="3675" w:firstLineChars="1750"/>
        <w:rPr>
          <w:rFonts w:hint="eastAsia" w:ascii="Times New Roman" w:hAnsi="Times New Roman"/>
          <w:color w:val="auto"/>
          <w:szCs w:val="21"/>
          <w:highlight w:val="none"/>
        </w:rPr>
      </w:pPr>
    </w:p>
    <w:p w14:paraId="06933827">
      <w:pPr>
        <w:spacing w:line="440" w:lineRule="exact"/>
        <w:ind w:firstLine="3675" w:firstLineChars="1750"/>
        <w:rPr>
          <w:color w:val="auto"/>
          <w:szCs w:val="21"/>
          <w:highlight w:val="none"/>
        </w:rPr>
      </w:pPr>
      <w:r>
        <w:rPr>
          <w:rFonts w:hint="eastAsia"/>
          <w:color w:val="auto"/>
          <w:szCs w:val="21"/>
          <w:highlight w:val="none"/>
        </w:rPr>
        <w:t>投</w:t>
      </w:r>
      <w:r>
        <w:rPr>
          <w:color w:val="auto"/>
          <w:szCs w:val="21"/>
          <w:highlight w:val="none"/>
        </w:rPr>
        <w:t xml:space="preserve"> </w:t>
      </w:r>
      <w:r>
        <w:rPr>
          <w:rFonts w:hint="eastAsia"/>
          <w:color w:val="auto"/>
          <w:szCs w:val="21"/>
          <w:highlight w:val="none"/>
        </w:rPr>
        <w:t>标</w:t>
      </w:r>
      <w:r>
        <w:rPr>
          <w:color w:val="auto"/>
          <w:szCs w:val="21"/>
          <w:highlight w:val="none"/>
        </w:rPr>
        <w:t xml:space="preserve"> </w:t>
      </w:r>
      <w:r>
        <w:rPr>
          <w:rFonts w:hint="eastAsia"/>
          <w:color w:val="auto"/>
          <w:szCs w:val="21"/>
          <w:highlight w:val="none"/>
        </w:rPr>
        <w:t>人：</w:t>
      </w:r>
      <w:r>
        <w:rPr>
          <w:color w:val="auto"/>
          <w:szCs w:val="21"/>
          <w:highlight w:val="none"/>
          <w:u w:val="single"/>
        </w:rPr>
        <w:t xml:space="preserve">                      </w:t>
      </w:r>
      <w:r>
        <w:rPr>
          <w:rFonts w:hint="eastAsia"/>
          <w:color w:val="auto"/>
          <w:szCs w:val="21"/>
          <w:highlight w:val="none"/>
        </w:rPr>
        <w:t>（盖单位章）</w:t>
      </w:r>
    </w:p>
    <w:p w14:paraId="3D9522D7">
      <w:pPr>
        <w:spacing w:line="440" w:lineRule="exact"/>
        <w:ind w:firstLine="3675" w:firstLineChars="1750"/>
        <w:rPr>
          <w:color w:val="auto"/>
          <w:szCs w:val="21"/>
          <w:highlight w:val="none"/>
        </w:rPr>
      </w:pPr>
      <w:r>
        <w:rPr>
          <w:rFonts w:hint="eastAsia"/>
          <w:color w:val="auto"/>
          <w:szCs w:val="21"/>
          <w:highlight w:val="none"/>
        </w:rPr>
        <w:t>法定代表人：</w:t>
      </w:r>
      <w:r>
        <w:rPr>
          <w:color w:val="auto"/>
          <w:szCs w:val="21"/>
          <w:highlight w:val="none"/>
          <w:u w:val="single"/>
        </w:rPr>
        <w:t xml:space="preserve">                        </w:t>
      </w:r>
      <w:r>
        <w:rPr>
          <w:rFonts w:hint="eastAsia"/>
          <w:color w:val="auto"/>
          <w:szCs w:val="21"/>
          <w:highlight w:val="none"/>
        </w:rPr>
        <w:t>（签字）</w:t>
      </w:r>
    </w:p>
    <w:p w14:paraId="1FAF956F">
      <w:pPr>
        <w:spacing w:line="440" w:lineRule="exact"/>
        <w:ind w:firstLine="5040" w:firstLineChars="2400"/>
        <w:rPr>
          <w:color w:val="auto"/>
          <w:szCs w:val="21"/>
          <w:highlight w:val="none"/>
        </w:rPr>
      </w:pP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1475CC66">
      <w:pPr>
        <w:spacing w:line="440" w:lineRule="exact"/>
        <w:rPr>
          <w:color w:val="auto"/>
          <w:szCs w:val="21"/>
          <w:highlight w:val="none"/>
        </w:rPr>
      </w:pPr>
    </w:p>
    <w:p w14:paraId="56302230">
      <w:pPr>
        <w:spacing w:line="320" w:lineRule="exact"/>
        <w:rPr>
          <w:color w:val="auto"/>
          <w:szCs w:val="24"/>
          <w:highlight w:val="none"/>
        </w:rPr>
      </w:pPr>
      <w:r>
        <w:rPr>
          <w:rFonts w:hint="eastAsia"/>
          <w:color w:val="auto"/>
          <w:highlight w:val="none"/>
        </w:rPr>
        <w:t>备注：本附录适用于《建设工程施工合同（示范文本）》（</w:t>
      </w:r>
      <w:r>
        <w:rPr>
          <w:color w:val="auto"/>
          <w:highlight w:val="none"/>
        </w:rPr>
        <w:t>GF-2017-0201</w:t>
      </w:r>
      <w:r>
        <w:rPr>
          <w:rFonts w:hint="eastAsia"/>
          <w:color w:val="auto"/>
          <w:highlight w:val="none"/>
        </w:rPr>
        <w:t>）</w:t>
      </w:r>
    </w:p>
    <w:p w14:paraId="4E9815D1">
      <w:pPr>
        <w:spacing w:after="120" w:afterLines="50" w:line="480" w:lineRule="exact"/>
        <w:jc w:val="left"/>
        <w:rPr>
          <w:color w:val="auto"/>
          <w:highlight w:val="none"/>
        </w:rPr>
      </w:pPr>
    </w:p>
    <w:p w14:paraId="2786BF7B">
      <w:pPr>
        <w:spacing w:after="120" w:afterLines="50" w:line="480" w:lineRule="exact"/>
        <w:jc w:val="center"/>
        <w:rPr>
          <w:rFonts w:ascii="黑体" w:hAnsi="宋体" w:eastAsia="黑体"/>
          <w:color w:val="auto"/>
          <w:sz w:val="24"/>
          <w:highlight w:val="none"/>
        </w:rPr>
      </w:pPr>
      <w:r>
        <w:rPr>
          <w:rFonts w:hint="eastAsia" w:ascii="黑体" w:hAnsi="宋体" w:eastAsia="黑体"/>
          <w:color w:val="auto"/>
          <w:sz w:val="24"/>
          <w:highlight w:val="none"/>
        </w:rPr>
        <w:t>价格指数权重表</w:t>
      </w: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89"/>
        <w:gridCol w:w="707"/>
        <w:gridCol w:w="989"/>
        <w:gridCol w:w="707"/>
        <w:gridCol w:w="1271"/>
        <w:gridCol w:w="1695"/>
        <w:gridCol w:w="1695"/>
      </w:tblGrid>
      <w:tr w14:paraId="129AB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1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E8ADD06">
            <w:pPr>
              <w:jc w:val="center"/>
              <w:rPr>
                <w:rFonts w:ascii="宋体" w:hAnsi="宋体"/>
                <w:color w:val="auto"/>
                <w:szCs w:val="21"/>
                <w:highlight w:val="none"/>
              </w:rPr>
            </w:pPr>
            <w:r>
              <w:rPr>
                <w:rFonts w:hint="eastAsia" w:ascii="宋体" w:hAnsi="宋体"/>
                <w:color w:val="auto"/>
                <w:szCs w:val="21"/>
                <w:highlight w:val="none"/>
              </w:rPr>
              <w:t>名 称</w:t>
            </w:r>
          </w:p>
        </w:tc>
        <w:tc>
          <w:tcPr>
            <w:tcW w:w="1695" w:type="dxa"/>
            <w:gridSpan w:val="2"/>
            <w:tcBorders>
              <w:top w:val="single" w:color="auto" w:sz="4" w:space="0"/>
              <w:left w:val="single" w:color="auto" w:sz="4" w:space="0"/>
              <w:bottom w:val="single" w:color="auto" w:sz="4" w:space="0"/>
              <w:right w:val="single" w:color="auto" w:sz="4" w:space="0"/>
            </w:tcBorders>
            <w:noWrap w:val="0"/>
            <w:vAlign w:val="center"/>
          </w:tcPr>
          <w:p w14:paraId="0EEA68B5">
            <w:pPr>
              <w:jc w:val="center"/>
              <w:rPr>
                <w:rFonts w:ascii="宋体" w:hAnsi="宋体"/>
                <w:color w:val="auto"/>
                <w:szCs w:val="21"/>
                <w:highlight w:val="none"/>
              </w:rPr>
            </w:pPr>
            <w:r>
              <w:rPr>
                <w:rFonts w:hint="eastAsia" w:ascii="宋体" w:hAnsi="宋体"/>
                <w:color w:val="auto"/>
                <w:szCs w:val="21"/>
                <w:highlight w:val="none"/>
              </w:rPr>
              <w:t>基本价格指数</w:t>
            </w:r>
          </w:p>
        </w:tc>
        <w:tc>
          <w:tcPr>
            <w:tcW w:w="3673" w:type="dxa"/>
            <w:gridSpan w:val="3"/>
            <w:tcBorders>
              <w:top w:val="single" w:color="auto" w:sz="4" w:space="0"/>
              <w:left w:val="single" w:color="auto" w:sz="4" w:space="0"/>
              <w:bottom w:val="single" w:color="auto" w:sz="4" w:space="0"/>
              <w:right w:val="single" w:color="auto" w:sz="4" w:space="0"/>
            </w:tcBorders>
            <w:noWrap w:val="0"/>
            <w:vAlign w:val="center"/>
          </w:tcPr>
          <w:p w14:paraId="0BD862B1">
            <w:pPr>
              <w:jc w:val="center"/>
              <w:rPr>
                <w:rFonts w:ascii="宋体" w:hAnsi="宋体"/>
                <w:color w:val="auto"/>
                <w:szCs w:val="21"/>
                <w:highlight w:val="none"/>
              </w:rPr>
            </w:pPr>
            <w:r>
              <w:rPr>
                <w:rFonts w:hint="eastAsia" w:ascii="宋体" w:hAnsi="宋体"/>
                <w:color w:val="auto"/>
                <w:szCs w:val="21"/>
                <w:highlight w:val="none"/>
              </w:rPr>
              <w:t>权     重</w:t>
            </w:r>
          </w:p>
        </w:tc>
        <w:tc>
          <w:tcPr>
            <w:tcW w:w="1695" w:type="dxa"/>
            <w:vMerge w:val="restart"/>
            <w:tcBorders>
              <w:top w:val="single" w:color="auto" w:sz="4" w:space="0"/>
              <w:left w:val="single" w:color="auto" w:sz="4" w:space="0"/>
              <w:bottom w:val="single" w:color="auto" w:sz="4" w:space="0"/>
              <w:right w:val="single" w:color="auto" w:sz="4" w:space="0"/>
            </w:tcBorders>
            <w:noWrap w:val="0"/>
            <w:vAlign w:val="center"/>
          </w:tcPr>
          <w:p w14:paraId="651C97A2">
            <w:pPr>
              <w:jc w:val="center"/>
              <w:rPr>
                <w:rFonts w:ascii="宋体" w:hAnsi="宋体"/>
                <w:color w:val="auto"/>
                <w:szCs w:val="21"/>
                <w:highlight w:val="none"/>
              </w:rPr>
            </w:pPr>
            <w:r>
              <w:rPr>
                <w:rFonts w:hint="eastAsia" w:ascii="宋体" w:hAnsi="宋体"/>
                <w:color w:val="auto"/>
                <w:szCs w:val="21"/>
                <w:highlight w:val="none"/>
              </w:rPr>
              <w:t>价格指数来源</w:t>
            </w:r>
          </w:p>
        </w:tc>
      </w:tr>
      <w:tr w14:paraId="3425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1FC844FD">
            <w:pPr>
              <w:widowControl/>
              <w:jc w:val="left"/>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7821D028">
            <w:pPr>
              <w:jc w:val="center"/>
              <w:rPr>
                <w:rFonts w:ascii="宋体" w:hAnsi="宋体"/>
                <w:color w:val="auto"/>
                <w:szCs w:val="21"/>
                <w:highlight w:val="none"/>
              </w:rPr>
            </w:pPr>
            <w:r>
              <w:rPr>
                <w:rFonts w:hint="eastAsia" w:ascii="宋体" w:hAnsi="宋体"/>
                <w:color w:val="auto"/>
                <w:szCs w:val="21"/>
                <w:highlight w:val="none"/>
              </w:rPr>
              <w:t>代号</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704B6BF4">
            <w:pPr>
              <w:jc w:val="center"/>
              <w:rPr>
                <w:rFonts w:ascii="宋体" w:hAnsi="宋体"/>
                <w:color w:val="auto"/>
                <w:szCs w:val="21"/>
                <w:highlight w:val="none"/>
              </w:rPr>
            </w:pPr>
            <w:r>
              <w:rPr>
                <w:rFonts w:hint="eastAsia" w:ascii="宋体" w:hAnsi="宋体"/>
                <w:color w:val="auto"/>
                <w:szCs w:val="21"/>
                <w:highlight w:val="none"/>
              </w:rPr>
              <w:t>指数值</w:t>
            </w:r>
          </w:p>
        </w:tc>
        <w:tc>
          <w:tcPr>
            <w:tcW w:w="707" w:type="dxa"/>
            <w:tcBorders>
              <w:top w:val="single" w:color="auto" w:sz="4" w:space="0"/>
              <w:left w:val="single" w:color="auto" w:sz="4" w:space="0"/>
              <w:bottom w:val="single" w:color="auto" w:sz="4" w:space="0"/>
              <w:right w:val="single" w:color="auto" w:sz="4" w:space="0"/>
            </w:tcBorders>
            <w:noWrap w:val="0"/>
            <w:vAlign w:val="center"/>
          </w:tcPr>
          <w:p w14:paraId="38402C2C">
            <w:pPr>
              <w:jc w:val="center"/>
              <w:rPr>
                <w:rFonts w:ascii="宋体" w:hAnsi="宋体"/>
                <w:color w:val="auto"/>
                <w:szCs w:val="21"/>
                <w:highlight w:val="none"/>
              </w:rPr>
            </w:pPr>
            <w:r>
              <w:rPr>
                <w:rFonts w:hint="eastAsia" w:ascii="宋体" w:hAnsi="宋体"/>
                <w:color w:val="auto"/>
                <w:szCs w:val="21"/>
                <w:highlight w:val="none"/>
              </w:rPr>
              <w:t>代号</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62D68731">
            <w:pPr>
              <w:jc w:val="center"/>
              <w:rPr>
                <w:rFonts w:ascii="宋体" w:hAnsi="宋体"/>
                <w:color w:val="auto"/>
                <w:szCs w:val="21"/>
                <w:highlight w:val="none"/>
              </w:rPr>
            </w:pPr>
            <w:r>
              <w:rPr>
                <w:rFonts w:hint="eastAsia" w:ascii="宋体" w:hAnsi="宋体"/>
                <w:color w:val="auto"/>
                <w:szCs w:val="21"/>
                <w:highlight w:val="none"/>
              </w:rPr>
              <w:t>允许范围</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37EA79BB">
            <w:pPr>
              <w:jc w:val="center"/>
              <w:rPr>
                <w:rFonts w:ascii="宋体" w:hAnsi="宋体"/>
                <w:color w:val="auto"/>
                <w:szCs w:val="21"/>
                <w:highlight w:val="none"/>
              </w:rPr>
            </w:pPr>
            <w:r>
              <w:rPr>
                <w:rFonts w:hint="eastAsia" w:ascii="宋体" w:hAnsi="宋体"/>
                <w:color w:val="auto"/>
                <w:szCs w:val="21"/>
                <w:highlight w:val="none"/>
              </w:rPr>
              <w:t>投标人建议值</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E18E97">
            <w:pPr>
              <w:widowControl/>
              <w:jc w:val="left"/>
              <w:rPr>
                <w:rFonts w:ascii="宋体" w:hAnsi="宋体"/>
                <w:color w:val="auto"/>
                <w:szCs w:val="21"/>
                <w:highlight w:val="none"/>
              </w:rPr>
            </w:pPr>
          </w:p>
        </w:tc>
      </w:tr>
      <w:tr w14:paraId="7D4F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1D4BF02E">
            <w:pPr>
              <w:jc w:val="center"/>
              <w:rPr>
                <w:rFonts w:ascii="宋体" w:hAnsi="宋体"/>
                <w:color w:val="auto"/>
                <w:szCs w:val="21"/>
                <w:highlight w:val="none"/>
              </w:rPr>
            </w:pPr>
            <w:r>
              <w:rPr>
                <w:rFonts w:hint="eastAsia" w:ascii="宋体" w:hAnsi="宋体"/>
                <w:color w:val="auto"/>
                <w:szCs w:val="21"/>
                <w:highlight w:val="none"/>
              </w:rPr>
              <w:t>定值部分</w:t>
            </w:r>
          </w:p>
        </w:tc>
        <w:tc>
          <w:tcPr>
            <w:tcW w:w="707" w:type="dxa"/>
            <w:tcBorders>
              <w:top w:val="single" w:color="auto" w:sz="4" w:space="0"/>
              <w:left w:val="single" w:color="auto" w:sz="4" w:space="0"/>
              <w:bottom w:val="single" w:color="auto" w:sz="4" w:space="0"/>
              <w:right w:val="single" w:color="auto" w:sz="4" w:space="0"/>
            </w:tcBorders>
            <w:noWrap w:val="0"/>
            <w:vAlign w:val="center"/>
          </w:tcPr>
          <w:p w14:paraId="5B7D6C83">
            <w:pPr>
              <w:jc w:val="center"/>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63A16C6D">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191D6981">
            <w:pPr>
              <w:jc w:val="center"/>
              <w:rPr>
                <w:rFonts w:ascii="宋体" w:hAnsi="宋体"/>
                <w:color w:val="auto"/>
                <w:szCs w:val="21"/>
                <w:highlight w:val="none"/>
              </w:rPr>
            </w:pPr>
            <w:r>
              <w:rPr>
                <w:rFonts w:hint="eastAsia" w:ascii="宋体" w:hAnsi="宋体"/>
                <w:color w:val="auto"/>
                <w:szCs w:val="21"/>
                <w:highlight w:val="none"/>
              </w:rPr>
              <w:t>A</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49CF1441">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60217878">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625A391A">
            <w:pPr>
              <w:jc w:val="center"/>
              <w:rPr>
                <w:rFonts w:ascii="宋体" w:hAnsi="宋体"/>
                <w:color w:val="auto"/>
                <w:szCs w:val="21"/>
                <w:highlight w:val="none"/>
              </w:rPr>
            </w:pPr>
          </w:p>
        </w:tc>
      </w:tr>
      <w:tr w14:paraId="725C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5" w:type="dxa"/>
            <w:vMerge w:val="restart"/>
            <w:tcBorders>
              <w:top w:val="single" w:color="auto" w:sz="4" w:space="0"/>
              <w:left w:val="single" w:color="auto" w:sz="4" w:space="0"/>
              <w:bottom w:val="single" w:color="auto" w:sz="4" w:space="0"/>
              <w:right w:val="single" w:color="auto" w:sz="4" w:space="0"/>
            </w:tcBorders>
            <w:noWrap w:val="0"/>
            <w:vAlign w:val="center"/>
          </w:tcPr>
          <w:p w14:paraId="04E67754">
            <w:pPr>
              <w:jc w:val="center"/>
              <w:rPr>
                <w:rFonts w:ascii="宋体" w:hAnsi="宋体"/>
                <w:color w:val="auto"/>
                <w:szCs w:val="21"/>
                <w:highlight w:val="none"/>
              </w:rPr>
            </w:pPr>
            <w:r>
              <w:rPr>
                <w:rFonts w:hint="eastAsia" w:ascii="宋体" w:hAnsi="宋体"/>
                <w:color w:val="auto"/>
                <w:szCs w:val="21"/>
                <w:highlight w:val="none"/>
              </w:rPr>
              <w:t>变</w:t>
            </w:r>
          </w:p>
          <w:p w14:paraId="6702144F">
            <w:pPr>
              <w:jc w:val="center"/>
              <w:rPr>
                <w:rFonts w:hint="eastAsia" w:ascii="宋体" w:hAnsi="宋体"/>
                <w:color w:val="auto"/>
                <w:szCs w:val="21"/>
                <w:highlight w:val="none"/>
              </w:rPr>
            </w:pPr>
            <w:r>
              <w:rPr>
                <w:rFonts w:hint="eastAsia" w:ascii="宋体" w:hAnsi="宋体"/>
                <w:color w:val="auto"/>
                <w:szCs w:val="21"/>
                <w:highlight w:val="none"/>
              </w:rPr>
              <w:t>值</w:t>
            </w:r>
          </w:p>
          <w:p w14:paraId="420EBB7A">
            <w:pPr>
              <w:jc w:val="center"/>
              <w:rPr>
                <w:rFonts w:hint="eastAsia" w:ascii="宋体" w:hAnsi="宋体"/>
                <w:color w:val="auto"/>
                <w:szCs w:val="21"/>
                <w:highlight w:val="none"/>
              </w:rPr>
            </w:pPr>
            <w:r>
              <w:rPr>
                <w:rFonts w:hint="eastAsia" w:ascii="宋体" w:hAnsi="宋体"/>
                <w:color w:val="auto"/>
                <w:szCs w:val="21"/>
                <w:highlight w:val="none"/>
              </w:rPr>
              <w:t>部</w:t>
            </w:r>
          </w:p>
          <w:p w14:paraId="3A4CC4F9">
            <w:pPr>
              <w:jc w:val="center"/>
              <w:rPr>
                <w:rFonts w:ascii="宋体" w:hAnsi="宋体"/>
                <w:color w:val="auto"/>
                <w:szCs w:val="21"/>
                <w:highlight w:val="none"/>
              </w:rPr>
            </w:pPr>
            <w:r>
              <w:rPr>
                <w:rFonts w:hint="eastAsia" w:ascii="宋体" w:hAnsi="宋体"/>
                <w:color w:val="auto"/>
                <w:szCs w:val="21"/>
                <w:highlight w:val="none"/>
              </w:rPr>
              <w:t>分</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7205292D">
            <w:pPr>
              <w:jc w:val="center"/>
              <w:rPr>
                <w:rFonts w:ascii="宋体" w:hAnsi="宋体"/>
                <w:color w:val="auto"/>
                <w:szCs w:val="21"/>
                <w:highlight w:val="none"/>
              </w:rPr>
            </w:pPr>
            <w:r>
              <w:rPr>
                <w:rFonts w:hint="eastAsia" w:ascii="宋体" w:hAnsi="宋体"/>
                <w:color w:val="auto"/>
                <w:szCs w:val="21"/>
                <w:highlight w:val="none"/>
              </w:rPr>
              <w:t>人工费</w:t>
            </w:r>
          </w:p>
        </w:tc>
        <w:tc>
          <w:tcPr>
            <w:tcW w:w="707" w:type="dxa"/>
            <w:tcBorders>
              <w:top w:val="single" w:color="auto" w:sz="4" w:space="0"/>
              <w:left w:val="single" w:color="auto" w:sz="4" w:space="0"/>
              <w:bottom w:val="single" w:color="auto" w:sz="4" w:space="0"/>
              <w:right w:val="single" w:color="auto" w:sz="4" w:space="0"/>
            </w:tcBorders>
            <w:noWrap w:val="0"/>
            <w:vAlign w:val="center"/>
          </w:tcPr>
          <w:p w14:paraId="68B92006">
            <w:pPr>
              <w:jc w:val="center"/>
              <w:rPr>
                <w:rFonts w:ascii="宋体" w:hAnsi="宋体"/>
                <w:color w:val="auto"/>
                <w:szCs w:val="21"/>
                <w:highlight w:val="none"/>
              </w:rPr>
            </w:pPr>
            <w:r>
              <w:rPr>
                <w:rFonts w:hint="eastAsia" w:ascii="宋体" w:hAnsi="宋体"/>
                <w:color w:val="auto"/>
                <w:szCs w:val="21"/>
                <w:highlight w:val="none"/>
              </w:rPr>
              <w:t>F</w:t>
            </w:r>
            <w:r>
              <w:rPr>
                <w:rFonts w:hint="eastAsia" w:ascii="宋体" w:hAnsi="宋体"/>
                <w:color w:val="auto"/>
                <w:szCs w:val="21"/>
                <w:highlight w:val="none"/>
                <w:vertAlign w:val="subscript"/>
              </w:rPr>
              <w:t>01</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3CFAC033">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02E4ED1D">
            <w:pPr>
              <w:jc w:val="center"/>
              <w:rPr>
                <w:rFonts w:ascii="宋体" w:hAnsi="宋体"/>
                <w:color w:val="auto"/>
                <w:szCs w:val="21"/>
                <w:highlight w:val="none"/>
              </w:rPr>
            </w:pPr>
            <w:r>
              <w:rPr>
                <w:rFonts w:hint="eastAsia" w:ascii="宋体" w:hAnsi="宋体"/>
                <w:color w:val="auto"/>
                <w:szCs w:val="21"/>
                <w:highlight w:val="none"/>
              </w:rPr>
              <w:t>B</w:t>
            </w:r>
            <w:r>
              <w:rPr>
                <w:rFonts w:hint="eastAsia" w:ascii="宋体" w:hAnsi="宋体"/>
                <w:color w:val="auto"/>
                <w:szCs w:val="21"/>
                <w:highlight w:val="none"/>
                <w:vertAlign w:val="subscript"/>
              </w:rPr>
              <w:t>1</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482CC79D">
            <w:pPr>
              <w:ind w:firstLine="105" w:firstLineChars="5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至</w:t>
            </w:r>
            <w:r>
              <w:rPr>
                <w:rFonts w:hint="eastAsia" w:ascii="宋体" w:hAnsi="宋体"/>
                <w:color w:val="auto"/>
                <w:szCs w:val="21"/>
                <w:highlight w:val="none"/>
                <w:u w:val="single"/>
              </w:rPr>
              <w:t xml:space="preserve">   </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1DFCC1AF">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6A19C672">
            <w:pPr>
              <w:jc w:val="center"/>
              <w:rPr>
                <w:rFonts w:ascii="宋体" w:hAnsi="宋体"/>
                <w:color w:val="auto"/>
                <w:szCs w:val="21"/>
                <w:highlight w:val="none"/>
              </w:rPr>
            </w:pPr>
          </w:p>
        </w:tc>
      </w:tr>
      <w:tr w14:paraId="736D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9C6603">
            <w:pPr>
              <w:widowControl/>
              <w:jc w:val="left"/>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57C97DC7">
            <w:pPr>
              <w:jc w:val="center"/>
              <w:rPr>
                <w:rFonts w:ascii="宋体" w:hAnsi="宋体"/>
                <w:color w:val="auto"/>
                <w:szCs w:val="21"/>
                <w:highlight w:val="none"/>
              </w:rPr>
            </w:pPr>
            <w:r>
              <w:rPr>
                <w:rFonts w:hint="eastAsia" w:ascii="宋体" w:hAnsi="宋体"/>
                <w:color w:val="auto"/>
                <w:szCs w:val="21"/>
                <w:highlight w:val="none"/>
              </w:rPr>
              <w:t>钢材</w:t>
            </w:r>
          </w:p>
        </w:tc>
        <w:tc>
          <w:tcPr>
            <w:tcW w:w="707" w:type="dxa"/>
            <w:tcBorders>
              <w:top w:val="single" w:color="auto" w:sz="4" w:space="0"/>
              <w:left w:val="single" w:color="auto" w:sz="4" w:space="0"/>
              <w:bottom w:val="single" w:color="auto" w:sz="4" w:space="0"/>
              <w:right w:val="single" w:color="auto" w:sz="4" w:space="0"/>
            </w:tcBorders>
            <w:noWrap w:val="0"/>
            <w:vAlign w:val="center"/>
          </w:tcPr>
          <w:p w14:paraId="48266830">
            <w:pPr>
              <w:jc w:val="center"/>
              <w:rPr>
                <w:rFonts w:ascii="宋体" w:hAnsi="宋体"/>
                <w:color w:val="auto"/>
                <w:szCs w:val="21"/>
                <w:highlight w:val="none"/>
              </w:rPr>
            </w:pPr>
            <w:r>
              <w:rPr>
                <w:rFonts w:hint="eastAsia" w:ascii="宋体" w:hAnsi="宋体"/>
                <w:color w:val="auto"/>
                <w:szCs w:val="21"/>
                <w:highlight w:val="none"/>
              </w:rPr>
              <w:t>F</w:t>
            </w:r>
            <w:r>
              <w:rPr>
                <w:rFonts w:hint="eastAsia" w:ascii="宋体" w:hAnsi="宋体"/>
                <w:color w:val="auto"/>
                <w:szCs w:val="21"/>
                <w:highlight w:val="none"/>
                <w:vertAlign w:val="subscript"/>
              </w:rPr>
              <w:t>02</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539E5CB2">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4836548A">
            <w:pPr>
              <w:jc w:val="center"/>
              <w:rPr>
                <w:rFonts w:ascii="宋体" w:hAnsi="宋体"/>
                <w:color w:val="auto"/>
                <w:szCs w:val="21"/>
                <w:highlight w:val="none"/>
              </w:rPr>
            </w:pPr>
            <w:r>
              <w:rPr>
                <w:rFonts w:hint="eastAsia" w:ascii="宋体" w:hAnsi="宋体"/>
                <w:color w:val="auto"/>
                <w:szCs w:val="21"/>
                <w:highlight w:val="none"/>
              </w:rPr>
              <w:t>B</w:t>
            </w:r>
            <w:r>
              <w:rPr>
                <w:rFonts w:hint="eastAsia" w:ascii="宋体" w:hAnsi="宋体"/>
                <w:color w:val="auto"/>
                <w:szCs w:val="21"/>
                <w:highlight w:val="none"/>
                <w:vertAlign w:val="subscript"/>
              </w:rPr>
              <w:t>2</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2461925D">
            <w:pPr>
              <w:ind w:firstLine="105" w:firstLineChars="5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至</w:t>
            </w:r>
            <w:r>
              <w:rPr>
                <w:rFonts w:hint="eastAsia" w:ascii="宋体" w:hAnsi="宋体"/>
                <w:color w:val="auto"/>
                <w:szCs w:val="21"/>
                <w:highlight w:val="none"/>
                <w:u w:val="single"/>
              </w:rPr>
              <w:t xml:space="preserve">   </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11D55D46">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2501C62E">
            <w:pPr>
              <w:jc w:val="center"/>
              <w:rPr>
                <w:rFonts w:ascii="宋体" w:hAnsi="宋体"/>
                <w:color w:val="auto"/>
                <w:szCs w:val="21"/>
                <w:highlight w:val="none"/>
              </w:rPr>
            </w:pPr>
          </w:p>
        </w:tc>
      </w:tr>
      <w:tr w14:paraId="3003F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5BF2CD2">
            <w:pPr>
              <w:widowControl/>
              <w:jc w:val="left"/>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425EEE60">
            <w:pPr>
              <w:jc w:val="center"/>
              <w:rPr>
                <w:rFonts w:ascii="宋体" w:hAnsi="宋体"/>
                <w:color w:val="auto"/>
                <w:szCs w:val="21"/>
                <w:highlight w:val="none"/>
              </w:rPr>
            </w:pPr>
            <w:r>
              <w:rPr>
                <w:rFonts w:hint="eastAsia" w:ascii="宋体" w:hAnsi="宋体"/>
                <w:color w:val="auto"/>
                <w:szCs w:val="21"/>
                <w:highlight w:val="none"/>
              </w:rPr>
              <w:t>水泥</w:t>
            </w:r>
          </w:p>
        </w:tc>
        <w:tc>
          <w:tcPr>
            <w:tcW w:w="707" w:type="dxa"/>
            <w:tcBorders>
              <w:top w:val="single" w:color="auto" w:sz="4" w:space="0"/>
              <w:left w:val="single" w:color="auto" w:sz="4" w:space="0"/>
              <w:bottom w:val="single" w:color="auto" w:sz="4" w:space="0"/>
              <w:right w:val="single" w:color="auto" w:sz="4" w:space="0"/>
            </w:tcBorders>
            <w:noWrap w:val="0"/>
            <w:vAlign w:val="center"/>
          </w:tcPr>
          <w:p w14:paraId="3FE3EA6B">
            <w:pPr>
              <w:jc w:val="center"/>
              <w:rPr>
                <w:rFonts w:ascii="宋体" w:hAnsi="宋体"/>
                <w:color w:val="auto"/>
                <w:szCs w:val="21"/>
                <w:highlight w:val="none"/>
              </w:rPr>
            </w:pPr>
            <w:r>
              <w:rPr>
                <w:rFonts w:hint="eastAsia" w:ascii="宋体" w:hAnsi="宋体"/>
                <w:color w:val="auto"/>
                <w:szCs w:val="21"/>
                <w:highlight w:val="none"/>
              </w:rPr>
              <w:t>F</w:t>
            </w:r>
            <w:r>
              <w:rPr>
                <w:rFonts w:hint="eastAsia" w:ascii="宋体" w:hAnsi="宋体"/>
                <w:color w:val="auto"/>
                <w:szCs w:val="21"/>
                <w:highlight w:val="none"/>
                <w:vertAlign w:val="subscript"/>
              </w:rPr>
              <w:t>03</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502999DD">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4D774D1C">
            <w:pPr>
              <w:jc w:val="center"/>
              <w:rPr>
                <w:rFonts w:ascii="宋体" w:hAnsi="宋体"/>
                <w:color w:val="auto"/>
                <w:szCs w:val="21"/>
                <w:highlight w:val="none"/>
              </w:rPr>
            </w:pPr>
            <w:r>
              <w:rPr>
                <w:rFonts w:hint="eastAsia" w:ascii="宋体" w:hAnsi="宋体"/>
                <w:color w:val="auto"/>
                <w:szCs w:val="21"/>
                <w:highlight w:val="none"/>
              </w:rPr>
              <w:t>B</w:t>
            </w:r>
            <w:r>
              <w:rPr>
                <w:rFonts w:hint="eastAsia" w:ascii="宋体" w:hAnsi="宋体"/>
                <w:color w:val="auto"/>
                <w:szCs w:val="21"/>
                <w:highlight w:val="none"/>
                <w:vertAlign w:val="subscript"/>
              </w:rPr>
              <w:t>3</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4807D842">
            <w:pPr>
              <w:ind w:firstLine="105" w:firstLineChars="5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至</w:t>
            </w:r>
            <w:r>
              <w:rPr>
                <w:rFonts w:hint="eastAsia" w:ascii="宋体" w:hAnsi="宋体"/>
                <w:color w:val="auto"/>
                <w:szCs w:val="21"/>
                <w:highlight w:val="none"/>
                <w:u w:val="single"/>
              </w:rPr>
              <w:t xml:space="preserve">   </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3352BE11">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377357BB">
            <w:pPr>
              <w:jc w:val="center"/>
              <w:rPr>
                <w:rFonts w:ascii="宋体" w:hAnsi="宋体"/>
                <w:color w:val="auto"/>
                <w:szCs w:val="21"/>
                <w:highlight w:val="none"/>
              </w:rPr>
            </w:pPr>
          </w:p>
        </w:tc>
      </w:tr>
      <w:tr w14:paraId="2C63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D35F06C">
            <w:pPr>
              <w:widowControl/>
              <w:jc w:val="left"/>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441A16A1">
            <w:pPr>
              <w:jc w:val="center"/>
              <w:rPr>
                <w:rFonts w:ascii="宋体" w:hAnsi="宋体"/>
                <w:color w:val="auto"/>
                <w:szCs w:val="21"/>
                <w:highlight w:val="none"/>
              </w:rPr>
            </w:pPr>
            <w:r>
              <w:rPr>
                <w:rFonts w:hint="eastAsia" w:ascii="宋体" w:hAnsi="宋体"/>
                <w:color w:val="auto"/>
                <w:szCs w:val="21"/>
                <w:highlight w:val="none"/>
              </w:rPr>
              <w:t>……</w:t>
            </w:r>
          </w:p>
        </w:tc>
        <w:tc>
          <w:tcPr>
            <w:tcW w:w="707" w:type="dxa"/>
            <w:tcBorders>
              <w:top w:val="single" w:color="auto" w:sz="4" w:space="0"/>
              <w:left w:val="single" w:color="auto" w:sz="4" w:space="0"/>
              <w:bottom w:val="single" w:color="auto" w:sz="4" w:space="0"/>
              <w:right w:val="single" w:color="auto" w:sz="4" w:space="0"/>
            </w:tcBorders>
            <w:noWrap w:val="0"/>
            <w:vAlign w:val="center"/>
          </w:tcPr>
          <w:p w14:paraId="637BBFA2">
            <w:pPr>
              <w:jc w:val="center"/>
              <w:rPr>
                <w:rFonts w:ascii="宋体" w:hAnsi="宋体"/>
                <w:color w:val="auto"/>
                <w:szCs w:val="21"/>
                <w:highlight w:val="none"/>
              </w:rPr>
            </w:pPr>
            <w:r>
              <w:rPr>
                <w:rFonts w:hint="eastAsia" w:ascii="宋体" w:hAnsi="宋体"/>
                <w:color w:val="auto"/>
                <w:szCs w:val="21"/>
                <w:highlight w:val="none"/>
              </w:rPr>
              <w:t>……</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020D6D44">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0FC4242A">
            <w:pPr>
              <w:jc w:val="center"/>
              <w:rPr>
                <w:rFonts w:ascii="宋体" w:hAnsi="宋体"/>
                <w:color w:val="auto"/>
                <w:szCs w:val="21"/>
                <w:highlight w:val="none"/>
              </w:rPr>
            </w:pPr>
            <w:r>
              <w:rPr>
                <w:rFonts w:hint="eastAsia" w:ascii="宋体" w:hAnsi="宋体"/>
                <w:color w:val="auto"/>
                <w:szCs w:val="21"/>
                <w:highlight w:val="none"/>
              </w:rPr>
              <w:t>……</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41B8391C">
            <w:pPr>
              <w:jc w:val="center"/>
              <w:rPr>
                <w:rFonts w:ascii="宋体" w:hAnsi="宋体"/>
                <w:color w:val="auto"/>
                <w:szCs w:val="21"/>
                <w:highlight w:val="none"/>
              </w:rPr>
            </w:pPr>
            <w:r>
              <w:rPr>
                <w:rFonts w:hint="eastAsia" w:ascii="宋体" w:hAnsi="宋体"/>
                <w:color w:val="auto"/>
                <w:szCs w:val="21"/>
                <w:highlight w:val="none"/>
              </w:rPr>
              <w:t>……</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3E0E40B0">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0AA15121">
            <w:pPr>
              <w:jc w:val="center"/>
              <w:rPr>
                <w:rFonts w:ascii="宋体" w:hAnsi="宋体"/>
                <w:color w:val="auto"/>
                <w:szCs w:val="21"/>
                <w:highlight w:val="none"/>
              </w:rPr>
            </w:pPr>
          </w:p>
        </w:tc>
      </w:tr>
      <w:tr w14:paraId="54F73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DED7E4E">
            <w:pPr>
              <w:widowControl/>
              <w:jc w:val="left"/>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556F45B9">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4426E26E">
            <w:pPr>
              <w:jc w:val="center"/>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0D00E1B3">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0893C2CB">
            <w:pPr>
              <w:jc w:val="center"/>
              <w:rPr>
                <w:rFonts w:ascii="宋体" w:hAnsi="宋体"/>
                <w:color w:val="auto"/>
                <w:szCs w:val="21"/>
                <w:highlight w:val="none"/>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09B46F0B">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3B0CBE25">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0C295E44">
            <w:pPr>
              <w:jc w:val="center"/>
              <w:rPr>
                <w:rFonts w:ascii="宋体" w:hAnsi="宋体"/>
                <w:color w:val="auto"/>
                <w:szCs w:val="21"/>
                <w:highlight w:val="none"/>
              </w:rPr>
            </w:pPr>
          </w:p>
        </w:tc>
      </w:tr>
      <w:tr w14:paraId="332AE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EBFB7CD">
            <w:pPr>
              <w:widowControl/>
              <w:jc w:val="left"/>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184C6159">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37D9465F">
            <w:pPr>
              <w:jc w:val="center"/>
              <w:rPr>
                <w:rFonts w:ascii="宋体" w:hAnsi="宋体"/>
                <w:color w:val="auto"/>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13094D12">
            <w:pPr>
              <w:jc w:val="center"/>
              <w:rPr>
                <w:rFonts w:ascii="宋体" w:hAnsi="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0"/>
            <w:vAlign w:val="center"/>
          </w:tcPr>
          <w:p w14:paraId="30FA85CC">
            <w:pPr>
              <w:jc w:val="center"/>
              <w:rPr>
                <w:rFonts w:ascii="宋体" w:hAnsi="宋体"/>
                <w:color w:val="auto"/>
                <w:szCs w:val="21"/>
                <w:highlight w:val="none"/>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5220437F">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7669A6B1">
            <w:pPr>
              <w:jc w:val="center"/>
              <w:rPr>
                <w:rFonts w:ascii="宋体" w:hAnsi="宋体"/>
                <w:color w:val="auto"/>
                <w:szCs w:val="21"/>
                <w:highlight w:val="none"/>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149EDA4B">
            <w:pPr>
              <w:jc w:val="center"/>
              <w:rPr>
                <w:rFonts w:ascii="宋体" w:hAnsi="宋体"/>
                <w:color w:val="auto"/>
                <w:szCs w:val="21"/>
                <w:highlight w:val="none"/>
              </w:rPr>
            </w:pPr>
          </w:p>
        </w:tc>
      </w:tr>
      <w:tr w14:paraId="7B67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5086" w:type="dxa"/>
            <w:gridSpan w:val="6"/>
            <w:tcBorders>
              <w:top w:val="single" w:color="auto" w:sz="4" w:space="0"/>
              <w:left w:val="single" w:color="auto" w:sz="4" w:space="0"/>
              <w:bottom w:val="single" w:color="auto" w:sz="4" w:space="0"/>
              <w:right w:val="single" w:color="auto" w:sz="4" w:space="0"/>
            </w:tcBorders>
            <w:noWrap w:val="0"/>
            <w:vAlign w:val="center"/>
          </w:tcPr>
          <w:p w14:paraId="40F02B5A">
            <w:pPr>
              <w:jc w:val="center"/>
              <w:rPr>
                <w:rFonts w:ascii="宋体" w:hAnsi="宋体"/>
                <w:color w:val="auto"/>
                <w:szCs w:val="21"/>
                <w:highlight w:val="none"/>
              </w:rPr>
            </w:pPr>
            <w:r>
              <w:rPr>
                <w:rFonts w:hint="eastAsia" w:ascii="宋体" w:hAnsi="宋体"/>
                <w:color w:val="auto"/>
                <w:szCs w:val="21"/>
                <w:highlight w:val="none"/>
              </w:rPr>
              <w:t>合             计</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27A85612">
            <w:pPr>
              <w:jc w:val="center"/>
              <w:rPr>
                <w:rFonts w:ascii="宋体" w:hAnsi="宋体"/>
                <w:color w:val="auto"/>
                <w:szCs w:val="21"/>
                <w:highlight w:val="none"/>
              </w:rPr>
            </w:pPr>
            <w:r>
              <w:rPr>
                <w:rFonts w:hint="eastAsia" w:ascii="宋体" w:hAnsi="宋体"/>
                <w:color w:val="auto"/>
                <w:szCs w:val="21"/>
                <w:highlight w:val="none"/>
              </w:rPr>
              <w:t>1.00</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41FF92F2">
            <w:pPr>
              <w:jc w:val="center"/>
              <w:rPr>
                <w:rFonts w:ascii="宋体" w:hAnsi="宋体"/>
                <w:color w:val="auto"/>
                <w:szCs w:val="21"/>
                <w:highlight w:val="none"/>
              </w:rPr>
            </w:pPr>
          </w:p>
        </w:tc>
      </w:tr>
    </w:tbl>
    <w:p w14:paraId="11F60872">
      <w:pPr>
        <w:spacing w:before="120" w:beforeLines="50"/>
        <w:rPr>
          <w:rFonts w:hint="eastAsia" w:ascii="黑体" w:hAnsi="宋体" w:eastAsia="黑体"/>
          <w:color w:val="auto"/>
          <w:szCs w:val="21"/>
          <w:highlight w:val="none"/>
        </w:rPr>
      </w:pPr>
    </w:p>
    <w:p w14:paraId="246F6048">
      <w:pPr>
        <w:spacing w:before="120" w:beforeLines="50"/>
        <w:rPr>
          <w:rFonts w:hint="eastAsia" w:ascii="黑体" w:hAnsi="宋体" w:eastAsia="黑体"/>
          <w:color w:val="auto"/>
          <w:szCs w:val="21"/>
          <w:highlight w:val="none"/>
        </w:rPr>
      </w:pPr>
    </w:p>
    <w:p w14:paraId="704D98E9">
      <w:pPr>
        <w:spacing w:before="120" w:beforeLines="50"/>
        <w:rPr>
          <w:rFonts w:hint="eastAsia" w:ascii="黑体" w:hAnsi="宋体" w:eastAsia="黑体"/>
          <w:color w:val="auto"/>
          <w:szCs w:val="21"/>
          <w:highlight w:val="none"/>
        </w:rPr>
      </w:pPr>
    </w:p>
    <w:p w14:paraId="78D0B69D">
      <w:pPr>
        <w:spacing w:before="120" w:beforeLines="50"/>
        <w:rPr>
          <w:rFonts w:hint="eastAsia" w:ascii="黑体" w:hAnsi="宋体" w:eastAsia="黑体"/>
          <w:color w:val="auto"/>
          <w:szCs w:val="21"/>
          <w:highlight w:val="none"/>
        </w:rPr>
      </w:pPr>
    </w:p>
    <w:p w14:paraId="7FE5579E">
      <w:pPr>
        <w:spacing w:before="120" w:beforeLines="50"/>
        <w:ind w:left="630" w:hanging="630" w:hangingChars="300"/>
        <w:rPr>
          <w:rFonts w:hint="eastAsia" w:ascii="宋体" w:hAnsi="宋体"/>
          <w:color w:val="auto"/>
          <w:szCs w:val="21"/>
          <w:highlight w:val="none"/>
        </w:rPr>
      </w:pPr>
      <w:r>
        <w:rPr>
          <w:rFonts w:hint="eastAsia" w:ascii="宋体" w:hAnsi="宋体"/>
          <w:color w:val="auto"/>
          <w:szCs w:val="21"/>
          <w:highlight w:val="none"/>
        </w:rPr>
        <w:t>备注：专用合同条款约定采用价格指数法进行价格调整时适用本表。表中除“投标人建议值”由投标人结合其投标报价情况选择填写外，其余均由招标人在招标文件发出前填写。</w:t>
      </w:r>
    </w:p>
    <w:p w14:paraId="6A0BF1F1">
      <w:pPr>
        <w:spacing w:before="120" w:beforeLines="50"/>
        <w:rPr>
          <w:rFonts w:hint="eastAsia" w:ascii="宋体" w:hAnsi="宋体"/>
          <w:color w:val="auto"/>
          <w:szCs w:val="21"/>
          <w:highlight w:val="none"/>
        </w:rPr>
      </w:pPr>
    </w:p>
    <w:p w14:paraId="779630BD">
      <w:pPr>
        <w:spacing w:before="120" w:beforeLines="50"/>
        <w:rPr>
          <w:rFonts w:hint="eastAsia" w:ascii="宋体" w:hAnsi="宋体"/>
          <w:color w:val="auto"/>
          <w:szCs w:val="21"/>
          <w:highlight w:val="none"/>
        </w:rPr>
      </w:pPr>
    </w:p>
    <w:p w14:paraId="5A6637B6">
      <w:pPr>
        <w:spacing w:before="120" w:beforeLines="50"/>
        <w:rPr>
          <w:rFonts w:hint="eastAsia" w:ascii="宋体" w:hAnsi="宋体"/>
          <w:color w:val="auto"/>
          <w:szCs w:val="21"/>
          <w:highlight w:val="none"/>
        </w:rPr>
      </w:pPr>
    </w:p>
    <w:p w14:paraId="311EF204">
      <w:pPr>
        <w:spacing w:before="120" w:beforeLines="50"/>
        <w:rPr>
          <w:rFonts w:hint="eastAsia" w:ascii="宋体" w:hAnsi="宋体"/>
          <w:color w:val="auto"/>
          <w:szCs w:val="21"/>
          <w:highlight w:val="none"/>
        </w:rPr>
      </w:pPr>
    </w:p>
    <w:p w14:paraId="08DB1505">
      <w:pPr>
        <w:spacing w:before="120" w:beforeLines="50"/>
        <w:rPr>
          <w:rFonts w:hint="eastAsia" w:ascii="宋体" w:hAnsi="宋体"/>
          <w:color w:val="auto"/>
          <w:szCs w:val="21"/>
          <w:highlight w:val="none"/>
        </w:rPr>
      </w:pPr>
    </w:p>
    <w:p w14:paraId="38CE0C57">
      <w:pPr>
        <w:spacing w:before="120" w:beforeLines="50"/>
        <w:rPr>
          <w:rFonts w:hint="eastAsia" w:ascii="宋体" w:hAnsi="宋体"/>
          <w:color w:val="auto"/>
          <w:szCs w:val="21"/>
          <w:highlight w:val="none"/>
        </w:rPr>
      </w:pPr>
    </w:p>
    <w:p w14:paraId="22190013">
      <w:pPr>
        <w:spacing w:before="120" w:beforeLines="50"/>
        <w:rPr>
          <w:rFonts w:hint="eastAsia" w:ascii="宋体" w:hAnsi="宋体"/>
          <w:color w:val="auto"/>
          <w:szCs w:val="21"/>
          <w:highlight w:val="none"/>
        </w:rPr>
      </w:pPr>
    </w:p>
    <w:p w14:paraId="60380DBC">
      <w:pPr>
        <w:spacing w:before="120" w:beforeLines="50"/>
        <w:rPr>
          <w:rFonts w:hint="eastAsia" w:ascii="宋体" w:hAnsi="宋体"/>
          <w:color w:val="auto"/>
          <w:szCs w:val="21"/>
          <w:highlight w:val="none"/>
        </w:rPr>
      </w:pPr>
    </w:p>
    <w:p w14:paraId="46FD6DDA">
      <w:pPr>
        <w:spacing w:before="120" w:beforeLines="50"/>
        <w:rPr>
          <w:rFonts w:hint="eastAsia" w:ascii="宋体" w:hAnsi="宋体"/>
          <w:color w:val="auto"/>
          <w:szCs w:val="21"/>
          <w:highlight w:val="none"/>
        </w:rPr>
      </w:pPr>
    </w:p>
    <w:p w14:paraId="245686F3">
      <w:pPr>
        <w:spacing w:before="120" w:beforeLines="50"/>
        <w:rPr>
          <w:rFonts w:hint="eastAsia" w:ascii="宋体" w:hAnsi="宋体"/>
          <w:color w:val="auto"/>
          <w:szCs w:val="21"/>
          <w:highlight w:val="none"/>
        </w:rPr>
      </w:pPr>
    </w:p>
    <w:p w14:paraId="6DFA2E21">
      <w:pPr>
        <w:spacing w:before="120" w:beforeLines="50"/>
        <w:rPr>
          <w:rFonts w:hint="eastAsia" w:ascii="宋体" w:hAnsi="宋体"/>
          <w:color w:val="auto"/>
          <w:szCs w:val="21"/>
          <w:highlight w:val="none"/>
        </w:rPr>
      </w:pPr>
    </w:p>
    <w:p w14:paraId="27C56868">
      <w:pPr>
        <w:spacing w:before="120" w:beforeLines="50"/>
        <w:rPr>
          <w:rFonts w:hint="eastAsia" w:ascii="宋体" w:hAnsi="宋体"/>
          <w:color w:val="auto"/>
          <w:szCs w:val="21"/>
          <w:highlight w:val="none"/>
        </w:rPr>
      </w:pPr>
    </w:p>
    <w:p w14:paraId="4F3F154D">
      <w:pPr>
        <w:spacing w:before="120" w:beforeLines="50"/>
        <w:rPr>
          <w:rFonts w:hint="eastAsia" w:ascii="宋体" w:hAnsi="宋体"/>
          <w:color w:val="auto"/>
          <w:szCs w:val="21"/>
          <w:highlight w:val="none"/>
        </w:rPr>
      </w:pPr>
    </w:p>
    <w:p w14:paraId="4E750D7E">
      <w:pPr>
        <w:spacing w:before="120" w:beforeLines="50"/>
        <w:rPr>
          <w:rFonts w:hint="eastAsia" w:ascii="宋体" w:hAnsi="宋体"/>
          <w:color w:val="auto"/>
          <w:szCs w:val="21"/>
          <w:highlight w:val="none"/>
        </w:rPr>
      </w:pPr>
    </w:p>
    <w:p w14:paraId="18B6DD9C">
      <w:pPr>
        <w:spacing w:before="120" w:beforeLines="50"/>
        <w:rPr>
          <w:rFonts w:hint="eastAsia" w:ascii="宋体" w:hAnsi="宋体"/>
          <w:color w:val="auto"/>
          <w:szCs w:val="21"/>
          <w:highlight w:val="none"/>
        </w:rPr>
      </w:pPr>
    </w:p>
    <w:p w14:paraId="734DE009">
      <w:pPr>
        <w:spacing w:before="120" w:beforeLines="50"/>
        <w:rPr>
          <w:rFonts w:hint="eastAsia" w:ascii="宋体" w:hAnsi="宋体"/>
          <w:color w:val="auto"/>
          <w:szCs w:val="21"/>
          <w:highlight w:val="none"/>
        </w:rPr>
      </w:pPr>
    </w:p>
    <w:p w14:paraId="56FFB79B">
      <w:pPr>
        <w:spacing w:before="120" w:beforeLines="50"/>
        <w:rPr>
          <w:rFonts w:hint="eastAsia" w:ascii="宋体" w:hAnsi="宋体"/>
          <w:color w:val="auto"/>
          <w:szCs w:val="21"/>
          <w:highlight w:val="none"/>
        </w:rPr>
      </w:pPr>
    </w:p>
    <w:p w14:paraId="319E14A1">
      <w:pPr>
        <w:pStyle w:val="31"/>
        <w:jc w:val="center"/>
        <w:rPr>
          <w:rFonts w:hint="eastAsia" w:ascii="黑体" w:hAnsi="宋体"/>
          <w:color w:val="auto"/>
          <w:szCs w:val="28"/>
          <w:highlight w:val="none"/>
        </w:rPr>
      </w:pPr>
      <w:bookmarkStart w:id="2445" w:name="_Toc28532410"/>
      <w:bookmarkStart w:id="2446" w:name="_Toc11836"/>
      <w:r>
        <w:rPr>
          <w:rFonts w:hint="eastAsia"/>
          <w:color w:val="auto"/>
          <w:highlight w:val="none"/>
        </w:rPr>
        <w:t>二、法定代表人身份证明</w:t>
      </w:r>
      <w:bookmarkEnd w:id="2445"/>
      <w:bookmarkEnd w:id="2446"/>
    </w:p>
    <w:p w14:paraId="7C8D1332">
      <w:pPr>
        <w:spacing w:line="500" w:lineRule="exact"/>
        <w:rPr>
          <w:rFonts w:hint="eastAsia" w:ascii="宋体" w:hAnsi="宋体"/>
          <w:color w:val="auto"/>
          <w:szCs w:val="21"/>
          <w:highlight w:val="none"/>
        </w:rPr>
      </w:pPr>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p>
    <w:p w14:paraId="4A442AD9">
      <w:pPr>
        <w:spacing w:line="500" w:lineRule="exact"/>
        <w:rPr>
          <w:rFonts w:hint="eastAsia" w:ascii="宋体" w:hAnsi="宋体"/>
          <w:color w:val="auto"/>
          <w:szCs w:val="21"/>
          <w:highlight w:val="none"/>
        </w:rPr>
      </w:pPr>
      <w:r>
        <w:rPr>
          <w:rFonts w:hint="eastAsia" w:ascii="宋体" w:hAnsi="宋体"/>
          <w:color w:val="auto"/>
          <w:szCs w:val="21"/>
          <w:highlight w:val="none"/>
        </w:rPr>
        <w:t>单位性质：</w:t>
      </w:r>
      <w:r>
        <w:rPr>
          <w:rFonts w:hint="eastAsia" w:ascii="宋体" w:hAnsi="宋体"/>
          <w:color w:val="auto"/>
          <w:szCs w:val="21"/>
          <w:highlight w:val="none"/>
          <w:u w:val="single"/>
        </w:rPr>
        <w:t xml:space="preserve">                                                        </w:t>
      </w:r>
    </w:p>
    <w:p w14:paraId="47C0FE01">
      <w:pPr>
        <w:spacing w:line="500" w:lineRule="exact"/>
        <w:rPr>
          <w:rFonts w:hint="eastAsia"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14:paraId="1AA10383">
      <w:pPr>
        <w:spacing w:line="500" w:lineRule="exact"/>
        <w:rPr>
          <w:rFonts w:hint="eastAsia" w:ascii="宋体" w:hAnsi="宋体"/>
          <w:color w:val="auto"/>
          <w:szCs w:val="21"/>
          <w:highlight w:val="none"/>
        </w:rPr>
      </w:pPr>
      <w:r>
        <w:rPr>
          <w:rFonts w:hint="eastAsia" w:ascii="宋体" w:hAnsi="宋体"/>
          <w:color w:val="auto"/>
          <w:szCs w:val="21"/>
          <w:highlight w:val="none"/>
        </w:rPr>
        <w:t>成立时间：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4314313">
      <w:pPr>
        <w:spacing w:line="500" w:lineRule="exact"/>
        <w:rPr>
          <w:rFonts w:hint="eastAsia" w:ascii="宋体" w:hAnsi="宋体"/>
          <w:color w:val="auto"/>
          <w:szCs w:val="21"/>
          <w:highlight w:val="none"/>
        </w:rPr>
      </w:pPr>
      <w:r>
        <w:rPr>
          <w:rFonts w:hint="eastAsia" w:ascii="宋体" w:hAnsi="宋体"/>
          <w:color w:val="auto"/>
          <w:szCs w:val="21"/>
          <w:highlight w:val="none"/>
        </w:rPr>
        <w:t>经营期限：</w:t>
      </w:r>
      <w:r>
        <w:rPr>
          <w:rFonts w:hint="eastAsia" w:ascii="宋体" w:hAnsi="宋体"/>
          <w:color w:val="auto"/>
          <w:szCs w:val="21"/>
          <w:highlight w:val="none"/>
          <w:u w:val="single"/>
        </w:rPr>
        <w:t xml:space="preserve">                                                        </w:t>
      </w:r>
    </w:p>
    <w:p w14:paraId="2D4CC884">
      <w:pPr>
        <w:spacing w:line="500" w:lineRule="exact"/>
        <w:rPr>
          <w:rFonts w:hint="eastAsia" w:ascii="宋体" w:hAnsi="宋体"/>
          <w:color w:val="auto"/>
          <w:szCs w:val="21"/>
          <w:highlight w:val="none"/>
        </w:rPr>
      </w:pPr>
      <w:r>
        <w:rPr>
          <w:rFonts w:hint="eastAsia" w:ascii="宋体" w:hAnsi="宋体"/>
          <w:color w:val="auto"/>
          <w:szCs w:val="21"/>
          <w:highlight w:val="none"/>
        </w:rPr>
        <w:t>姓    名：</w:t>
      </w:r>
      <w:r>
        <w:rPr>
          <w:rFonts w:hint="eastAsia" w:ascii="宋体" w:hAnsi="宋体"/>
          <w:color w:val="auto"/>
          <w:szCs w:val="21"/>
          <w:highlight w:val="none"/>
          <w:u w:val="single"/>
        </w:rPr>
        <w:t xml:space="preserve">                          </w:t>
      </w:r>
      <w:r>
        <w:rPr>
          <w:rFonts w:hint="eastAsia" w:ascii="宋体" w:hAnsi="宋体"/>
          <w:color w:val="auto"/>
          <w:szCs w:val="21"/>
          <w:highlight w:val="none"/>
        </w:rPr>
        <w:t>性        别：</w:t>
      </w:r>
      <w:r>
        <w:rPr>
          <w:rFonts w:hint="eastAsia" w:ascii="宋体" w:hAnsi="宋体"/>
          <w:color w:val="auto"/>
          <w:szCs w:val="21"/>
          <w:highlight w:val="none"/>
          <w:u w:val="single"/>
        </w:rPr>
        <w:t xml:space="preserve">                </w:t>
      </w:r>
    </w:p>
    <w:p w14:paraId="42F769E6">
      <w:pPr>
        <w:spacing w:line="500" w:lineRule="exact"/>
        <w:rPr>
          <w:rFonts w:hint="eastAsia" w:ascii="宋体" w:hAnsi="宋体"/>
          <w:color w:val="auto"/>
          <w:szCs w:val="21"/>
          <w:highlight w:val="none"/>
        </w:rPr>
      </w:pPr>
      <w:r>
        <w:rPr>
          <w:rFonts w:hint="eastAsia" w:ascii="宋体" w:hAnsi="宋体"/>
          <w:color w:val="auto"/>
          <w:szCs w:val="21"/>
          <w:highlight w:val="none"/>
        </w:rPr>
        <w:t>年    龄：</w:t>
      </w:r>
      <w:r>
        <w:rPr>
          <w:rFonts w:hint="eastAsia" w:ascii="宋体" w:hAnsi="宋体"/>
          <w:color w:val="auto"/>
          <w:szCs w:val="21"/>
          <w:highlight w:val="none"/>
          <w:u w:val="single"/>
        </w:rPr>
        <w:t xml:space="preserve">                          </w:t>
      </w:r>
      <w:r>
        <w:rPr>
          <w:rFonts w:hint="eastAsia" w:ascii="宋体" w:hAnsi="宋体"/>
          <w:color w:val="auto"/>
          <w:szCs w:val="21"/>
          <w:highlight w:val="none"/>
        </w:rPr>
        <w:t>职        务：</w:t>
      </w:r>
      <w:r>
        <w:rPr>
          <w:rFonts w:hint="eastAsia" w:ascii="宋体" w:hAnsi="宋体"/>
          <w:color w:val="auto"/>
          <w:szCs w:val="21"/>
          <w:highlight w:val="none"/>
          <w:u w:val="single"/>
        </w:rPr>
        <w:t xml:space="preserve">                </w:t>
      </w:r>
    </w:p>
    <w:p w14:paraId="19FFB1BB">
      <w:pPr>
        <w:spacing w:line="500" w:lineRule="exact"/>
        <w:rPr>
          <w:rFonts w:hint="eastAsia" w:ascii="宋体" w:hAnsi="宋体"/>
          <w:color w:val="auto"/>
          <w:szCs w:val="21"/>
          <w:highlight w:val="none"/>
        </w:rPr>
      </w:pPr>
      <w:r>
        <w:rPr>
          <w:rFonts w:hint="eastAsia" w:ascii="宋体" w:hAnsi="宋体"/>
          <w:color w:val="auto"/>
          <w:szCs w:val="21"/>
          <w:highlight w:val="none"/>
        </w:rPr>
        <w:t>系</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（投标人名称）的法定代表人。</w:t>
      </w:r>
    </w:p>
    <w:p w14:paraId="1C54E3DA">
      <w:pPr>
        <w:spacing w:line="500" w:lineRule="exact"/>
        <w:rPr>
          <w:rFonts w:hint="eastAsia" w:ascii="宋体" w:hAnsi="宋体"/>
          <w:color w:val="auto"/>
          <w:szCs w:val="21"/>
          <w:highlight w:val="none"/>
        </w:rPr>
      </w:pPr>
      <w:r>
        <w:rPr>
          <w:rFonts w:hint="eastAsia" w:ascii="宋体" w:hAnsi="宋体"/>
          <w:color w:val="auto"/>
          <w:szCs w:val="21"/>
          <w:highlight w:val="none"/>
        </w:rPr>
        <w:t>特此证明。</w:t>
      </w:r>
    </w:p>
    <w:p w14:paraId="1058D1CB">
      <w:pPr>
        <w:spacing w:line="500" w:lineRule="exact"/>
        <w:rPr>
          <w:rFonts w:hint="eastAsia" w:ascii="宋体" w:hAnsi="宋体"/>
          <w:color w:val="auto"/>
          <w:szCs w:val="21"/>
          <w:highlight w:val="none"/>
        </w:rPr>
      </w:pPr>
    </w:p>
    <w:p w14:paraId="202BD774">
      <w:pPr>
        <w:spacing w:line="500" w:lineRule="exact"/>
        <w:rPr>
          <w:rFonts w:hint="eastAsia" w:ascii="宋体" w:hAnsi="宋体"/>
          <w:color w:val="auto"/>
          <w:szCs w:val="21"/>
          <w:highlight w:val="none"/>
        </w:rPr>
      </w:pPr>
    </w:p>
    <w:p w14:paraId="3B17FBC6">
      <w:pPr>
        <w:wordWrap w:val="0"/>
        <w:spacing w:line="500" w:lineRule="exact"/>
        <w:jc w:val="right"/>
        <w:rPr>
          <w:rFonts w:hint="eastAsia"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6CB0FBA9">
      <w:pPr>
        <w:wordWrap w:val="0"/>
        <w:spacing w:line="500" w:lineRule="exact"/>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416B848D">
      <w:pPr>
        <w:spacing w:line="500" w:lineRule="exact"/>
        <w:jc w:val="right"/>
        <w:rPr>
          <w:rFonts w:hint="eastAsia" w:ascii="宋体" w:hAnsi="宋体"/>
          <w:color w:val="auto"/>
          <w:szCs w:val="21"/>
          <w:highlight w:val="none"/>
        </w:rPr>
      </w:pPr>
    </w:p>
    <w:p w14:paraId="07F0968C">
      <w:pPr>
        <w:spacing w:line="500" w:lineRule="exact"/>
        <w:jc w:val="right"/>
        <w:rPr>
          <w:rFonts w:hint="eastAsia" w:ascii="宋体" w:hAnsi="宋体"/>
          <w:color w:val="auto"/>
          <w:szCs w:val="21"/>
          <w:highlight w:val="none"/>
        </w:rPr>
      </w:pPr>
    </w:p>
    <w:p w14:paraId="4240CE56">
      <w:pPr>
        <w:spacing w:line="500" w:lineRule="exact"/>
        <w:rPr>
          <w:rFonts w:hint="eastAsia" w:ascii="宋体" w:hAnsi="宋体"/>
          <w:color w:val="auto"/>
          <w:szCs w:val="21"/>
          <w:highlight w:val="none"/>
        </w:rPr>
      </w:pPr>
    </w:p>
    <w:p w14:paraId="5D804FAB">
      <w:pPr>
        <w:spacing w:line="500" w:lineRule="exact"/>
        <w:rPr>
          <w:rFonts w:hint="eastAsia" w:ascii="宋体" w:hAnsi="宋体"/>
          <w:color w:val="auto"/>
          <w:szCs w:val="21"/>
          <w:highlight w:val="none"/>
        </w:rPr>
      </w:pPr>
    </w:p>
    <w:p w14:paraId="2097FC86">
      <w:pPr>
        <w:spacing w:line="500" w:lineRule="exact"/>
        <w:rPr>
          <w:rFonts w:hint="eastAsia" w:ascii="宋体" w:hAnsi="宋体"/>
          <w:color w:val="auto"/>
          <w:szCs w:val="21"/>
          <w:highlight w:val="none"/>
        </w:rPr>
      </w:pPr>
    </w:p>
    <w:p w14:paraId="1E14798D">
      <w:pPr>
        <w:spacing w:line="500" w:lineRule="exact"/>
        <w:rPr>
          <w:rFonts w:hint="eastAsia" w:ascii="宋体" w:hAnsi="宋体"/>
          <w:color w:val="auto"/>
          <w:szCs w:val="21"/>
          <w:highlight w:val="none"/>
        </w:rPr>
      </w:pPr>
    </w:p>
    <w:p w14:paraId="7A891512">
      <w:pPr>
        <w:spacing w:line="500" w:lineRule="exact"/>
        <w:rPr>
          <w:rFonts w:hint="eastAsia" w:ascii="宋体" w:hAnsi="宋体"/>
          <w:color w:val="auto"/>
          <w:szCs w:val="21"/>
          <w:highlight w:val="none"/>
        </w:rPr>
      </w:pPr>
    </w:p>
    <w:p w14:paraId="3AEC1F9B">
      <w:pPr>
        <w:spacing w:line="500" w:lineRule="exact"/>
        <w:rPr>
          <w:rFonts w:hint="eastAsia" w:ascii="宋体" w:hAnsi="宋体"/>
          <w:color w:val="auto"/>
          <w:szCs w:val="21"/>
          <w:highlight w:val="none"/>
        </w:rPr>
      </w:pPr>
    </w:p>
    <w:p w14:paraId="20E6AD33">
      <w:pPr>
        <w:spacing w:line="500" w:lineRule="exact"/>
        <w:rPr>
          <w:rFonts w:hint="eastAsia" w:ascii="宋体" w:hAnsi="宋体"/>
          <w:color w:val="auto"/>
          <w:szCs w:val="21"/>
          <w:highlight w:val="none"/>
        </w:rPr>
      </w:pPr>
    </w:p>
    <w:p w14:paraId="3F7FD30B">
      <w:pPr>
        <w:spacing w:line="500" w:lineRule="exact"/>
        <w:rPr>
          <w:rFonts w:hint="eastAsia" w:ascii="宋体" w:hAnsi="宋体"/>
          <w:color w:val="auto"/>
          <w:szCs w:val="21"/>
          <w:highlight w:val="none"/>
        </w:rPr>
      </w:pPr>
    </w:p>
    <w:p w14:paraId="64DBA8DE">
      <w:pPr>
        <w:spacing w:line="400" w:lineRule="exact"/>
        <w:rPr>
          <w:rFonts w:hint="eastAsia" w:ascii="宋体" w:hAnsi="宋体"/>
          <w:color w:val="auto"/>
          <w:szCs w:val="21"/>
          <w:highlight w:val="none"/>
        </w:rPr>
      </w:pPr>
    </w:p>
    <w:p w14:paraId="2A5899C5">
      <w:pPr>
        <w:spacing w:line="400" w:lineRule="exact"/>
        <w:rPr>
          <w:rFonts w:hint="eastAsia" w:ascii="宋体" w:hAnsi="宋体"/>
          <w:color w:val="auto"/>
          <w:szCs w:val="21"/>
          <w:highlight w:val="none"/>
        </w:rPr>
      </w:pPr>
    </w:p>
    <w:p w14:paraId="5645CBE3">
      <w:pPr>
        <w:pStyle w:val="31"/>
        <w:jc w:val="center"/>
        <w:rPr>
          <w:color w:val="auto"/>
          <w:highlight w:val="none"/>
        </w:rPr>
      </w:pPr>
      <w:bookmarkStart w:id="2447" w:name="_Toc29418"/>
      <w:bookmarkStart w:id="2448" w:name="_Toc108515026"/>
      <w:bookmarkStart w:id="2449" w:name="_Toc28532411"/>
      <w:r>
        <w:rPr>
          <w:rFonts w:hint="eastAsia"/>
          <w:color w:val="auto"/>
          <w:highlight w:val="none"/>
        </w:rPr>
        <w:t>三、投标保证金</w:t>
      </w:r>
      <w:bookmarkEnd w:id="2447"/>
      <w:bookmarkEnd w:id="2448"/>
    </w:p>
    <w:p w14:paraId="026F9597">
      <w:pPr>
        <w:spacing w:line="400" w:lineRule="atLeast"/>
        <w:ind w:firstLine="390"/>
        <w:rPr>
          <w:color w:val="auto"/>
          <w:szCs w:val="21"/>
          <w:highlight w:val="none"/>
        </w:rPr>
      </w:pPr>
    </w:p>
    <w:p w14:paraId="1435D23F">
      <w:pPr>
        <w:spacing w:line="400" w:lineRule="atLeast"/>
        <w:ind w:firstLine="390"/>
        <w:rPr>
          <w:color w:val="auto"/>
          <w:szCs w:val="21"/>
          <w:highlight w:val="none"/>
        </w:rPr>
      </w:pPr>
      <w:r>
        <w:rPr>
          <w:rFonts w:hint="eastAsia"/>
          <w:color w:val="auto"/>
          <w:szCs w:val="21"/>
          <w:highlight w:val="none"/>
        </w:rPr>
        <w:t>若采用现金或支票，投标人应在此提供汇款凭证的扫描件。</w:t>
      </w:r>
    </w:p>
    <w:p w14:paraId="76C7B082">
      <w:pPr>
        <w:spacing w:line="400" w:lineRule="atLeast"/>
        <w:ind w:firstLine="390"/>
        <w:rPr>
          <w:color w:val="auto"/>
          <w:szCs w:val="21"/>
          <w:highlight w:val="none"/>
        </w:rPr>
      </w:pPr>
      <w:r>
        <w:rPr>
          <w:rFonts w:hint="eastAsia"/>
          <w:color w:val="auto"/>
          <w:szCs w:val="21"/>
          <w:highlight w:val="none"/>
        </w:rPr>
        <w:t>如采用银行保函，格式如下。</w:t>
      </w:r>
    </w:p>
    <w:p w14:paraId="1371FF7A">
      <w:pPr>
        <w:spacing w:line="460" w:lineRule="exact"/>
        <w:rPr>
          <w:rFonts w:ascii="宋体" w:hAnsi="宋体"/>
          <w:color w:val="auto"/>
          <w:szCs w:val="21"/>
          <w:highlight w:val="none"/>
          <w:u w:val="single"/>
        </w:rPr>
      </w:pPr>
    </w:p>
    <w:p w14:paraId="0794E900">
      <w:pPr>
        <w:spacing w:line="460"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（招标人名称）：</w:t>
      </w:r>
    </w:p>
    <w:p w14:paraId="74D143C3">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鉴于</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（投标人名称）（以下简称“投标人”）参加你方</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color w:val="auto"/>
          <w:highlight w:val="none"/>
        </w:rPr>
        <w:t>（标段名称）</w:t>
      </w:r>
      <w:r>
        <w:rPr>
          <w:rFonts w:hint="eastAsia" w:ascii="宋体" w:hAnsi="宋体"/>
          <w:color w:val="auto"/>
          <w:szCs w:val="21"/>
          <w:highlight w:val="none"/>
        </w:rPr>
        <w:t>的施工投标，</w:t>
      </w:r>
      <w:r>
        <w:rPr>
          <w:rFonts w:hint="eastAsia" w:ascii="宋体" w:hAnsi="宋体"/>
          <w:color w:val="auto"/>
          <w:szCs w:val="21"/>
          <w:highlight w:val="none"/>
          <w:u w:val="single"/>
        </w:rPr>
        <w:t xml:space="preserve">                            </w:t>
      </w:r>
      <w:r>
        <w:rPr>
          <w:rFonts w:hint="eastAsia" w:ascii="宋体" w:hAnsi="宋体"/>
          <w:color w:val="auto"/>
          <w:szCs w:val="21"/>
          <w:highlight w:val="none"/>
        </w:rPr>
        <w:t>（担保人名称）（以下简称“我方”）受该投标人委托，在此无条件地、不可撤销地保证：一旦收到你方提出的下述任何一种事实的书面通知，在7日内无条件地向你方支付总额不超过</w:t>
      </w:r>
      <w:r>
        <w:rPr>
          <w:rFonts w:hint="eastAsia" w:ascii="宋体" w:hAnsi="宋体"/>
          <w:color w:val="auto"/>
          <w:szCs w:val="21"/>
          <w:highlight w:val="none"/>
          <w:u w:val="single"/>
        </w:rPr>
        <w:t xml:space="preserve">                  </w:t>
      </w:r>
      <w:r>
        <w:rPr>
          <w:rFonts w:hint="eastAsia" w:ascii="宋体" w:hAnsi="宋体"/>
          <w:color w:val="auto"/>
          <w:szCs w:val="21"/>
          <w:highlight w:val="none"/>
        </w:rPr>
        <w:t>（投标保函额度）的任何你方要求的金额：</w:t>
      </w:r>
    </w:p>
    <w:p w14:paraId="19CC1F24">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1．投标人在规定的投标有效期内撤销或者修改其投标文件。</w:t>
      </w:r>
    </w:p>
    <w:p w14:paraId="455F2218">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2．投标人在收到中标通知书后无正当理由而未在规定期限内与贵方签署合同，或者</w:t>
      </w:r>
      <w:r>
        <w:rPr>
          <w:rFonts w:hint="eastAsia"/>
          <w:color w:val="auto"/>
          <w:highlight w:val="none"/>
        </w:rPr>
        <w:t>在签订合同时向招标人提出附加条件。</w:t>
      </w:r>
    </w:p>
    <w:p w14:paraId="569362A5">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3．投标人在收到中标通知书后未能在规定期限内向贵方提交招标文件所要求的履约担保。</w:t>
      </w:r>
    </w:p>
    <w:p w14:paraId="66DCECC4">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本保函在投标有效期内保持有效，除非你方提前终止或解除本保函。要求我方承担保证责任的通知应在投标有效期内送达我方。保函失效后请将本保函交投标人退回我方注销。</w:t>
      </w:r>
    </w:p>
    <w:p w14:paraId="66299B85">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本保函项下所有权利和义务均受中华人民共和国法律管辖和制约。</w:t>
      </w:r>
    </w:p>
    <w:p w14:paraId="7FC00C23">
      <w:pPr>
        <w:spacing w:line="460" w:lineRule="exact"/>
        <w:ind w:firstLine="420" w:firstLineChars="200"/>
        <w:rPr>
          <w:rFonts w:hint="eastAsia" w:ascii="宋体" w:hAnsi="宋体"/>
          <w:color w:val="auto"/>
          <w:szCs w:val="21"/>
          <w:highlight w:val="none"/>
        </w:rPr>
      </w:pPr>
    </w:p>
    <w:p w14:paraId="19ED09A5">
      <w:pPr>
        <w:spacing w:line="460"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担保人名称：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10B5CE5A">
      <w:pPr>
        <w:spacing w:line="460"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7570A3E0">
      <w:pPr>
        <w:spacing w:line="460"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14:paraId="05F9CCCE">
      <w:pPr>
        <w:spacing w:line="460"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邮政编码：</w:t>
      </w:r>
      <w:r>
        <w:rPr>
          <w:rFonts w:hint="eastAsia" w:ascii="宋体" w:hAnsi="宋体"/>
          <w:color w:val="auto"/>
          <w:szCs w:val="21"/>
          <w:highlight w:val="none"/>
          <w:u w:val="single"/>
        </w:rPr>
        <w:t xml:space="preserve">                                             </w:t>
      </w:r>
    </w:p>
    <w:p w14:paraId="2A60F9C7">
      <w:pPr>
        <w:spacing w:line="460"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电    话：</w:t>
      </w:r>
      <w:r>
        <w:rPr>
          <w:rFonts w:hint="eastAsia" w:ascii="宋体" w:hAnsi="宋体"/>
          <w:color w:val="auto"/>
          <w:szCs w:val="21"/>
          <w:highlight w:val="none"/>
          <w:u w:val="single"/>
        </w:rPr>
        <w:t xml:space="preserve">                                             </w:t>
      </w:r>
    </w:p>
    <w:p w14:paraId="5A77A8F1">
      <w:pPr>
        <w:spacing w:line="460" w:lineRule="exact"/>
        <w:ind w:firstLine="2100" w:firstLineChars="1000"/>
        <w:rPr>
          <w:rFonts w:hint="eastAsia" w:ascii="宋体" w:hAnsi="宋体"/>
          <w:color w:val="auto"/>
          <w:szCs w:val="21"/>
          <w:highlight w:val="none"/>
          <w:u w:val="single"/>
        </w:rPr>
      </w:pPr>
      <w:r>
        <w:rPr>
          <w:rFonts w:hint="eastAsia" w:ascii="宋体" w:hAnsi="宋体"/>
          <w:color w:val="auto"/>
          <w:szCs w:val="21"/>
          <w:highlight w:val="none"/>
        </w:rPr>
        <w:t>传    真：</w:t>
      </w:r>
      <w:r>
        <w:rPr>
          <w:rFonts w:hint="eastAsia" w:ascii="宋体" w:hAnsi="宋体"/>
          <w:color w:val="auto"/>
          <w:szCs w:val="21"/>
          <w:highlight w:val="none"/>
          <w:u w:val="single"/>
        </w:rPr>
        <w:t xml:space="preserve">                                             </w:t>
      </w:r>
    </w:p>
    <w:p w14:paraId="096570C7">
      <w:pPr>
        <w:spacing w:line="460" w:lineRule="exact"/>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5B95FAA9">
      <w:pPr>
        <w:spacing w:line="400" w:lineRule="exact"/>
        <w:ind w:left="840" w:hanging="840" w:hangingChars="400"/>
        <w:rPr>
          <w:rFonts w:hint="eastAsia" w:ascii="宋体" w:hAnsi="宋体"/>
          <w:color w:val="auto"/>
          <w:szCs w:val="21"/>
          <w:highlight w:val="none"/>
        </w:rPr>
      </w:pPr>
      <w:r>
        <w:rPr>
          <w:rFonts w:hint="eastAsia" w:ascii="宋体" w:hAnsi="宋体"/>
          <w:color w:val="auto"/>
          <w:szCs w:val="21"/>
          <w:highlight w:val="none"/>
        </w:rPr>
        <w:t>备注：1.投标人采用保函形式提交投标保证金的采用本格式。</w:t>
      </w:r>
    </w:p>
    <w:p w14:paraId="1C4367D2">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2.投标人可采用银行提供的保函格式，但担保内容不得背离招标文件约定的实质性内容或对招标人的权利造成实质性的限制。</w:t>
      </w:r>
    </w:p>
    <w:p w14:paraId="71447C88">
      <w:pPr>
        <w:spacing w:line="460" w:lineRule="exact"/>
        <w:rPr>
          <w:rFonts w:hint="eastAsia" w:ascii="宋体" w:hAnsi="宋体"/>
          <w:color w:val="auto"/>
          <w:szCs w:val="21"/>
          <w:highlight w:val="none"/>
        </w:rPr>
      </w:pPr>
    </w:p>
    <w:p w14:paraId="31500446">
      <w:pPr>
        <w:pStyle w:val="31"/>
        <w:jc w:val="center"/>
        <w:rPr>
          <w:rFonts w:hint="eastAsia"/>
          <w:color w:val="auto"/>
          <w:highlight w:val="none"/>
        </w:rPr>
      </w:pPr>
      <w:bookmarkStart w:id="2450" w:name="_Toc3659"/>
      <w:r>
        <w:rPr>
          <w:rFonts w:hint="eastAsia"/>
          <w:color w:val="auto"/>
          <w:highlight w:val="none"/>
        </w:rPr>
        <w:t>四、联合体协议书</w:t>
      </w:r>
      <w:bookmarkEnd w:id="2449"/>
      <w:bookmarkEnd w:id="2450"/>
    </w:p>
    <w:p w14:paraId="4FB7CD50">
      <w:pPr>
        <w:spacing w:line="394" w:lineRule="exact"/>
        <w:rPr>
          <w:rFonts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p>
    <w:p w14:paraId="46CEAC10">
      <w:pPr>
        <w:spacing w:line="394" w:lineRule="exact"/>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14:paraId="3CEE6AAF">
      <w:pPr>
        <w:spacing w:line="394" w:lineRule="exact"/>
        <w:rPr>
          <w:rFonts w:hint="eastAsia" w:ascii="宋体" w:hAnsi="宋体"/>
          <w:color w:val="auto"/>
          <w:szCs w:val="21"/>
          <w:highlight w:val="none"/>
          <w:u w:val="singl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14:paraId="566B915D">
      <w:pPr>
        <w:spacing w:line="394" w:lineRule="exact"/>
        <w:rPr>
          <w:rFonts w:hint="eastAsia" w:ascii="宋体" w:hAnsi="宋体"/>
          <w:color w:val="auto"/>
          <w:szCs w:val="21"/>
          <w:highlight w:val="none"/>
        </w:rPr>
      </w:pPr>
    </w:p>
    <w:p w14:paraId="5CFA9649">
      <w:pPr>
        <w:spacing w:line="394" w:lineRule="exact"/>
        <w:rPr>
          <w:rFonts w:hint="eastAsia"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p>
    <w:p w14:paraId="7320FBB4">
      <w:pPr>
        <w:spacing w:line="394" w:lineRule="exact"/>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14:paraId="6CBD1DFE">
      <w:pPr>
        <w:spacing w:line="394" w:lineRule="exact"/>
        <w:rPr>
          <w:rFonts w:hint="eastAsia" w:ascii="宋体" w:hAnsi="宋体"/>
          <w:color w:val="auto"/>
          <w:szCs w:val="21"/>
          <w:highlight w:val="none"/>
          <w:u w:val="singl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14:paraId="520C3811">
      <w:pPr>
        <w:spacing w:line="394" w:lineRule="exact"/>
        <w:ind w:firstLine="525" w:firstLineChars="250"/>
        <w:rPr>
          <w:rFonts w:hint="eastAsia" w:ascii="宋体" w:hAnsi="宋体"/>
          <w:color w:val="auto"/>
          <w:szCs w:val="21"/>
          <w:highlight w:val="none"/>
        </w:rPr>
      </w:pPr>
      <w:r>
        <w:rPr>
          <w:rFonts w:hint="eastAsia" w:ascii="宋体" w:hAnsi="宋体"/>
          <w:color w:val="auto"/>
          <w:szCs w:val="21"/>
          <w:highlight w:val="none"/>
        </w:rPr>
        <w:t>……</w:t>
      </w:r>
    </w:p>
    <w:p w14:paraId="3B9871E6">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鉴于上述各成员单位经过友好协商，自愿组成</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（联合体名称）联合体，共同参加</w:t>
      </w:r>
    </w:p>
    <w:p w14:paraId="2D137A08">
      <w:pPr>
        <w:spacing w:line="394"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（招标人名称）（以下简称招标人）</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color w:val="auto"/>
          <w:highlight w:val="none"/>
        </w:rPr>
        <w:t>（标段名称）</w:t>
      </w:r>
      <w:r>
        <w:rPr>
          <w:rFonts w:hint="eastAsia" w:ascii="宋体" w:hAnsi="宋体"/>
          <w:color w:val="auto"/>
          <w:szCs w:val="21"/>
          <w:highlight w:val="none"/>
        </w:rPr>
        <w:t>（以下简称本工程）的施工投标并争取赢得本工程施工承包合同（以下简称合同）。现就联合体投标事宜订立如下协议：</w:t>
      </w:r>
    </w:p>
    <w:p w14:paraId="460C9897">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（联合体名称）牵头人。</w:t>
      </w:r>
    </w:p>
    <w:p w14:paraId="7581B33C">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07F56C32">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61D684E1">
      <w:pPr>
        <w:spacing w:line="394" w:lineRule="exact"/>
        <w:ind w:firstLine="420" w:firstLineChars="200"/>
        <w:rPr>
          <w:rFonts w:hint="eastAsia" w:ascii="宋体" w:hAnsi="宋体"/>
          <w:color w:val="auto"/>
          <w:szCs w:val="21"/>
          <w:highlight w:val="none"/>
          <w:u w:val="single"/>
        </w:rPr>
      </w:pPr>
      <w:r>
        <w:rPr>
          <w:rFonts w:hint="eastAsia" w:ascii="宋体" w:hAnsi="宋体"/>
          <w:color w:val="auto"/>
          <w:szCs w:val="21"/>
          <w:highlight w:val="none"/>
        </w:rPr>
        <w:t>4．联合体各成员单位内部的职责分工如下：</w:t>
      </w:r>
      <w:r>
        <w:rPr>
          <w:rFonts w:hint="eastAsia" w:ascii="宋体" w:hAnsi="宋体"/>
          <w:color w:val="auto"/>
          <w:szCs w:val="21"/>
          <w:highlight w:val="none"/>
          <w:u w:val="single"/>
        </w:rPr>
        <w:t xml:space="preserve">                                                                        </w:t>
      </w:r>
    </w:p>
    <w:p w14:paraId="48934032">
      <w:pPr>
        <w:spacing w:line="394"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                                                                               </w:t>
      </w:r>
      <w:r>
        <w:rPr>
          <w:rFonts w:hint="eastAsia" w:ascii="宋体" w:hAnsi="宋体"/>
          <w:color w:val="auto"/>
          <w:szCs w:val="21"/>
          <w:highlight w:val="none"/>
        </w:rPr>
        <w:t>。按照本条上述分工，联合体成员单位各自所承担的合同工作量比例如下：</w:t>
      </w:r>
      <w:r>
        <w:rPr>
          <w:rFonts w:hint="eastAsia" w:ascii="宋体" w:hAnsi="宋体"/>
          <w:color w:val="auto"/>
          <w:szCs w:val="21"/>
          <w:highlight w:val="none"/>
          <w:u w:val="single"/>
        </w:rPr>
        <w:t xml:space="preserve">                                                              </w:t>
      </w:r>
    </w:p>
    <w:p w14:paraId="6F05E37E">
      <w:pPr>
        <w:spacing w:line="394"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5667BF0D">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5．投标工作和联合体在中标后工程实施过程中的有关费用按各自承担的工作量分摊。</w:t>
      </w:r>
    </w:p>
    <w:p w14:paraId="4012EEF5">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6．联合体中标后，本联合体协议是合同的附件，对联合体各成员单位有合同约束力。</w:t>
      </w:r>
    </w:p>
    <w:p w14:paraId="5D361E28">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7．本协议书自签署之日起生效，联合体未中标或者中标合同履行完毕后自动失效。</w:t>
      </w:r>
    </w:p>
    <w:p w14:paraId="7F51A752">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份，联合体成员和招标人各执一份。</w:t>
      </w:r>
    </w:p>
    <w:p w14:paraId="71A59F80">
      <w:pPr>
        <w:spacing w:line="394" w:lineRule="exact"/>
        <w:ind w:firstLine="1785" w:firstLineChars="850"/>
        <w:rPr>
          <w:rFonts w:hint="eastAsia" w:ascii="宋体" w:hAnsi="宋体"/>
          <w:color w:val="auto"/>
          <w:szCs w:val="21"/>
          <w:highlight w:val="none"/>
        </w:rPr>
      </w:pPr>
    </w:p>
    <w:p w14:paraId="351500C2">
      <w:pPr>
        <w:spacing w:line="394" w:lineRule="exact"/>
        <w:ind w:firstLine="1785" w:firstLineChars="850"/>
        <w:rPr>
          <w:rFonts w:hint="eastAsia" w:ascii="宋体" w:hAnsi="宋体"/>
          <w:color w:val="auto"/>
          <w:szCs w:val="21"/>
          <w:highlight w:val="none"/>
        </w:rPr>
      </w:pPr>
    </w:p>
    <w:p w14:paraId="61D3BC9D">
      <w:pPr>
        <w:spacing w:line="394" w:lineRule="exact"/>
        <w:ind w:firstLine="1785" w:firstLineChars="850"/>
        <w:rPr>
          <w:rFonts w:hint="eastAsia" w:ascii="宋体" w:hAnsi="宋体"/>
          <w:color w:val="auto"/>
          <w:szCs w:val="21"/>
          <w:highlight w:val="none"/>
        </w:rPr>
      </w:pPr>
    </w:p>
    <w:p w14:paraId="5F0B9375">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7BA50A0C">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4291D638">
      <w:pPr>
        <w:spacing w:line="394" w:lineRule="exact"/>
        <w:ind w:firstLine="1785" w:firstLineChars="850"/>
        <w:rPr>
          <w:rFonts w:hint="eastAsia" w:ascii="宋体" w:hAnsi="宋体"/>
          <w:color w:val="auto"/>
          <w:szCs w:val="21"/>
          <w:highlight w:val="none"/>
        </w:rPr>
      </w:pPr>
    </w:p>
    <w:p w14:paraId="7D65AC7A">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3D82C23C">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1C1985E1">
      <w:pPr>
        <w:spacing w:line="394"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w:t>
      </w:r>
    </w:p>
    <w:p w14:paraId="761F35A9">
      <w:pPr>
        <w:wordWrap w:val="0"/>
        <w:spacing w:line="394" w:lineRule="exact"/>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59942F02">
      <w:pPr>
        <w:spacing w:line="394" w:lineRule="exact"/>
        <w:rPr>
          <w:rFonts w:hint="eastAsia" w:ascii="黑体" w:hAnsi="宋体" w:eastAsia="黑体"/>
          <w:color w:val="auto"/>
          <w:szCs w:val="21"/>
          <w:highlight w:val="none"/>
        </w:rPr>
      </w:pPr>
    </w:p>
    <w:p w14:paraId="20E671AF">
      <w:pPr>
        <w:spacing w:line="400" w:lineRule="exact"/>
        <w:rPr>
          <w:rFonts w:ascii="宋体" w:hAnsi="宋体"/>
          <w:color w:val="auto"/>
          <w:szCs w:val="21"/>
          <w:highlight w:val="none"/>
        </w:rPr>
      </w:pPr>
      <w:r>
        <w:rPr>
          <w:rFonts w:hint="eastAsia" w:ascii="宋体" w:hAnsi="宋体"/>
          <w:color w:val="auto"/>
          <w:szCs w:val="21"/>
          <w:highlight w:val="none"/>
        </w:rPr>
        <w:t>备注：1.本协议书由委托代理人签字的，应附法定代表人签字的授权委托书。</w:t>
      </w:r>
    </w:p>
    <w:p w14:paraId="3BB36D41">
      <w:pPr>
        <w:spacing w:line="394" w:lineRule="exact"/>
        <w:ind w:left="840" w:leftChars="300" w:hanging="210" w:hangingChars="100"/>
        <w:rPr>
          <w:rFonts w:hint="eastAsia" w:ascii="宋体" w:hAnsi="宋体"/>
          <w:bCs/>
          <w:color w:val="auto"/>
          <w:szCs w:val="21"/>
          <w:highlight w:val="none"/>
        </w:rPr>
      </w:pPr>
      <w:r>
        <w:rPr>
          <w:rFonts w:hint="eastAsia" w:ascii="宋体" w:hAnsi="宋体"/>
          <w:color w:val="auto"/>
          <w:szCs w:val="21"/>
          <w:highlight w:val="none"/>
        </w:rPr>
        <w:t>2.投标人未采用联合体投标的，</w:t>
      </w:r>
      <w:r>
        <w:rPr>
          <w:rFonts w:hint="eastAsia" w:ascii="宋体" w:hAnsi="宋体"/>
          <w:bCs/>
          <w:color w:val="auto"/>
          <w:szCs w:val="21"/>
          <w:highlight w:val="none"/>
        </w:rPr>
        <w:t>投标文件中不需联合体协议书，也无须盖单位章和签字。</w:t>
      </w:r>
    </w:p>
    <w:p w14:paraId="75AF804C">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7442F16F">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4.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6B82BABA">
      <w:pPr>
        <w:spacing w:line="394" w:lineRule="exact"/>
        <w:rPr>
          <w:rFonts w:hint="eastAsia" w:ascii="黑体" w:hAnsi="宋体" w:eastAsia="黑体"/>
          <w:color w:val="auto"/>
          <w:szCs w:val="21"/>
          <w:highlight w:val="none"/>
        </w:rPr>
      </w:pPr>
    </w:p>
    <w:p w14:paraId="37D93C7C">
      <w:pPr>
        <w:spacing w:line="394" w:lineRule="exact"/>
        <w:rPr>
          <w:rFonts w:hint="eastAsia" w:ascii="黑体" w:hAnsi="宋体" w:eastAsia="黑体"/>
          <w:color w:val="auto"/>
          <w:szCs w:val="21"/>
          <w:highlight w:val="none"/>
        </w:rPr>
      </w:pPr>
    </w:p>
    <w:p w14:paraId="61DE3C0F">
      <w:pPr>
        <w:spacing w:line="394" w:lineRule="exact"/>
        <w:rPr>
          <w:rFonts w:hint="eastAsia" w:ascii="黑体" w:hAnsi="宋体" w:eastAsia="黑体"/>
          <w:color w:val="auto"/>
          <w:szCs w:val="21"/>
          <w:highlight w:val="none"/>
        </w:rPr>
      </w:pPr>
    </w:p>
    <w:p w14:paraId="68968CEF">
      <w:pPr>
        <w:spacing w:line="394" w:lineRule="exact"/>
        <w:rPr>
          <w:rFonts w:hint="eastAsia" w:ascii="黑体" w:hAnsi="宋体" w:eastAsia="黑体"/>
          <w:color w:val="auto"/>
          <w:szCs w:val="21"/>
          <w:highlight w:val="none"/>
        </w:rPr>
      </w:pPr>
    </w:p>
    <w:p w14:paraId="12D16EDA">
      <w:pPr>
        <w:spacing w:line="394" w:lineRule="exact"/>
        <w:rPr>
          <w:rFonts w:hint="eastAsia" w:ascii="黑体" w:hAnsi="宋体" w:eastAsia="黑体"/>
          <w:color w:val="auto"/>
          <w:szCs w:val="21"/>
          <w:highlight w:val="none"/>
        </w:rPr>
      </w:pPr>
    </w:p>
    <w:p w14:paraId="293C5327">
      <w:pPr>
        <w:spacing w:line="394" w:lineRule="exact"/>
        <w:rPr>
          <w:rFonts w:hint="eastAsia" w:ascii="黑体" w:hAnsi="宋体" w:eastAsia="黑体"/>
          <w:color w:val="auto"/>
          <w:szCs w:val="21"/>
          <w:highlight w:val="none"/>
        </w:rPr>
      </w:pPr>
    </w:p>
    <w:p w14:paraId="5170015D">
      <w:pPr>
        <w:spacing w:line="394" w:lineRule="exact"/>
        <w:rPr>
          <w:rFonts w:hint="eastAsia" w:ascii="黑体" w:hAnsi="宋体" w:eastAsia="黑体"/>
          <w:color w:val="auto"/>
          <w:szCs w:val="21"/>
          <w:highlight w:val="none"/>
        </w:rPr>
      </w:pPr>
    </w:p>
    <w:p w14:paraId="7426E699">
      <w:pPr>
        <w:spacing w:line="394" w:lineRule="exact"/>
        <w:rPr>
          <w:rFonts w:hint="eastAsia" w:ascii="黑体" w:hAnsi="宋体" w:eastAsia="黑体"/>
          <w:color w:val="auto"/>
          <w:szCs w:val="21"/>
          <w:highlight w:val="none"/>
        </w:rPr>
      </w:pPr>
    </w:p>
    <w:p w14:paraId="3DA4CA38">
      <w:pPr>
        <w:spacing w:line="394" w:lineRule="exact"/>
        <w:rPr>
          <w:rFonts w:hint="eastAsia" w:ascii="黑体" w:hAnsi="宋体" w:eastAsia="黑体"/>
          <w:color w:val="auto"/>
          <w:szCs w:val="21"/>
          <w:highlight w:val="none"/>
        </w:rPr>
      </w:pPr>
    </w:p>
    <w:p w14:paraId="0B3551FF">
      <w:pPr>
        <w:spacing w:line="394" w:lineRule="exact"/>
        <w:rPr>
          <w:rFonts w:hint="eastAsia" w:ascii="黑体" w:hAnsi="宋体" w:eastAsia="黑体"/>
          <w:color w:val="auto"/>
          <w:szCs w:val="21"/>
          <w:highlight w:val="none"/>
        </w:rPr>
      </w:pPr>
    </w:p>
    <w:p w14:paraId="3F631ECB">
      <w:pPr>
        <w:spacing w:line="394" w:lineRule="exact"/>
        <w:rPr>
          <w:rFonts w:hint="eastAsia" w:ascii="黑体" w:hAnsi="宋体" w:eastAsia="黑体"/>
          <w:color w:val="auto"/>
          <w:szCs w:val="21"/>
          <w:highlight w:val="none"/>
        </w:rPr>
      </w:pPr>
    </w:p>
    <w:p w14:paraId="03175F28">
      <w:pPr>
        <w:spacing w:line="394" w:lineRule="exact"/>
        <w:rPr>
          <w:rFonts w:hint="eastAsia" w:ascii="黑体" w:hAnsi="宋体" w:eastAsia="黑体"/>
          <w:color w:val="auto"/>
          <w:szCs w:val="21"/>
          <w:highlight w:val="none"/>
        </w:rPr>
      </w:pPr>
    </w:p>
    <w:p w14:paraId="2F469D89">
      <w:pPr>
        <w:spacing w:line="394" w:lineRule="exact"/>
        <w:rPr>
          <w:rFonts w:hint="eastAsia" w:ascii="黑体" w:hAnsi="宋体" w:eastAsia="黑体"/>
          <w:color w:val="auto"/>
          <w:szCs w:val="21"/>
          <w:highlight w:val="none"/>
        </w:rPr>
      </w:pPr>
    </w:p>
    <w:p w14:paraId="386B81DB">
      <w:pPr>
        <w:spacing w:line="394" w:lineRule="exact"/>
        <w:rPr>
          <w:rFonts w:hint="eastAsia" w:ascii="黑体" w:hAnsi="宋体" w:eastAsia="黑体"/>
          <w:color w:val="auto"/>
          <w:szCs w:val="21"/>
          <w:highlight w:val="none"/>
        </w:rPr>
      </w:pPr>
    </w:p>
    <w:p w14:paraId="7FD60715">
      <w:pPr>
        <w:pStyle w:val="31"/>
        <w:jc w:val="center"/>
        <w:rPr>
          <w:color w:val="auto"/>
          <w:highlight w:val="none"/>
        </w:rPr>
      </w:pPr>
      <w:bookmarkStart w:id="2451" w:name="_Toc108515028"/>
      <w:bookmarkStart w:id="2452" w:name="_Toc26266"/>
      <w:r>
        <w:rPr>
          <w:rFonts w:hint="eastAsia"/>
          <w:color w:val="auto"/>
          <w:highlight w:val="none"/>
        </w:rPr>
        <w:t>五、拟分包计划表</w:t>
      </w:r>
      <w:bookmarkEnd w:id="2451"/>
      <w:bookmarkEnd w:id="2452"/>
    </w:p>
    <w:p w14:paraId="15EE4B31">
      <w:pPr>
        <w:spacing w:line="440" w:lineRule="exact"/>
        <w:ind w:right="420"/>
        <w:rPr>
          <w:rFonts w:ascii="黑体" w:hAnsi="宋体"/>
          <w:color w:val="auto"/>
          <w:szCs w:val="28"/>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6AA9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Borders>
              <w:top w:val="single" w:color="auto" w:sz="4" w:space="0"/>
              <w:left w:val="single" w:color="auto" w:sz="4" w:space="0"/>
              <w:bottom w:val="single" w:color="auto" w:sz="4" w:space="0"/>
              <w:right w:val="single" w:color="auto" w:sz="4" w:space="0"/>
            </w:tcBorders>
            <w:noWrap w:val="0"/>
            <w:vAlign w:val="center"/>
          </w:tcPr>
          <w:p w14:paraId="4831E3EC">
            <w:pPr>
              <w:jc w:val="center"/>
              <w:rPr>
                <w:rFonts w:ascii="宋体" w:hAnsi="宋体"/>
                <w:color w:val="auto"/>
                <w:szCs w:val="21"/>
                <w:highlight w:val="none"/>
              </w:rPr>
            </w:pPr>
            <w:r>
              <w:rPr>
                <w:rFonts w:hint="eastAsia" w:ascii="宋体" w:hAnsi="宋体"/>
                <w:color w:val="auto"/>
                <w:szCs w:val="21"/>
                <w:highlight w:val="none"/>
              </w:rPr>
              <w:t>序</w:t>
            </w:r>
          </w:p>
          <w:p w14:paraId="53A9080A">
            <w:pPr>
              <w:jc w:val="center"/>
              <w:rPr>
                <w:rFonts w:ascii="宋体" w:hAnsi="宋体"/>
                <w:color w:val="auto"/>
                <w:szCs w:val="21"/>
                <w:highlight w:val="none"/>
              </w:rPr>
            </w:pPr>
            <w:r>
              <w:rPr>
                <w:rFonts w:hint="eastAsia" w:ascii="宋体" w:hAnsi="宋体"/>
                <w:color w:val="auto"/>
                <w:szCs w:val="21"/>
                <w:highlight w:val="none"/>
              </w:rPr>
              <w:t>号</w:t>
            </w:r>
          </w:p>
        </w:tc>
        <w:tc>
          <w:tcPr>
            <w:tcW w:w="1843" w:type="dxa"/>
            <w:vMerge w:val="restart"/>
            <w:tcBorders>
              <w:top w:val="single" w:color="auto" w:sz="4" w:space="0"/>
              <w:left w:val="single" w:color="auto" w:sz="4" w:space="0"/>
              <w:bottom w:val="single" w:color="auto" w:sz="4" w:space="0"/>
              <w:right w:val="single" w:color="auto" w:sz="4" w:space="0"/>
            </w:tcBorders>
            <w:noWrap w:val="0"/>
            <w:vAlign w:val="center"/>
          </w:tcPr>
          <w:p w14:paraId="2EB166A7">
            <w:pPr>
              <w:jc w:val="center"/>
              <w:rPr>
                <w:rFonts w:ascii="宋体" w:hAnsi="宋体"/>
                <w:color w:val="auto"/>
                <w:szCs w:val="21"/>
                <w:highlight w:val="none"/>
              </w:rPr>
            </w:pPr>
            <w:r>
              <w:rPr>
                <w:rFonts w:hint="eastAsia" w:ascii="宋体" w:hAnsi="宋体"/>
                <w:color w:val="auto"/>
                <w:szCs w:val="21"/>
                <w:highlight w:val="none"/>
              </w:rPr>
              <w:t>拟分包项目名称、范围及理由</w:t>
            </w:r>
          </w:p>
        </w:tc>
        <w:tc>
          <w:tcPr>
            <w:tcW w:w="5111" w:type="dxa"/>
            <w:gridSpan w:val="5"/>
            <w:tcBorders>
              <w:top w:val="single" w:color="auto" w:sz="4" w:space="0"/>
              <w:left w:val="single" w:color="auto" w:sz="4" w:space="0"/>
              <w:bottom w:val="single" w:color="auto" w:sz="4" w:space="0"/>
              <w:right w:val="single" w:color="auto" w:sz="4" w:space="0"/>
            </w:tcBorders>
            <w:noWrap w:val="0"/>
            <w:vAlign w:val="center"/>
          </w:tcPr>
          <w:p w14:paraId="006CB18E">
            <w:pPr>
              <w:jc w:val="center"/>
              <w:rPr>
                <w:rFonts w:ascii="宋体" w:hAnsi="宋体"/>
                <w:color w:val="auto"/>
                <w:szCs w:val="21"/>
                <w:highlight w:val="none"/>
              </w:rPr>
            </w:pPr>
            <w:r>
              <w:rPr>
                <w:rFonts w:hint="eastAsia" w:ascii="宋体" w:hAnsi="宋体"/>
                <w:color w:val="auto"/>
                <w:szCs w:val="21"/>
                <w:highlight w:val="none"/>
              </w:rPr>
              <w:t>拟选分包人</w:t>
            </w:r>
          </w:p>
        </w:tc>
        <w:tc>
          <w:tcPr>
            <w:tcW w:w="983" w:type="dxa"/>
            <w:vMerge w:val="restart"/>
            <w:tcBorders>
              <w:top w:val="single" w:color="auto" w:sz="4" w:space="0"/>
              <w:left w:val="single" w:color="auto" w:sz="4" w:space="0"/>
              <w:bottom w:val="single" w:color="auto" w:sz="4" w:space="0"/>
              <w:right w:val="single" w:color="auto" w:sz="4" w:space="0"/>
            </w:tcBorders>
            <w:noWrap w:val="0"/>
            <w:vAlign w:val="center"/>
          </w:tcPr>
          <w:p w14:paraId="737E991A">
            <w:pPr>
              <w:jc w:val="center"/>
              <w:rPr>
                <w:rFonts w:ascii="宋体" w:hAnsi="宋体"/>
                <w:color w:val="auto"/>
                <w:szCs w:val="21"/>
                <w:highlight w:val="none"/>
              </w:rPr>
            </w:pPr>
            <w:r>
              <w:rPr>
                <w:rFonts w:hint="eastAsia" w:ascii="宋体" w:hAnsi="宋体"/>
                <w:color w:val="auto"/>
                <w:szCs w:val="21"/>
                <w:highlight w:val="none"/>
              </w:rPr>
              <w:t>备注</w:t>
            </w:r>
          </w:p>
        </w:tc>
      </w:tr>
      <w:tr w14:paraId="05DD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D2E1082">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C167974">
            <w:pPr>
              <w:widowControl/>
              <w:jc w:val="left"/>
              <w:rPr>
                <w:rFonts w:ascii="宋体" w:hAnsi="宋体"/>
                <w:color w:val="auto"/>
                <w:szCs w:val="21"/>
                <w:highlight w:val="none"/>
              </w:rPr>
            </w:pP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72C4C5BF">
            <w:pPr>
              <w:jc w:val="center"/>
              <w:rPr>
                <w:rFonts w:ascii="宋体" w:hAnsi="宋体"/>
                <w:color w:val="auto"/>
                <w:szCs w:val="21"/>
                <w:highlight w:val="none"/>
              </w:rPr>
            </w:pPr>
            <w:r>
              <w:rPr>
                <w:rFonts w:hint="eastAsia" w:ascii="宋体" w:hAnsi="宋体"/>
                <w:color w:val="auto"/>
                <w:szCs w:val="21"/>
                <w:highlight w:val="none"/>
              </w:rPr>
              <w:t>拟选分包人名称</w:t>
            </w:r>
          </w:p>
        </w:tc>
        <w:tc>
          <w:tcPr>
            <w:tcW w:w="1123" w:type="dxa"/>
            <w:tcBorders>
              <w:top w:val="single" w:color="auto" w:sz="4" w:space="0"/>
              <w:left w:val="single" w:color="auto" w:sz="4" w:space="0"/>
              <w:bottom w:val="single" w:color="auto" w:sz="4" w:space="0"/>
              <w:right w:val="single" w:color="auto" w:sz="4" w:space="0"/>
            </w:tcBorders>
            <w:noWrap w:val="0"/>
            <w:vAlign w:val="center"/>
          </w:tcPr>
          <w:p w14:paraId="5AB56579">
            <w:pPr>
              <w:jc w:val="center"/>
              <w:rPr>
                <w:rFonts w:ascii="宋体" w:hAnsi="宋体"/>
                <w:color w:val="auto"/>
                <w:szCs w:val="21"/>
                <w:highlight w:val="none"/>
              </w:rPr>
            </w:pPr>
            <w:r>
              <w:rPr>
                <w:rFonts w:hint="eastAsia" w:ascii="宋体" w:hAnsi="宋体"/>
                <w:color w:val="auto"/>
                <w:szCs w:val="21"/>
                <w:highlight w:val="none"/>
              </w:rPr>
              <w:t>注册地点</w:t>
            </w:r>
          </w:p>
        </w:tc>
        <w:tc>
          <w:tcPr>
            <w:tcW w:w="1090" w:type="dxa"/>
            <w:tcBorders>
              <w:top w:val="single" w:color="auto" w:sz="4" w:space="0"/>
              <w:left w:val="single" w:color="auto" w:sz="4" w:space="0"/>
              <w:bottom w:val="single" w:color="auto" w:sz="4" w:space="0"/>
              <w:right w:val="single" w:color="auto" w:sz="4" w:space="0"/>
            </w:tcBorders>
            <w:noWrap w:val="0"/>
            <w:vAlign w:val="center"/>
          </w:tcPr>
          <w:p w14:paraId="0BBC0E65">
            <w:pPr>
              <w:jc w:val="center"/>
              <w:rPr>
                <w:rFonts w:ascii="宋体" w:hAnsi="宋体"/>
                <w:color w:val="auto"/>
                <w:szCs w:val="21"/>
                <w:highlight w:val="none"/>
              </w:rPr>
            </w:pPr>
            <w:r>
              <w:rPr>
                <w:rFonts w:hint="eastAsia" w:ascii="宋体" w:hAnsi="宋体"/>
                <w:color w:val="auto"/>
                <w:szCs w:val="21"/>
                <w:highlight w:val="none"/>
              </w:rPr>
              <w:t>企业资质</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30CA373C">
            <w:pPr>
              <w:jc w:val="center"/>
              <w:rPr>
                <w:rFonts w:ascii="宋体" w:hAnsi="宋体"/>
                <w:color w:val="auto"/>
                <w:szCs w:val="21"/>
                <w:highlight w:val="none"/>
              </w:rPr>
            </w:pPr>
            <w:r>
              <w:rPr>
                <w:rFonts w:hint="eastAsia" w:ascii="宋体" w:hAnsi="宋体"/>
                <w:color w:val="auto"/>
                <w:szCs w:val="21"/>
                <w:highlight w:val="none"/>
              </w:rPr>
              <w:t>有关业绩</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153ABB">
            <w:pPr>
              <w:widowControl/>
              <w:jc w:val="left"/>
              <w:rPr>
                <w:rFonts w:ascii="宋体" w:hAnsi="宋体"/>
                <w:color w:val="auto"/>
                <w:szCs w:val="21"/>
                <w:highlight w:val="none"/>
              </w:rPr>
            </w:pPr>
          </w:p>
        </w:tc>
      </w:tr>
      <w:tr w14:paraId="73A6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Borders>
              <w:top w:val="single" w:color="auto" w:sz="4" w:space="0"/>
              <w:left w:val="single" w:color="auto" w:sz="4" w:space="0"/>
              <w:bottom w:val="single" w:color="auto" w:sz="4" w:space="0"/>
              <w:right w:val="single" w:color="auto" w:sz="4" w:space="0"/>
            </w:tcBorders>
            <w:noWrap w:val="0"/>
            <w:vAlign w:val="center"/>
          </w:tcPr>
          <w:p w14:paraId="2C5A8956">
            <w:pPr>
              <w:jc w:val="center"/>
              <w:rPr>
                <w:rFonts w:ascii="宋体" w:hAnsi="宋体"/>
                <w:color w:val="auto"/>
                <w:szCs w:val="21"/>
                <w:highlight w:val="none"/>
              </w:rPr>
            </w:pPr>
          </w:p>
        </w:tc>
        <w:tc>
          <w:tcPr>
            <w:tcW w:w="1843" w:type="dxa"/>
            <w:vMerge w:val="restart"/>
            <w:tcBorders>
              <w:top w:val="single" w:color="auto" w:sz="4" w:space="0"/>
              <w:left w:val="single" w:color="auto" w:sz="4" w:space="0"/>
              <w:bottom w:val="single" w:color="auto" w:sz="4" w:space="0"/>
              <w:right w:val="single" w:color="auto" w:sz="4" w:space="0"/>
            </w:tcBorders>
            <w:noWrap w:val="0"/>
            <w:vAlign w:val="center"/>
          </w:tcPr>
          <w:p w14:paraId="225A3AA1">
            <w:pPr>
              <w:jc w:val="center"/>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59B491E4">
            <w:pPr>
              <w:jc w:val="center"/>
              <w:rPr>
                <w:rFonts w:ascii="黑体" w:hAnsi="宋体" w:eastAsia="黑体"/>
                <w:color w:val="auto"/>
                <w:szCs w:val="21"/>
                <w:highlight w:val="none"/>
              </w:rPr>
            </w:pPr>
            <w:r>
              <w:rPr>
                <w:rFonts w:hint="eastAsia" w:ascii="黑体" w:hAnsi="宋体" w:eastAsia="黑体"/>
                <w:color w:val="auto"/>
                <w:szCs w:val="21"/>
                <w:highlight w:val="none"/>
              </w:rPr>
              <w:t>1</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1BB4EA72">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4C67C3E3">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4A8450B5">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490A15F5">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79D3ECF3">
            <w:pPr>
              <w:jc w:val="center"/>
              <w:rPr>
                <w:rFonts w:ascii="宋体" w:hAnsi="宋体"/>
                <w:color w:val="auto"/>
                <w:szCs w:val="21"/>
                <w:highlight w:val="none"/>
              </w:rPr>
            </w:pPr>
          </w:p>
        </w:tc>
      </w:tr>
      <w:tr w14:paraId="4D44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9F1F99A">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5A66235">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0123A747">
            <w:pPr>
              <w:jc w:val="center"/>
              <w:rPr>
                <w:rFonts w:ascii="黑体" w:hAnsi="宋体" w:eastAsia="黑体"/>
                <w:color w:val="auto"/>
                <w:szCs w:val="21"/>
                <w:highlight w:val="none"/>
              </w:rPr>
            </w:pPr>
            <w:r>
              <w:rPr>
                <w:rFonts w:hint="eastAsia" w:ascii="黑体" w:hAnsi="宋体" w:eastAsia="黑体"/>
                <w:color w:val="auto"/>
                <w:szCs w:val="21"/>
                <w:highlight w:val="none"/>
              </w:rPr>
              <w:t>2</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2A82CC4C">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64C3D441">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66CB59C8">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11DE60D1">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72A13227">
            <w:pPr>
              <w:jc w:val="center"/>
              <w:rPr>
                <w:rFonts w:ascii="宋体" w:hAnsi="宋体"/>
                <w:color w:val="auto"/>
                <w:szCs w:val="21"/>
                <w:highlight w:val="none"/>
              </w:rPr>
            </w:pPr>
          </w:p>
        </w:tc>
      </w:tr>
      <w:tr w14:paraId="67BB7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7816EC3">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CF89F9">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587753A7">
            <w:pPr>
              <w:jc w:val="center"/>
              <w:rPr>
                <w:rFonts w:ascii="黑体" w:hAnsi="宋体" w:eastAsia="黑体"/>
                <w:color w:val="auto"/>
                <w:szCs w:val="21"/>
                <w:highlight w:val="none"/>
              </w:rPr>
            </w:pPr>
            <w:r>
              <w:rPr>
                <w:rFonts w:hint="eastAsia" w:ascii="黑体" w:hAnsi="宋体" w:eastAsia="黑体"/>
                <w:color w:val="auto"/>
                <w:szCs w:val="21"/>
                <w:highlight w:val="none"/>
              </w:rPr>
              <w:t>3</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6E566DA0">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3F764CB9">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085CB80E">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4EB3B192">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2420EB99">
            <w:pPr>
              <w:jc w:val="center"/>
              <w:rPr>
                <w:rFonts w:ascii="宋体" w:hAnsi="宋体"/>
                <w:color w:val="auto"/>
                <w:szCs w:val="21"/>
                <w:highlight w:val="none"/>
              </w:rPr>
            </w:pPr>
          </w:p>
        </w:tc>
      </w:tr>
      <w:tr w14:paraId="25F0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Borders>
              <w:top w:val="single" w:color="auto" w:sz="4" w:space="0"/>
              <w:left w:val="single" w:color="auto" w:sz="4" w:space="0"/>
              <w:bottom w:val="single" w:color="auto" w:sz="4" w:space="0"/>
              <w:right w:val="single" w:color="auto" w:sz="4" w:space="0"/>
            </w:tcBorders>
            <w:noWrap w:val="0"/>
            <w:vAlign w:val="center"/>
          </w:tcPr>
          <w:p w14:paraId="78E8DE30">
            <w:pPr>
              <w:jc w:val="center"/>
              <w:rPr>
                <w:rFonts w:ascii="宋体" w:hAnsi="宋体"/>
                <w:color w:val="auto"/>
                <w:szCs w:val="21"/>
                <w:highlight w:val="none"/>
              </w:rPr>
            </w:pPr>
          </w:p>
        </w:tc>
        <w:tc>
          <w:tcPr>
            <w:tcW w:w="1843" w:type="dxa"/>
            <w:vMerge w:val="restart"/>
            <w:tcBorders>
              <w:top w:val="single" w:color="auto" w:sz="4" w:space="0"/>
              <w:left w:val="single" w:color="auto" w:sz="4" w:space="0"/>
              <w:bottom w:val="single" w:color="auto" w:sz="4" w:space="0"/>
              <w:right w:val="single" w:color="auto" w:sz="4" w:space="0"/>
            </w:tcBorders>
            <w:noWrap w:val="0"/>
            <w:vAlign w:val="center"/>
          </w:tcPr>
          <w:p w14:paraId="54BAD1CC">
            <w:pPr>
              <w:jc w:val="center"/>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008841A4">
            <w:pPr>
              <w:jc w:val="center"/>
              <w:rPr>
                <w:rFonts w:ascii="黑体" w:hAnsi="宋体" w:eastAsia="黑体"/>
                <w:color w:val="auto"/>
                <w:szCs w:val="21"/>
                <w:highlight w:val="none"/>
              </w:rPr>
            </w:pPr>
            <w:r>
              <w:rPr>
                <w:rFonts w:hint="eastAsia" w:ascii="黑体" w:hAnsi="宋体" w:eastAsia="黑体"/>
                <w:color w:val="auto"/>
                <w:szCs w:val="21"/>
                <w:highlight w:val="none"/>
              </w:rPr>
              <w:t>1</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4D115DC7">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49096248">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49C76A0F">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63C55077">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0416B74D">
            <w:pPr>
              <w:jc w:val="center"/>
              <w:rPr>
                <w:rFonts w:ascii="宋体" w:hAnsi="宋体"/>
                <w:color w:val="auto"/>
                <w:szCs w:val="21"/>
                <w:highlight w:val="none"/>
              </w:rPr>
            </w:pPr>
          </w:p>
        </w:tc>
      </w:tr>
      <w:tr w14:paraId="79321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17250C6">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E261305">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50CE3420">
            <w:pPr>
              <w:jc w:val="center"/>
              <w:rPr>
                <w:rFonts w:ascii="黑体" w:hAnsi="宋体" w:eastAsia="黑体"/>
                <w:color w:val="auto"/>
                <w:szCs w:val="21"/>
                <w:highlight w:val="none"/>
              </w:rPr>
            </w:pPr>
            <w:r>
              <w:rPr>
                <w:rFonts w:hint="eastAsia" w:ascii="黑体" w:hAnsi="宋体" w:eastAsia="黑体"/>
                <w:color w:val="auto"/>
                <w:szCs w:val="21"/>
                <w:highlight w:val="none"/>
              </w:rPr>
              <w:t>2</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214594BF">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70F007CE">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51D60E7A">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301E55E8">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72FD40DF">
            <w:pPr>
              <w:jc w:val="center"/>
              <w:rPr>
                <w:rFonts w:ascii="宋体" w:hAnsi="宋体"/>
                <w:color w:val="auto"/>
                <w:szCs w:val="21"/>
                <w:highlight w:val="none"/>
              </w:rPr>
            </w:pPr>
          </w:p>
        </w:tc>
      </w:tr>
      <w:tr w14:paraId="761C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5B25BC8">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0D48DD4">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4FD1FD4A">
            <w:pPr>
              <w:jc w:val="center"/>
              <w:rPr>
                <w:rFonts w:ascii="黑体" w:hAnsi="宋体" w:eastAsia="黑体"/>
                <w:color w:val="auto"/>
                <w:szCs w:val="21"/>
                <w:highlight w:val="none"/>
              </w:rPr>
            </w:pPr>
            <w:r>
              <w:rPr>
                <w:rFonts w:hint="eastAsia" w:ascii="黑体" w:hAnsi="宋体" w:eastAsia="黑体"/>
                <w:color w:val="auto"/>
                <w:szCs w:val="21"/>
                <w:highlight w:val="none"/>
              </w:rPr>
              <w:t>3</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6957D3A2">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0DEC1477">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18096B38">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2F3BDA37">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14042565">
            <w:pPr>
              <w:jc w:val="center"/>
              <w:rPr>
                <w:rFonts w:ascii="宋体" w:hAnsi="宋体"/>
                <w:color w:val="auto"/>
                <w:szCs w:val="21"/>
                <w:highlight w:val="none"/>
              </w:rPr>
            </w:pPr>
          </w:p>
        </w:tc>
      </w:tr>
      <w:tr w14:paraId="69A9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Borders>
              <w:top w:val="single" w:color="auto" w:sz="4" w:space="0"/>
              <w:left w:val="single" w:color="auto" w:sz="4" w:space="0"/>
              <w:bottom w:val="single" w:color="auto" w:sz="4" w:space="0"/>
              <w:right w:val="single" w:color="auto" w:sz="4" w:space="0"/>
            </w:tcBorders>
            <w:noWrap w:val="0"/>
            <w:vAlign w:val="center"/>
          </w:tcPr>
          <w:p w14:paraId="1E040279">
            <w:pPr>
              <w:jc w:val="center"/>
              <w:rPr>
                <w:rFonts w:ascii="宋体" w:hAnsi="宋体"/>
                <w:color w:val="auto"/>
                <w:szCs w:val="21"/>
                <w:highlight w:val="none"/>
              </w:rPr>
            </w:pPr>
          </w:p>
        </w:tc>
        <w:tc>
          <w:tcPr>
            <w:tcW w:w="1843" w:type="dxa"/>
            <w:vMerge w:val="restart"/>
            <w:tcBorders>
              <w:top w:val="single" w:color="auto" w:sz="4" w:space="0"/>
              <w:left w:val="single" w:color="auto" w:sz="4" w:space="0"/>
              <w:bottom w:val="single" w:color="auto" w:sz="4" w:space="0"/>
              <w:right w:val="single" w:color="auto" w:sz="4" w:space="0"/>
            </w:tcBorders>
            <w:noWrap w:val="0"/>
            <w:vAlign w:val="center"/>
          </w:tcPr>
          <w:p w14:paraId="55626263">
            <w:pPr>
              <w:jc w:val="center"/>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157C11B0">
            <w:pPr>
              <w:jc w:val="center"/>
              <w:rPr>
                <w:rFonts w:ascii="黑体" w:hAnsi="宋体" w:eastAsia="黑体"/>
                <w:color w:val="auto"/>
                <w:szCs w:val="21"/>
                <w:highlight w:val="none"/>
              </w:rPr>
            </w:pPr>
            <w:r>
              <w:rPr>
                <w:rFonts w:hint="eastAsia" w:ascii="黑体" w:hAnsi="宋体" w:eastAsia="黑体"/>
                <w:color w:val="auto"/>
                <w:szCs w:val="21"/>
                <w:highlight w:val="none"/>
              </w:rPr>
              <w:t>1</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55212571">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1E77B710">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1333363B">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17E285D2">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1FDC0102">
            <w:pPr>
              <w:jc w:val="center"/>
              <w:rPr>
                <w:rFonts w:ascii="宋体" w:hAnsi="宋体"/>
                <w:color w:val="auto"/>
                <w:szCs w:val="21"/>
                <w:highlight w:val="none"/>
              </w:rPr>
            </w:pPr>
          </w:p>
        </w:tc>
      </w:tr>
      <w:tr w14:paraId="0744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D4D54D">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EF90A0B">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0BF89007">
            <w:pPr>
              <w:jc w:val="center"/>
              <w:rPr>
                <w:rFonts w:ascii="黑体" w:hAnsi="宋体" w:eastAsia="黑体"/>
                <w:color w:val="auto"/>
                <w:szCs w:val="21"/>
                <w:highlight w:val="none"/>
              </w:rPr>
            </w:pPr>
            <w:r>
              <w:rPr>
                <w:rFonts w:hint="eastAsia" w:ascii="黑体" w:hAnsi="宋体" w:eastAsia="黑体"/>
                <w:color w:val="auto"/>
                <w:szCs w:val="21"/>
                <w:highlight w:val="none"/>
              </w:rPr>
              <w:t>2</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63C748E7">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579A38B2">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6B984F4A">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271CDF1D">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2555F3B2">
            <w:pPr>
              <w:jc w:val="center"/>
              <w:rPr>
                <w:rFonts w:ascii="宋体" w:hAnsi="宋体"/>
                <w:color w:val="auto"/>
                <w:szCs w:val="21"/>
                <w:highlight w:val="none"/>
              </w:rPr>
            </w:pPr>
          </w:p>
        </w:tc>
      </w:tr>
      <w:tr w14:paraId="4CBB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27D1EF6">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752AF52">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0211C358">
            <w:pPr>
              <w:jc w:val="center"/>
              <w:rPr>
                <w:rFonts w:ascii="黑体" w:hAnsi="宋体" w:eastAsia="黑体"/>
                <w:color w:val="auto"/>
                <w:szCs w:val="21"/>
                <w:highlight w:val="none"/>
              </w:rPr>
            </w:pPr>
            <w:r>
              <w:rPr>
                <w:rFonts w:hint="eastAsia" w:ascii="黑体" w:hAnsi="宋体" w:eastAsia="黑体"/>
                <w:color w:val="auto"/>
                <w:szCs w:val="21"/>
                <w:highlight w:val="none"/>
              </w:rPr>
              <w:t>3</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5A7F8AA3">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69ED36A9">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5A76DD32">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0D8670C1">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43A42E45">
            <w:pPr>
              <w:jc w:val="center"/>
              <w:rPr>
                <w:rFonts w:ascii="宋体" w:hAnsi="宋体"/>
                <w:color w:val="auto"/>
                <w:szCs w:val="21"/>
                <w:highlight w:val="none"/>
              </w:rPr>
            </w:pPr>
          </w:p>
        </w:tc>
      </w:tr>
      <w:tr w14:paraId="25C53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Borders>
              <w:top w:val="single" w:color="auto" w:sz="4" w:space="0"/>
              <w:left w:val="single" w:color="auto" w:sz="4" w:space="0"/>
              <w:bottom w:val="single" w:color="auto" w:sz="4" w:space="0"/>
              <w:right w:val="single" w:color="auto" w:sz="4" w:space="0"/>
            </w:tcBorders>
            <w:noWrap w:val="0"/>
            <w:vAlign w:val="center"/>
          </w:tcPr>
          <w:p w14:paraId="43369DF7">
            <w:pPr>
              <w:jc w:val="center"/>
              <w:rPr>
                <w:rFonts w:ascii="宋体" w:hAnsi="宋体"/>
                <w:color w:val="auto"/>
                <w:szCs w:val="21"/>
                <w:highlight w:val="none"/>
              </w:rPr>
            </w:pPr>
          </w:p>
        </w:tc>
        <w:tc>
          <w:tcPr>
            <w:tcW w:w="1843" w:type="dxa"/>
            <w:vMerge w:val="restart"/>
            <w:tcBorders>
              <w:top w:val="single" w:color="auto" w:sz="4" w:space="0"/>
              <w:left w:val="single" w:color="auto" w:sz="4" w:space="0"/>
              <w:bottom w:val="single" w:color="auto" w:sz="4" w:space="0"/>
              <w:right w:val="single" w:color="auto" w:sz="4" w:space="0"/>
            </w:tcBorders>
            <w:noWrap w:val="0"/>
            <w:vAlign w:val="center"/>
          </w:tcPr>
          <w:p w14:paraId="77C4708C">
            <w:pPr>
              <w:jc w:val="center"/>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7BDA94DD">
            <w:pPr>
              <w:jc w:val="center"/>
              <w:rPr>
                <w:rFonts w:ascii="黑体" w:hAnsi="宋体" w:eastAsia="黑体"/>
                <w:color w:val="auto"/>
                <w:szCs w:val="21"/>
                <w:highlight w:val="none"/>
              </w:rPr>
            </w:pPr>
            <w:r>
              <w:rPr>
                <w:rFonts w:hint="eastAsia" w:ascii="黑体" w:hAnsi="宋体" w:eastAsia="黑体"/>
                <w:color w:val="auto"/>
                <w:szCs w:val="21"/>
                <w:highlight w:val="none"/>
              </w:rPr>
              <w:t>1</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6FB6D79F">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7E815E32">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0D3B4D20">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69F24DA4">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0395B057">
            <w:pPr>
              <w:jc w:val="center"/>
              <w:rPr>
                <w:rFonts w:ascii="宋体" w:hAnsi="宋体"/>
                <w:color w:val="auto"/>
                <w:szCs w:val="21"/>
                <w:highlight w:val="none"/>
              </w:rPr>
            </w:pPr>
          </w:p>
        </w:tc>
      </w:tr>
      <w:tr w14:paraId="45B2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EAE6819">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39A814D">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31A18191">
            <w:pPr>
              <w:jc w:val="center"/>
              <w:rPr>
                <w:rFonts w:ascii="黑体" w:hAnsi="宋体" w:eastAsia="黑体"/>
                <w:color w:val="auto"/>
                <w:szCs w:val="21"/>
                <w:highlight w:val="none"/>
              </w:rPr>
            </w:pPr>
            <w:r>
              <w:rPr>
                <w:rFonts w:hint="eastAsia" w:ascii="黑体" w:hAnsi="宋体" w:eastAsia="黑体"/>
                <w:color w:val="auto"/>
                <w:szCs w:val="21"/>
                <w:highlight w:val="none"/>
              </w:rPr>
              <w:t>2</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25084283">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61E79DD5">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41127B55">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2901417A">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6E262687">
            <w:pPr>
              <w:jc w:val="center"/>
              <w:rPr>
                <w:rFonts w:ascii="宋体" w:hAnsi="宋体"/>
                <w:color w:val="auto"/>
                <w:szCs w:val="21"/>
                <w:highlight w:val="none"/>
              </w:rPr>
            </w:pPr>
          </w:p>
        </w:tc>
      </w:tr>
      <w:tr w14:paraId="529D0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1F49DFB">
            <w:pPr>
              <w:widowControl/>
              <w:jc w:val="left"/>
              <w:rPr>
                <w:rFonts w:ascii="宋体" w:hAnsi="宋体"/>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AB36E5C">
            <w:pPr>
              <w:widowControl/>
              <w:jc w:val="left"/>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5361FF5F">
            <w:pPr>
              <w:jc w:val="center"/>
              <w:rPr>
                <w:rFonts w:ascii="黑体" w:hAnsi="宋体" w:eastAsia="黑体"/>
                <w:color w:val="auto"/>
                <w:szCs w:val="21"/>
                <w:highlight w:val="none"/>
              </w:rPr>
            </w:pPr>
            <w:r>
              <w:rPr>
                <w:rFonts w:hint="eastAsia" w:ascii="黑体" w:hAnsi="宋体" w:eastAsia="黑体"/>
                <w:color w:val="auto"/>
                <w:szCs w:val="21"/>
                <w:highlight w:val="none"/>
              </w:rPr>
              <w:t>3</w:t>
            </w:r>
          </w:p>
        </w:tc>
        <w:tc>
          <w:tcPr>
            <w:tcW w:w="950" w:type="dxa"/>
            <w:tcBorders>
              <w:top w:val="single" w:color="auto" w:sz="4" w:space="0"/>
              <w:left w:val="single" w:color="auto" w:sz="4" w:space="0"/>
              <w:bottom w:val="single" w:color="auto" w:sz="4" w:space="0"/>
              <w:right w:val="single" w:color="auto" w:sz="4" w:space="0"/>
            </w:tcBorders>
            <w:noWrap w:val="0"/>
            <w:vAlign w:val="center"/>
          </w:tcPr>
          <w:p w14:paraId="1F281A2B">
            <w:pPr>
              <w:jc w:val="center"/>
              <w:rPr>
                <w:rFonts w:ascii="宋体" w:hAnsi="宋体"/>
                <w:color w:val="auto"/>
                <w:szCs w:val="21"/>
                <w:highlight w:val="none"/>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14:paraId="411E1E26">
            <w:pPr>
              <w:jc w:val="center"/>
              <w:rPr>
                <w:rFonts w:ascii="宋体" w:hAnsi="宋体"/>
                <w:color w:val="auto"/>
                <w:szCs w:val="21"/>
                <w:highlight w:val="none"/>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14:paraId="31A36C47">
            <w:pPr>
              <w:jc w:val="center"/>
              <w:rPr>
                <w:rFonts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noWrap w:val="0"/>
            <w:vAlign w:val="center"/>
          </w:tcPr>
          <w:p w14:paraId="3866F6DC">
            <w:pPr>
              <w:jc w:val="center"/>
              <w:rPr>
                <w:rFonts w:ascii="宋体" w:hAnsi="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5991D34A">
            <w:pPr>
              <w:jc w:val="center"/>
              <w:rPr>
                <w:rFonts w:ascii="宋体" w:hAnsi="宋体"/>
                <w:color w:val="auto"/>
                <w:szCs w:val="21"/>
                <w:highlight w:val="none"/>
              </w:rPr>
            </w:pPr>
          </w:p>
        </w:tc>
      </w:tr>
    </w:tbl>
    <w:p w14:paraId="4999FE20">
      <w:pPr>
        <w:spacing w:line="440" w:lineRule="exact"/>
        <w:ind w:right="420"/>
        <w:rPr>
          <w:rFonts w:hint="eastAsia" w:ascii="黑体" w:hAnsi="宋体" w:eastAsia="黑体"/>
          <w:color w:val="auto"/>
          <w:szCs w:val="21"/>
          <w:highlight w:val="none"/>
        </w:rPr>
      </w:pPr>
    </w:p>
    <w:p w14:paraId="7343DD27">
      <w:pPr>
        <w:spacing w:line="440" w:lineRule="exact"/>
        <w:ind w:right="420"/>
        <w:rPr>
          <w:rFonts w:hint="eastAsia" w:ascii="宋体" w:hAnsi="宋体"/>
          <w:color w:val="auto"/>
          <w:szCs w:val="21"/>
          <w:highlight w:val="none"/>
        </w:rPr>
      </w:pPr>
    </w:p>
    <w:p w14:paraId="738C19CC">
      <w:pPr>
        <w:wordWrap w:val="0"/>
        <w:spacing w:line="440" w:lineRule="exact"/>
        <w:ind w:right="420"/>
        <w:jc w:val="right"/>
        <w:rPr>
          <w:rFonts w:hint="eastAsia" w:ascii="宋体" w:hAnsi="宋体"/>
          <w:color w:val="auto"/>
          <w:szCs w:val="21"/>
          <w:highlight w:val="none"/>
        </w:rPr>
      </w:pPr>
      <w:r>
        <w:rPr>
          <w:rFonts w:hint="eastAsia" w:ascii="宋体" w:hAnsi="宋体"/>
          <w:color w:val="auto"/>
          <w:szCs w:val="21"/>
          <w:highlight w:val="none"/>
        </w:rPr>
        <w:t xml:space="preserve">日 期：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2D46F3B6">
      <w:pPr>
        <w:spacing w:line="440" w:lineRule="exact"/>
        <w:ind w:right="420"/>
        <w:jc w:val="right"/>
        <w:rPr>
          <w:rFonts w:hint="eastAsia" w:ascii="宋体" w:hAnsi="宋体"/>
          <w:color w:val="auto"/>
          <w:szCs w:val="21"/>
          <w:highlight w:val="none"/>
        </w:rPr>
      </w:pPr>
    </w:p>
    <w:p w14:paraId="132CDD2D">
      <w:pPr>
        <w:spacing w:line="440" w:lineRule="exact"/>
        <w:ind w:left="630" w:right="420" w:hanging="630" w:hangingChars="300"/>
        <w:rPr>
          <w:rFonts w:hint="eastAsia" w:ascii="宋体" w:hAnsi="宋体"/>
          <w:color w:val="auto"/>
          <w:szCs w:val="21"/>
          <w:highlight w:val="none"/>
        </w:rPr>
      </w:pPr>
      <w:r>
        <w:rPr>
          <w:rFonts w:hint="eastAsia" w:ascii="宋体" w:hAnsi="宋体"/>
          <w:color w:val="auto"/>
          <w:szCs w:val="21"/>
          <w:highlight w:val="none"/>
        </w:rPr>
        <w:t>备注：1.本表适用于非政府采购工程。</w:t>
      </w:r>
    </w:p>
    <w:p w14:paraId="4E505F75">
      <w:pPr>
        <w:spacing w:line="440" w:lineRule="exact"/>
        <w:ind w:left="630" w:leftChars="300" w:right="420"/>
        <w:rPr>
          <w:rFonts w:hint="eastAsia" w:ascii="Times New Roman" w:hAnsi="Times New Roman"/>
          <w:color w:val="auto"/>
          <w:szCs w:val="24"/>
          <w:highlight w:val="none"/>
        </w:rPr>
      </w:pPr>
      <w:r>
        <w:rPr>
          <w:rFonts w:hint="eastAsia" w:ascii="宋体" w:hAnsi="宋体"/>
          <w:color w:val="auto"/>
          <w:szCs w:val="21"/>
          <w:highlight w:val="none"/>
        </w:rPr>
        <w:t>2.本表所列分包仅限于承包人自行施工范围内的非主体、非关键工程。</w:t>
      </w:r>
    </w:p>
    <w:p w14:paraId="1046532C">
      <w:pPr>
        <w:spacing w:line="440" w:lineRule="exact"/>
        <w:ind w:right="420"/>
        <w:jc w:val="left"/>
        <w:rPr>
          <w:rFonts w:ascii="宋体" w:hAnsi="宋体"/>
          <w:color w:val="auto"/>
          <w:szCs w:val="21"/>
          <w:highlight w:val="none"/>
        </w:rPr>
      </w:pPr>
    </w:p>
    <w:p w14:paraId="775D1D17">
      <w:pPr>
        <w:spacing w:line="440" w:lineRule="exact"/>
        <w:ind w:right="420"/>
        <w:jc w:val="right"/>
        <w:rPr>
          <w:rFonts w:hint="eastAsia" w:ascii="宋体" w:hAnsi="宋体"/>
          <w:color w:val="auto"/>
          <w:szCs w:val="21"/>
          <w:highlight w:val="none"/>
        </w:rPr>
      </w:pPr>
    </w:p>
    <w:p w14:paraId="5B009CDE">
      <w:pPr>
        <w:spacing w:line="440" w:lineRule="exact"/>
        <w:rPr>
          <w:rFonts w:hint="eastAsia" w:ascii="宋体" w:hAnsi="宋体"/>
          <w:color w:val="auto"/>
          <w:szCs w:val="21"/>
          <w:highlight w:val="none"/>
        </w:rPr>
      </w:pPr>
    </w:p>
    <w:p w14:paraId="5A43D758">
      <w:pPr>
        <w:spacing w:line="440" w:lineRule="exact"/>
        <w:rPr>
          <w:rFonts w:hint="eastAsia" w:ascii="宋体" w:hAnsi="宋体"/>
          <w:color w:val="auto"/>
          <w:szCs w:val="21"/>
          <w:highlight w:val="none"/>
        </w:rPr>
      </w:pPr>
    </w:p>
    <w:p w14:paraId="06218721">
      <w:pPr>
        <w:spacing w:line="440" w:lineRule="exact"/>
        <w:rPr>
          <w:rFonts w:hint="eastAsia" w:ascii="宋体" w:hAnsi="宋体"/>
          <w:color w:val="auto"/>
          <w:szCs w:val="21"/>
          <w:highlight w:val="none"/>
        </w:rPr>
      </w:pPr>
    </w:p>
    <w:p w14:paraId="187E528F">
      <w:pPr>
        <w:spacing w:line="440" w:lineRule="exact"/>
        <w:jc w:val="center"/>
        <w:rPr>
          <w:rFonts w:hint="eastAsia" w:ascii="宋体" w:hAnsi="宋体"/>
          <w:color w:val="auto"/>
          <w:szCs w:val="21"/>
          <w:highlight w:val="none"/>
        </w:rPr>
      </w:pPr>
      <w:r>
        <w:rPr>
          <w:rFonts w:ascii="宋体" w:hAnsi="宋体"/>
          <w:color w:val="auto"/>
          <w:szCs w:val="21"/>
          <w:highlight w:val="none"/>
        </w:rPr>
        <w:br w:type="page"/>
      </w:r>
    </w:p>
    <w:p w14:paraId="21AF67CD">
      <w:pPr>
        <w:pStyle w:val="31"/>
        <w:jc w:val="center"/>
        <w:rPr>
          <w:rFonts w:hint="eastAsia"/>
          <w:color w:val="auto"/>
          <w:highlight w:val="none"/>
        </w:rPr>
      </w:pPr>
      <w:bookmarkStart w:id="2453" w:name="_Toc27207"/>
      <w:bookmarkStart w:id="2454" w:name="_Toc108515029"/>
      <w:r>
        <w:rPr>
          <w:rFonts w:hint="eastAsia"/>
          <w:color w:val="auto"/>
          <w:highlight w:val="none"/>
        </w:rPr>
        <w:t>五、分包意向协议书</w:t>
      </w:r>
      <w:bookmarkEnd w:id="2453"/>
      <w:bookmarkEnd w:id="2454"/>
    </w:p>
    <w:p w14:paraId="134E9231">
      <w:pPr>
        <w:pStyle w:val="14"/>
        <w:adjustRightInd w:val="0"/>
        <w:snapToGrid w:val="0"/>
        <w:spacing w:before="0" w:beforeAutospacing="0" w:after="0" w:afterAutospacing="0" w:line="360" w:lineRule="auto"/>
        <w:ind w:firstLine="480"/>
        <w:rPr>
          <w:rFonts w:cs="Tahoma"/>
          <w:color w:val="auto"/>
          <w:highlight w:val="none"/>
        </w:rPr>
      </w:pPr>
    </w:p>
    <w:p w14:paraId="47357BD3">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甲方：</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w:t>
      </w:r>
    </w:p>
    <w:p w14:paraId="38A9F2E9">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u w:val="single"/>
        </w:rPr>
        <w:t xml:space="preserve">              </w:t>
      </w:r>
      <w:r>
        <w:rPr>
          <w:rFonts w:hint="eastAsia" w:ascii="宋体" w:hAnsi="宋体"/>
          <w:color w:val="auto"/>
          <w:szCs w:val="21"/>
          <w:highlight w:val="none"/>
        </w:rPr>
        <w:t>（接受分包合同企业名称）</w:t>
      </w:r>
    </w:p>
    <w:p w14:paraId="09FCEB9D">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u w:val="single"/>
        </w:rPr>
        <w:t xml:space="preserve">              </w:t>
      </w:r>
      <w:r>
        <w:rPr>
          <w:rFonts w:hint="eastAsia" w:ascii="宋体" w:hAnsi="宋体"/>
          <w:color w:val="auto"/>
          <w:szCs w:val="21"/>
          <w:highlight w:val="none"/>
        </w:rPr>
        <w:t>（接受分包合同企业名称）</w:t>
      </w:r>
    </w:p>
    <w:p w14:paraId="2BDD5F3B">
      <w:pPr>
        <w:spacing w:line="394" w:lineRule="exact"/>
        <w:ind w:firstLine="420" w:firstLineChars="200"/>
        <w:rPr>
          <w:rFonts w:hint="eastAsia" w:ascii="宋体" w:hAnsi="宋体"/>
          <w:color w:val="auto"/>
          <w:szCs w:val="21"/>
          <w:highlight w:val="none"/>
        </w:rPr>
      </w:pPr>
      <w:r>
        <w:rPr>
          <w:rFonts w:ascii="Arial" w:hAnsi="Arial" w:cs="Arial"/>
          <w:color w:val="auto"/>
          <w:szCs w:val="21"/>
          <w:highlight w:val="none"/>
        </w:rPr>
        <w:t>…</w:t>
      </w:r>
    </w:p>
    <w:p w14:paraId="070854C3">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鉴于甲方参加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（招标人名称）（以下简称招标人或发包人） </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以下简称本工程）的施工投标并争取赢得本工程施工承包合同（以下简称合同）。在遵守《建筑法》《招标投标法》及其相关的法律法规规章的前提下，经甲乙双方友好协商订立如下分包意向协议：</w:t>
      </w:r>
    </w:p>
    <w:p w14:paraId="09751ACA">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1．在本工程的投标阶段，甲方负责本工程投标文件编制活动，并处理与投标和中标有关的一切事务。中标后，甲方负责合同订立和合同实施、组织和协调工作。</w:t>
      </w:r>
    </w:p>
    <w:p w14:paraId="5D1C530D">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42075365">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3. 甲方承诺中标后，就本协议约定的分包工作以分包合同的形式交由乙方承担；乙方承诺按照分包合同的约定履行责任和义务并对甲方负责。甲方和乙方就分包工作对招标人（发包人）承担连带责任。</w:t>
      </w:r>
    </w:p>
    <w:p w14:paraId="155B7B56">
      <w:pPr>
        <w:spacing w:line="394" w:lineRule="exact"/>
        <w:ind w:firstLine="420" w:firstLineChars="200"/>
        <w:rPr>
          <w:rFonts w:hint="eastAsia" w:ascii="Times New Roman" w:hAnsi="Times New Roman" w:cs="Tahoma"/>
          <w:color w:val="auto"/>
          <w:szCs w:val="24"/>
          <w:highlight w:val="none"/>
        </w:rPr>
      </w:pPr>
      <w:r>
        <w:rPr>
          <w:rFonts w:hint="eastAsia" w:ascii="宋体" w:hAnsi="宋体"/>
          <w:color w:val="auto"/>
          <w:szCs w:val="21"/>
          <w:highlight w:val="none"/>
        </w:rPr>
        <w:t>4. 甲方拟分包给乙方的工作、</w:t>
      </w:r>
      <w:r>
        <w:rPr>
          <w:rFonts w:hint="eastAsia" w:cs="Tahoma"/>
          <w:color w:val="auto"/>
          <w:highlight w:val="none"/>
        </w:rPr>
        <w:t>分包合同金额、分包合同金额占比如下：</w:t>
      </w:r>
    </w:p>
    <w:p w14:paraId="775BFBD0">
      <w:pPr>
        <w:spacing w:line="394" w:lineRule="exact"/>
        <w:ind w:firstLine="420" w:firstLineChars="200"/>
        <w:rPr>
          <w:rFonts w:cs="Tahoma"/>
          <w:color w:val="auto"/>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0D1A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3FE61CD0">
            <w:pPr>
              <w:jc w:val="center"/>
              <w:rPr>
                <w:rFonts w:ascii="宋体" w:hAnsi="宋体"/>
                <w:color w:val="auto"/>
                <w:szCs w:val="21"/>
                <w:highlight w:val="none"/>
              </w:rPr>
            </w:pPr>
            <w:r>
              <w:rPr>
                <w:rFonts w:hint="eastAsia" w:ascii="宋体" w:hAnsi="宋体"/>
                <w:color w:val="auto"/>
                <w:szCs w:val="21"/>
                <w:highlight w:val="none"/>
              </w:rPr>
              <w:t>序号</w:t>
            </w:r>
          </w:p>
        </w:tc>
        <w:tc>
          <w:tcPr>
            <w:tcW w:w="1597" w:type="dxa"/>
            <w:tcBorders>
              <w:top w:val="single" w:color="auto" w:sz="4" w:space="0"/>
              <w:left w:val="single" w:color="auto" w:sz="4" w:space="0"/>
              <w:bottom w:val="single" w:color="auto" w:sz="4" w:space="0"/>
              <w:right w:val="single" w:color="auto" w:sz="4" w:space="0"/>
            </w:tcBorders>
            <w:noWrap w:val="0"/>
            <w:vAlign w:val="center"/>
          </w:tcPr>
          <w:p w14:paraId="6FC64621">
            <w:pPr>
              <w:jc w:val="center"/>
              <w:rPr>
                <w:rFonts w:ascii="宋体" w:hAnsi="宋体"/>
                <w:color w:val="auto"/>
                <w:szCs w:val="21"/>
                <w:highlight w:val="none"/>
              </w:rPr>
            </w:pPr>
            <w:r>
              <w:rPr>
                <w:rFonts w:hint="eastAsia" w:ascii="宋体" w:hAnsi="宋体"/>
                <w:color w:val="auto"/>
                <w:szCs w:val="21"/>
                <w:highlight w:val="none"/>
              </w:rPr>
              <w:t>接受分包合同企业名称</w:t>
            </w:r>
          </w:p>
        </w:tc>
        <w:tc>
          <w:tcPr>
            <w:tcW w:w="1722" w:type="dxa"/>
            <w:tcBorders>
              <w:top w:val="single" w:color="auto" w:sz="4" w:space="0"/>
              <w:left w:val="single" w:color="auto" w:sz="4" w:space="0"/>
              <w:bottom w:val="single" w:color="auto" w:sz="4" w:space="0"/>
              <w:right w:val="single" w:color="auto" w:sz="4" w:space="0"/>
            </w:tcBorders>
            <w:noWrap w:val="0"/>
            <w:vAlign w:val="center"/>
          </w:tcPr>
          <w:p w14:paraId="47C211E3">
            <w:pPr>
              <w:jc w:val="center"/>
              <w:rPr>
                <w:rFonts w:ascii="宋体" w:hAnsi="宋体"/>
                <w:color w:val="auto"/>
                <w:szCs w:val="21"/>
                <w:highlight w:val="none"/>
              </w:rPr>
            </w:pPr>
            <w:r>
              <w:rPr>
                <w:rFonts w:hint="eastAsia" w:ascii="宋体" w:hAnsi="宋体"/>
                <w:color w:val="auto"/>
                <w:szCs w:val="21"/>
                <w:highlight w:val="none"/>
              </w:rPr>
              <w:t>分包合同</w:t>
            </w:r>
          </w:p>
          <w:p w14:paraId="76E9CBF0">
            <w:pPr>
              <w:jc w:val="center"/>
              <w:rPr>
                <w:rFonts w:ascii="宋体" w:hAnsi="宋体"/>
                <w:color w:val="auto"/>
                <w:szCs w:val="21"/>
                <w:highlight w:val="none"/>
              </w:rPr>
            </w:pPr>
            <w:r>
              <w:rPr>
                <w:rFonts w:hint="eastAsia" w:ascii="宋体" w:hAnsi="宋体"/>
                <w:color w:val="auto"/>
                <w:szCs w:val="21"/>
                <w:highlight w:val="none"/>
              </w:rPr>
              <w:t>工作内容名称</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1E629CD4">
            <w:pPr>
              <w:jc w:val="center"/>
              <w:rPr>
                <w:rFonts w:ascii="宋体" w:hAnsi="宋体"/>
                <w:color w:val="auto"/>
                <w:szCs w:val="21"/>
                <w:highlight w:val="none"/>
              </w:rPr>
            </w:pPr>
            <w:r>
              <w:rPr>
                <w:rFonts w:hint="eastAsia" w:ascii="宋体" w:hAnsi="宋体"/>
                <w:color w:val="auto"/>
                <w:szCs w:val="21"/>
                <w:highlight w:val="none"/>
              </w:rPr>
              <w:t>分包合同</w:t>
            </w:r>
          </w:p>
          <w:p w14:paraId="22E3A97B">
            <w:pPr>
              <w:jc w:val="center"/>
              <w:rPr>
                <w:rFonts w:hint="eastAsia" w:ascii="宋体" w:hAnsi="宋体"/>
                <w:color w:val="auto"/>
                <w:szCs w:val="21"/>
                <w:highlight w:val="none"/>
              </w:rPr>
            </w:pPr>
            <w:r>
              <w:rPr>
                <w:rFonts w:hint="eastAsia" w:ascii="宋体" w:hAnsi="宋体"/>
                <w:color w:val="auto"/>
                <w:szCs w:val="21"/>
                <w:highlight w:val="none"/>
              </w:rPr>
              <w:t>金额</w:t>
            </w:r>
          </w:p>
          <w:p w14:paraId="3E682FDE">
            <w:pPr>
              <w:jc w:val="center"/>
              <w:rPr>
                <w:rFonts w:ascii="宋体" w:hAnsi="宋体"/>
                <w:color w:val="auto"/>
                <w:szCs w:val="21"/>
                <w:highlight w:val="none"/>
              </w:rPr>
            </w:pPr>
            <w:r>
              <w:rPr>
                <w:rFonts w:hint="eastAsia" w:ascii="宋体" w:hAnsi="宋体"/>
                <w:color w:val="auto"/>
                <w:szCs w:val="21"/>
                <w:highlight w:val="none"/>
              </w:rPr>
              <w:t>（万元）</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4B72FA49">
            <w:pPr>
              <w:jc w:val="center"/>
              <w:rPr>
                <w:rFonts w:ascii="宋体" w:hAnsi="宋体"/>
                <w:color w:val="auto"/>
                <w:szCs w:val="21"/>
                <w:highlight w:val="none"/>
              </w:rPr>
            </w:pPr>
            <w:r>
              <w:rPr>
                <w:rFonts w:hint="eastAsia" w:ascii="宋体" w:hAnsi="宋体"/>
                <w:color w:val="auto"/>
                <w:szCs w:val="21"/>
                <w:highlight w:val="none"/>
              </w:rPr>
              <w:t>分包合同金额占比</w:t>
            </w:r>
          </w:p>
          <w:p w14:paraId="144731A0">
            <w:pPr>
              <w:jc w:val="center"/>
              <w:rPr>
                <w:rFonts w:ascii="宋体" w:hAnsi="宋体"/>
                <w:color w:val="auto"/>
                <w:szCs w:val="21"/>
                <w:highlight w:val="none"/>
              </w:rPr>
            </w:pPr>
            <w:r>
              <w:rPr>
                <w:rFonts w:hint="eastAsia" w:ascii="宋体" w:hAnsi="宋体"/>
                <w:color w:val="auto"/>
                <w:szCs w:val="21"/>
                <w:highlight w:val="none"/>
              </w:rPr>
              <w:t>（%）</w:t>
            </w:r>
          </w:p>
        </w:tc>
        <w:tc>
          <w:tcPr>
            <w:tcW w:w="1428" w:type="dxa"/>
            <w:tcBorders>
              <w:top w:val="single" w:color="auto" w:sz="4" w:space="0"/>
              <w:left w:val="single" w:color="auto" w:sz="4" w:space="0"/>
              <w:bottom w:val="single" w:color="auto" w:sz="4" w:space="0"/>
              <w:right w:val="single" w:color="auto" w:sz="4" w:space="0"/>
            </w:tcBorders>
            <w:noWrap w:val="0"/>
            <w:vAlign w:val="center"/>
          </w:tcPr>
          <w:p w14:paraId="6B464A7F">
            <w:pPr>
              <w:jc w:val="center"/>
              <w:rPr>
                <w:rFonts w:ascii="宋体" w:hAnsi="宋体"/>
                <w:color w:val="auto"/>
                <w:szCs w:val="21"/>
                <w:highlight w:val="none"/>
              </w:rPr>
            </w:pPr>
            <w:r>
              <w:rPr>
                <w:rFonts w:hint="eastAsia" w:ascii="宋体" w:hAnsi="宋体"/>
                <w:color w:val="auto"/>
                <w:szCs w:val="21"/>
                <w:highlight w:val="none"/>
              </w:rPr>
              <w:t>满足分包工作的企业资质（如需）</w:t>
            </w:r>
          </w:p>
        </w:tc>
        <w:tc>
          <w:tcPr>
            <w:tcW w:w="1407" w:type="dxa"/>
            <w:tcBorders>
              <w:top w:val="single" w:color="auto" w:sz="4" w:space="0"/>
              <w:left w:val="single" w:color="auto" w:sz="4" w:space="0"/>
              <w:bottom w:val="single" w:color="auto" w:sz="4" w:space="0"/>
              <w:right w:val="single" w:color="auto" w:sz="4" w:space="0"/>
            </w:tcBorders>
            <w:noWrap w:val="0"/>
            <w:vAlign w:val="center"/>
          </w:tcPr>
          <w:p w14:paraId="5058DE52">
            <w:pPr>
              <w:jc w:val="center"/>
              <w:rPr>
                <w:rFonts w:ascii="宋体" w:hAnsi="宋体"/>
                <w:color w:val="auto"/>
                <w:szCs w:val="21"/>
                <w:highlight w:val="none"/>
              </w:rPr>
            </w:pPr>
            <w:r>
              <w:rPr>
                <w:rFonts w:hint="eastAsia" w:ascii="宋体" w:hAnsi="宋体"/>
                <w:color w:val="auto"/>
                <w:szCs w:val="21"/>
                <w:highlight w:val="none"/>
              </w:rPr>
              <w:t>备注</w:t>
            </w:r>
          </w:p>
        </w:tc>
      </w:tr>
      <w:tr w14:paraId="571D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2C6F8E19">
            <w:pPr>
              <w:jc w:val="center"/>
              <w:rPr>
                <w:rFonts w:ascii="宋体" w:hAnsi="宋体"/>
                <w:color w:val="auto"/>
                <w:szCs w:val="21"/>
                <w:highlight w:val="none"/>
              </w:rPr>
            </w:pPr>
          </w:p>
        </w:tc>
        <w:tc>
          <w:tcPr>
            <w:tcW w:w="1597" w:type="dxa"/>
            <w:tcBorders>
              <w:top w:val="single" w:color="auto" w:sz="4" w:space="0"/>
              <w:left w:val="single" w:color="auto" w:sz="4" w:space="0"/>
              <w:bottom w:val="single" w:color="auto" w:sz="4" w:space="0"/>
              <w:right w:val="single" w:color="auto" w:sz="4" w:space="0"/>
            </w:tcBorders>
            <w:noWrap w:val="0"/>
            <w:vAlign w:val="center"/>
          </w:tcPr>
          <w:p w14:paraId="310D0615">
            <w:pPr>
              <w:jc w:val="center"/>
              <w:rPr>
                <w:rFonts w:ascii="宋体" w:hAnsi="宋体"/>
                <w:color w:val="auto"/>
                <w:szCs w:val="21"/>
                <w:highlight w:val="none"/>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2EFA041E">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07B802FC">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4921D162">
            <w:pPr>
              <w:jc w:val="center"/>
              <w:rPr>
                <w:rFonts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798E3B7B">
            <w:pPr>
              <w:jc w:val="center"/>
              <w:rPr>
                <w:rFonts w:ascii="宋体" w:hAnsi="宋体"/>
                <w:color w:val="auto"/>
                <w:szCs w:val="21"/>
                <w:highlight w:val="none"/>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425C4368">
            <w:pPr>
              <w:jc w:val="center"/>
              <w:rPr>
                <w:rFonts w:ascii="宋体" w:hAnsi="宋体"/>
                <w:color w:val="auto"/>
                <w:szCs w:val="21"/>
                <w:highlight w:val="none"/>
              </w:rPr>
            </w:pPr>
          </w:p>
        </w:tc>
      </w:tr>
      <w:tr w14:paraId="37820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447FDF49">
            <w:pPr>
              <w:jc w:val="center"/>
              <w:rPr>
                <w:rFonts w:ascii="宋体" w:hAnsi="宋体"/>
                <w:color w:val="auto"/>
                <w:szCs w:val="21"/>
                <w:highlight w:val="none"/>
              </w:rPr>
            </w:pPr>
          </w:p>
        </w:tc>
        <w:tc>
          <w:tcPr>
            <w:tcW w:w="1597" w:type="dxa"/>
            <w:tcBorders>
              <w:top w:val="single" w:color="auto" w:sz="4" w:space="0"/>
              <w:left w:val="single" w:color="auto" w:sz="4" w:space="0"/>
              <w:bottom w:val="single" w:color="auto" w:sz="4" w:space="0"/>
              <w:right w:val="single" w:color="auto" w:sz="4" w:space="0"/>
            </w:tcBorders>
            <w:noWrap w:val="0"/>
            <w:vAlign w:val="center"/>
          </w:tcPr>
          <w:p w14:paraId="62B1A1C4">
            <w:pPr>
              <w:jc w:val="center"/>
              <w:rPr>
                <w:rFonts w:ascii="宋体" w:hAnsi="宋体"/>
                <w:color w:val="auto"/>
                <w:szCs w:val="21"/>
                <w:highlight w:val="none"/>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5BCDB39C">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3034DB98">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61148D03">
            <w:pPr>
              <w:jc w:val="center"/>
              <w:rPr>
                <w:rFonts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5EBBE548">
            <w:pPr>
              <w:jc w:val="center"/>
              <w:rPr>
                <w:rFonts w:ascii="宋体" w:hAnsi="宋体"/>
                <w:color w:val="auto"/>
                <w:szCs w:val="21"/>
                <w:highlight w:val="none"/>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1857C2BB">
            <w:pPr>
              <w:jc w:val="center"/>
              <w:rPr>
                <w:rFonts w:ascii="宋体" w:hAnsi="宋体"/>
                <w:color w:val="auto"/>
                <w:szCs w:val="21"/>
                <w:highlight w:val="none"/>
              </w:rPr>
            </w:pPr>
          </w:p>
        </w:tc>
      </w:tr>
      <w:tr w14:paraId="38269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7931BA1E">
            <w:pPr>
              <w:jc w:val="center"/>
              <w:rPr>
                <w:rFonts w:ascii="宋体" w:hAnsi="宋体"/>
                <w:color w:val="auto"/>
                <w:szCs w:val="21"/>
                <w:highlight w:val="none"/>
              </w:rPr>
            </w:pPr>
          </w:p>
        </w:tc>
        <w:tc>
          <w:tcPr>
            <w:tcW w:w="1597" w:type="dxa"/>
            <w:tcBorders>
              <w:top w:val="single" w:color="auto" w:sz="4" w:space="0"/>
              <w:left w:val="single" w:color="auto" w:sz="4" w:space="0"/>
              <w:bottom w:val="single" w:color="auto" w:sz="4" w:space="0"/>
              <w:right w:val="single" w:color="auto" w:sz="4" w:space="0"/>
            </w:tcBorders>
            <w:noWrap w:val="0"/>
            <w:vAlign w:val="center"/>
          </w:tcPr>
          <w:p w14:paraId="5C627291">
            <w:pPr>
              <w:jc w:val="center"/>
              <w:rPr>
                <w:rFonts w:ascii="宋体" w:hAnsi="宋体"/>
                <w:color w:val="auto"/>
                <w:szCs w:val="21"/>
                <w:highlight w:val="none"/>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0A4BF888">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AE9A54D">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1752E5D2">
            <w:pPr>
              <w:jc w:val="center"/>
              <w:rPr>
                <w:rFonts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1FBAFC82">
            <w:pPr>
              <w:jc w:val="center"/>
              <w:rPr>
                <w:rFonts w:ascii="宋体" w:hAnsi="宋体"/>
                <w:color w:val="auto"/>
                <w:szCs w:val="21"/>
                <w:highlight w:val="none"/>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4540D390">
            <w:pPr>
              <w:jc w:val="center"/>
              <w:rPr>
                <w:rFonts w:ascii="宋体" w:hAnsi="宋体"/>
                <w:color w:val="auto"/>
                <w:szCs w:val="21"/>
                <w:highlight w:val="none"/>
              </w:rPr>
            </w:pPr>
          </w:p>
        </w:tc>
      </w:tr>
      <w:tr w14:paraId="01DB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50AF0F1B">
            <w:pPr>
              <w:jc w:val="center"/>
              <w:rPr>
                <w:rFonts w:ascii="宋体" w:hAnsi="宋体"/>
                <w:color w:val="auto"/>
                <w:szCs w:val="21"/>
                <w:highlight w:val="none"/>
              </w:rPr>
            </w:pPr>
          </w:p>
        </w:tc>
        <w:tc>
          <w:tcPr>
            <w:tcW w:w="1597" w:type="dxa"/>
            <w:tcBorders>
              <w:top w:val="single" w:color="auto" w:sz="4" w:space="0"/>
              <w:left w:val="single" w:color="auto" w:sz="4" w:space="0"/>
              <w:bottom w:val="single" w:color="auto" w:sz="4" w:space="0"/>
              <w:right w:val="single" w:color="auto" w:sz="4" w:space="0"/>
            </w:tcBorders>
            <w:noWrap w:val="0"/>
            <w:vAlign w:val="center"/>
          </w:tcPr>
          <w:p w14:paraId="6AA2E387">
            <w:pPr>
              <w:jc w:val="center"/>
              <w:rPr>
                <w:rFonts w:ascii="宋体" w:hAnsi="宋体"/>
                <w:color w:val="auto"/>
                <w:szCs w:val="21"/>
                <w:highlight w:val="none"/>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28FEE18F">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6E3FBC88">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5AE9D549">
            <w:pPr>
              <w:jc w:val="center"/>
              <w:rPr>
                <w:rFonts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32B76EEA">
            <w:pPr>
              <w:jc w:val="center"/>
              <w:rPr>
                <w:rFonts w:ascii="宋体" w:hAnsi="宋体"/>
                <w:color w:val="auto"/>
                <w:szCs w:val="21"/>
                <w:highlight w:val="none"/>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0C215F30">
            <w:pPr>
              <w:jc w:val="center"/>
              <w:rPr>
                <w:rFonts w:ascii="宋体" w:hAnsi="宋体"/>
                <w:color w:val="auto"/>
                <w:szCs w:val="21"/>
                <w:highlight w:val="none"/>
              </w:rPr>
            </w:pPr>
          </w:p>
        </w:tc>
      </w:tr>
      <w:tr w14:paraId="60A0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3737976F">
            <w:pPr>
              <w:jc w:val="center"/>
              <w:rPr>
                <w:rFonts w:ascii="宋体" w:hAnsi="宋体"/>
                <w:color w:val="auto"/>
                <w:szCs w:val="21"/>
                <w:highlight w:val="none"/>
              </w:rPr>
            </w:pPr>
          </w:p>
        </w:tc>
        <w:tc>
          <w:tcPr>
            <w:tcW w:w="1597" w:type="dxa"/>
            <w:tcBorders>
              <w:top w:val="single" w:color="auto" w:sz="4" w:space="0"/>
              <w:left w:val="single" w:color="auto" w:sz="4" w:space="0"/>
              <w:bottom w:val="single" w:color="auto" w:sz="4" w:space="0"/>
              <w:right w:val="single" w:color="auto" w:sz="4" w:space="0"/>
            </w:tcBorders>
            <w:noWrap w:val="0"/>
            <w:vAlign w:val="center"/>
          </w:tcPr>
          <w:p w14:paraId="5A2A841F">
            <w:pPr>
              <w:jc w:val="center"/>
              <w:rPr>
                <w:rFonts w:ascii="宋体" w:hAnsi="宋体"/>
                <w:color w:val="auto"/>
                <w:szCs w:val="21"/>
                <w:highlight w:val="none"/>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32FB1313">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78CF758">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85B26AF">
            <w:pPr>
              <w:jc w:val="center"/>
              <w:rPr>
                <w:rFonts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1CC5F413">
            <w:pPr>
              <w:jc w:val="center"/>
              <w:rPr>
                <w:rFonts w:ascii="宋体" w:hAnsi="宋体"/>
                <w:color w:val="auto"/>
                <w:szCs w:val="21"/>
                <w:highlight w:val="none"/>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02F635F4">
            <w:pPr>
              <w:jc w:val="center"/>
              <w:rPr>
                <w:rFonts w:ascii="宋体" w:hAnsi="宋体"/>
                <w:color w:val="auto"/>
                <w:szCs w:val="21"/>
                <w:highlight w:val="none"/>
              </w:rPr>
            </w:pPr>
          </w:p>
        </w:tc>
      </w:tr>
      <w:tr w14:paraId="5A09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437DEA40">
            <w:pPr>
              <w:rPr>
                <w:rFonts w:ascii="宋体" w:hAnsi="宋体"/>
                <w:color w:val="auto"/>
                <w:szCs w:val="21"/>
                <w:highlight w:val="none"/>
              </w:rPr>
            </w:pPr>
          </w:p>
        </w:tc>
        <w:tc>
          <w:tcPr>
            <w:tcW w:w="3319" w:type="dxa"/>
            <w:gridSpan w:val="2"/>
            <w:tcBorders>
              <w:top w:val="single" w:color="auto" w:sz="4" w:space="0"/>
              <w:left w:val="single" w:color="auto" w:sz="4" w:space="0"/>
              <w:bottom w:val="single" w:color="auto" w:sz="4" w:space="0"/>
              <w:right w:val="single" w:color="auto" w:sz="4" w:space="0"/>
            </w:tcBorders>
            <w:noWrap w:val="0"/>
            <w:vAlign w:val="center"/>
          </w:tcPr>
          <w:p w14:paraId="137C5310">
            <w:pPr>
              <w:jc w:val="center"/>
              <w:rPr>
                <w:rFonts w:ascii="宋体" w:hAnsi="宋体"/>
                <w:color w:val="auto"/>
                <w:szCs w:val="21"/>
                <w:highlight w:val="none"/>
              </w:rPr>
            </w:pPr>
            <w:r>
              <w:rPr>
                <w:rFonts w:hint="eastAsia" w:ascii="宋体" w:hAnsi="宋体"/>
                <w:color w:val="auto"/>
                <w:szCs w:val="21"/>
                <w:highlight w:val="none"/>
              </w:rPr>
              <w:t>合计</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173EB690">
            <w:pPr>
              <w:jc w:val="center"/>
              <w:rPr>
                <w:rFonts w:ascii="宋体" w:hAnsi="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8356466">
            <w:pPr>
              <w:jc w:val="center"/>
              <w:rPr>
                <w:rFonts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1F14A0C1">
            <w:pPr>
              <w:jc w:val="center"/>
              <w:rPr>
                <w:rFonts w:ascii="宋体" w:hAnsi="宋体"/>
                <w:color w:val="auto"/>
                <w:szCs w:val="21"/>
                <w:highlight w:val="none"/>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7C60C3AC">
            <w:pPr>
              <w:jc w:val="center"/>
              <w:rPr>
                <w:rFonts w:ascii="宋体" w:hAnsi="宋体"/>
                <w:color w:val="auto"/>
                <w:szCs w:val="21"/>
                <w:highlight w:val="none"/>
              </w:rPr>
            </w:pPr>
          </w:p>
        </w:tc>
      </w:tr>
      <w:tr w14:paraId="6E39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78919E30">
            <w:pPr>
              <w:jc w:val="center"/>
              <w:rPr>
                <w:rFonts w:ascii="宋体" w:hAnsi="宋体"/>
                <w:color w:val="auto"/>
                <w:szCs w:val="21"/>
                <w:highlight w:val="none"/>
              </w:rPr>
            </w:pPr>
          </w:p>
        </w:tc>
        <w:tc>
          <w:tcPr>
            <w:tcW w:w="3319" w:type="dxa"/>
            <w:gridSpan w:val="2"/>
            <w:tcBorders>
              <w:top w:val="single" w:color="auto" w:sz="4" w:space="0"/>
              <w:left w:val="single" w:color="auto" w:sz="4" w:space="0"/>
              <w:bottom w:val="single" w:color="auto" w:sz="4" w:space="0"/>
              <w:right w:val="single" w:color="auto" w:sz="4" w:space="0"/>
            </w:tcBorders>
            <w:noWrap w:val="0"/>
            <w:vAlign w:val="center"/>
          </w:tcPr>
          <w:p w14:paraId="5E2002CB">
            <w:pPr>
              <w:jc w:val="center"/>
              <w:rPr>
                <w:rFonts w:ascii="宋体" w:hAnsi="宋体"/>
                <w:color w:val="auto"/>
                <w:szCs w:val="21"/>
                <w:highlight w:val="none"/>
              </w:rPr>
            </w:pPr>
            <w:r>
              <w:rPr>
                <w:rFonts w:hint="eastAsia" w:ascii="宋体" w:hAnsi="宋体"/>
                <w:color w:val="auto"/>
                <w:szCs w:val="21"/>
                <w:highlight w:val="none"/>
              </w:rPr>
              <w:t>本项目合同金额（万元）</w:t>
            </w:r>
          </w:p>
        </w:tc>
        <w:tc>
          <w:tcPr>
            <w:tcW w:w="2310" w:type="dxa"/>
            <w:gridSpan w:val="2"/>
            <w:tcBorders>
              <w:top w:val="single" w:color="auto" w:sz="4" w:space="0"/>
              <w:left w:val="single" w:color="auto" w:sz="4" w:space="0"/>
              <w:bottom w:val="single" w:color="auto" w:sz="4" w:space="0"/>
              <w:right w:val="single" w:color="auto" w:sz="4" w:space="0"/>
            </w:tcBorders>
            <w:noWrap w:val="0"/>
            <w:vAlign w:val="center"/>
          </w:tcPr>
          <w:p w14:paraId="1BE5CA28">
            <w:pPr>
              <w:jc w:val="center"/>
              <w:rPr>
                <w:rFonts w:ascii="宋体" w:hAnsi="宋体"/>
                <w:color w:val="auto"/>
                <w:szCs w:val="21"/>
                <w:highlight w:val="none"/>
              </w:rPr>
            </w:pPr>
          </w:p>
        </w:tc>
        <w:tc>
          <w:tcPr>
            <w:tcW w:w="2835" w:type="dxa"/>
            <w:gridSpan w:val="2"/>
            <w:tcBorders>
              <w:top w:val="single" w:color="auto" w:sz="4" w:space="0"/>
              <w:left w:val="single" w:color="auto" w:sz="4" w:space="0"/>
              <w:bottom w:val="single" w:color="auto" w:sz="4" w:space="0"/>
              <w:right w:val="single" w:color="auto" w:sz="4" w:space="0"/>
            </w:tcBorders>
            <w:noWrap w:val="0"/>
            <w:vAlign w:val="center"/>
          </w:tcPr>
          <w:p w14:paraId="0C0D0657">
            <w:pPr>
              <w:jc w:val="center"/>
              <w:rPr>
                <w:rFonts w:ascii="宋体" w:hAnsi="宋体"/>
                <w:color w:val="auto"/>
                <w:szCs w:val="21"/>
                <w:highlight w:val="none"/>
              </w:rPr>
            </w:pPr>
          </w:p>
        </w:tc>
      </w:tr>
    </w:tbl>
    <w:p w14:paraId="0608405C">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5．本协议中接受分包合同的中小（小微）企业（乙方）与分包企业（甲方）之间不存在直接控股、管理关系。</w:t>
      </w:r>
    </w:p>
    <w:p w14:paraId="0A337B95">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6. 中标后，本协议是合同的组成部分，对甲乙双方有合同约束力。</w:t>
      </w:r>
    </w:p>
    <w:p w14:paraId="2B728306">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7．本协议书自签署之日起生效，未中标或者中标合同履行完毕后自动失效。</w:t>
      </w:r>
    </w:p>
    <w:p w14:paraId="162741EC">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份，甲方和乙方各执一份。</w:t>
      </w:r>
    </w:p>
    <w:p w14:paraId="0CB8B6D4">
      <w:pPr>
        <w:spacing w:line="394" w:lineRule="exact"/>
        <w:ind w:firstLine="420" w:firstLineChars="200"/>
        <w:rPr>
          <w:rFonts w:hint="eastAsia" w:ascii="宋体" w:hAnsi="宋体"/>
          <w:color w:val="auto"/>
          <w:szCs w:val="21"/>
          <w:highlight w:val="none"/>
        </w:rPr>
      </w:pPr>
    </w:p>
    <w:p w14:paraId="339D021F">
      <w:pPr>
        <w:spacing w:line="394" w:lineRule="exact"/>
        <w:ind w:firstLine="420" w:firstLineChars="200"/>
        <w:rPr>
          <w:rFonts w:hint="eastAsia" w:ascii="宋体" w:hAnsi="宋体"/>
          <w:color w:val="auto"/>
          <w:szCs w:val="21"/>
          <w:highlight w:val="none"/>
        </w:rPr>
      </w:pPr>
    </w:p>
    <w:p w14:paraId="31A7A98E">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甲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     乙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2A9C04D1">
      <w:pPr>
        <w:spacing w:line="394" w:lineRule="exact"/>
        <w:ind w:firstLine="420" w:firstLineChars="200"/>
        <w:rPr>
          <w:rFonts w:hint="eastAsia" w:ascii="宋体" w:hAnsi="宋体"/>
          <w:color w:val="auto"/>
          <w:szCs w:val="21"/>
          <w:highlight w:val="none"/>
        </w:rPr>
      </w:pPr>
    </w:p>
    <w:p w14:paraId="7B2E2D1F">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     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0234C649">
      <w:pPr>
        <w:spacing w:line="394" w:lineRule="exact"/>
        <w:ind w:firstLine="420" w:firstLineChars="200"/>
        <w:rPr>
          <w:rFonts w:hint="eastAsia" w:ascii="宋体" w:hAnsi="宋体"/>
          <w:color w:val="auto"/>
          <w:szCs w:val="21"/>
          <w:highlight w:val="none"/>
        </w:rPr>
      </w:pPr>
    </w:p>
    <w:p w14:paraId="2C4F1706">
      <w:pPr>
        <w:spacing w:line="394" w:lineRule="exact"/>
        <w:ind w:firstLine="4830" w:firstLineChars="2300"/>
        <w:rPr>
          <w:rFonts w:hint="eastAsia" w:ascii="宋体" w:hAnsi="宋体"/>
          <w:color w:val="auto"/>
          <w:szCs w:val="21"/>
          <w:highlight w:val="none"/>
        </w:rPr>
      </w:pPr>
      <w:r>
        <w:rPr>
          <w:rFonts w:hint="eastAsia" w:ascii="宋体" w:hAnsi="宋体"/>
          <w:color w:val="auto"/>
          <w:szCs w:val="21"/>
          <w:highlight w:val="none"/>
        </w:rPr>
        <w:t>乙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6CA624A7">
      <w:pPr>
        <w:spacing w:line="394" w:lineRule="exact"/>
        <w:ind w:firstLine="420" w:firstLineChars="200"/>
        <w:rPr>
          <w:rFonts w:hint="eastAsia" w:ascii="宋体" w:hAnsi="宋体"/>
          <w:color w:val="auto"/>
          <w:szCs w:val="21"/>
          <w:highlight w:val="none"/>
        </w:rPr>
      </w:pPr>
    </w:p>
    <w:p w14:paraId="1EDA5718">
      <w:pPr>
        <w:spacing w:line="394" w:lineRule="exact"/>
        <w:ind w:firstLine="4830" w:firstLineChars="2300"/>
        <w:rPr>
          <w:rFonts w:hint="eastAsia" w:ascii="宋体" w:hAnsi="宋体"/>
          <w:color w:val="auto"/>
          <w:szCs w:val="21"/>
          <w:highlight w:val="none"/>
        </w:rPr>
      </w:pPr>
      <w:r>
        <w:rPr>
          <w:rFonts w:hint="eastAsia" w:ascii="宋体" w:hAnsi="宋体"/>
          <w:color w:val="auto"/>
          <w:szCs w:val="21"/>
          <w:highlight w:val="none"/>
        </w:rPr>
        <w:t>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656E6264">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w:t>
      </w:r>
    </w:p>
    <w:p w14:paraId="76A7D352">
      <w:pPr>
        <w:spacing w:line="394" w:lineRule="exact"/>
        <w:ind w:firstLine="5355" w:firstLineChars="2550"/>
        <w:rPr>
          <w:rFonts w:hint="eastAsia"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FD22A4D">
      <w:pPr>
        <w:spacing w:line="400" w:lineRule="exact"/>
        <w:rPr>
          <w:rFonts w:hint="eastAsia" w:ascii="宋体" w:hAnsi="宋体"/>
          <w:color w:val="auto"/>
          <w:szCs w:val="21"/>
          <w:highlight w:val="none"/>
        </w:rPr>
      </w:pPr>
    </w:p>
    <w:p w14:paraId="5879375D">
      <w:pPr>
        <w:spacing w:line="400" w:lineRule="exact"/>
        <w:ind w:left="840" w:hanging="840" w:hangingChars="400"/>
        <w:rPr>
          <w:rFonts w:hint="eastAsia" w:ascii="宋体" w:hAnsi="宋体"/>
          <w:color w:val="auto"/>
          <w:szCs w:val="21"/>
          <w:highlight w:val="none"/>
        </w:rPr>
      </w:pPr>
      <w:r>
        <w:rPr>
          <w:rFonts w:hint="eastAsia" w:ascii="宋体" w:hAnsi="宋体"/>
          <w:color w:val="auto"/>
          <w:szCs w:val="21"/>
          <w:highlight w:val="none"/>
        </w:rPr>
        <w:t>备注：1.本分包意向协议书适用于政府采购工程，可以分开签署。协议书由委托代理人签字的，应附法定代表人签字的授权委托书。</w:t>
      </w:r>
    </w:p>
    <w:p w14:paraId="1979ABB3">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2.政府采购工程投标人未采用向中小（小微）企业分包的形式参加投标的，投标文件中不需分包意向协议书，也无须盖单位章和签字。</w:t>
      </w:r>
    </w:p>
    <w:p w14:paraId="4946C376">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2D96139A">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4441C906">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5.分包意向协议书后附接受分包的中小（小微）企业，能够承担分包工作所需的有效的营业执照、企业资质证书（如需）、安全生产许可证（如需）、项目负责人资格证件的扫描件。</w:t>
      </w:r>
    </w:p>
    <w:p w14:paraId="165F2EEC">
      <w:pPr>
        <w:pStyle w:val="31"/>
        <w:jc w:val="center"/>
        <w:rPr>
          <w:rFonts w:hint="eastAsia"/>
          <w:color w:val="auto"/>
          <w:highlight w:val="none"/>
        </w:rPr>
      </w:pPr>
      <w:bookmarkStart w:id="2455" w:name="_Toc108515030"/>
    </w:p>
    <w:p w14:paraId="3412C860">
      <w:pPr>
        <w:pStyle w:val="31"/>
        <w:jc w:val="center"/>
        <w:rPr>
          <w:rFonts w:hint="eastAsia" w:eastAsia="黑体"/>
          <w:color w:val="auto"/>
          <w:highlight w:val="none"/>
          <w:lang w:eastAsia="zh-CN"/>
        </w:rPr>
      </w:pPr>
      <w:bookmarkStart w:id="2456" w:name="_Toc21925"/>
      <w:r>
        <w:rPr>
          <w:rFonts w:hint="eastAsia"/>
          <w:color w:val="auto"/>
          <w:highlight w:val="none"/>
        </w:rPr>
        <w:t>六、中小企业声明函</w:t>
      </w:r>
      <w:bookmarkEnd w:id="2455"/>
      <w:r>
        <w:rPr>
          <w:rFonts w:hint="eastAsia"/>
          <w:color w:val="auto"/>
          <w:highlight w:val="none"/>
          <w:lang w:eastAsia="zh-CN"/>
        </w:rPr>
        <w:t>（如是）</w:t>
      </w:r>
      <w:bookmarkEnd w:id="2456"/>
    </w:p>
    <w:p w14:paraId="7A49B5E7">
      <w:pPr>
        <w:spacing w:line="440" w:lineRule="exact"/>
        <w:rPr>
          <w:color w:val="auto"/>
          <w:sz w:val="24"/>
          <w:highlight w:val="none"/>
        </w:rPr>
      </w:pPr>
    </w:p>
    <w:p w14:paraId="17644656">
      <w:pPr>
        <w:spacing w:line="394" w:lineRule="exac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（招标人名称）：</w:t>
      </w:r>
    </w:p>
    <w:p w14:paraId="30127619">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      </w:t>
      </w:r>
      <w:r>
        <w:rPr>
          <w:rFonts w:hint="eastAsia" w:ascii="宋体" w:hAnsi="宋体"/>
          <w:color w:val="auto"/>
          <w:szCs w:val="21"/>
          <w:highlight w:val="none"/>
        </w:rPr>
        <w:t>（招标人名称）的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（标段名称）（以下简称本工程）施工招标投标活动，本工程招标范围内的</w:t>
      </w:r>
      <w:r>
        <w:rPr>
          <w:rFonts w:hint="eastAsia" w:ascii="宋体" w:hAnsi="宋体"/>
          <w:color w:val="auto"/>
          <w:szCs w:val="21"/>
          <w:highlight w:val="none"/>
          <w:u w:val="single"/>
        </w:rPr>
        <w:t xml:space="preserve">    全部／部分   </w:t>
      </w:r>
      <w:r>
        <w:rPr>
          <w:rFonts w:hint="eastAsia" w:ascii="宋体" w:hAnsi="宋体"/>
          <w:color w:val="auto"/>
          <w:szCs w:val="21"/>
          <w:highlight w:val="none"/>
        </w:rPr>
        <w:t>内容为符合政策要求的中小企业承建（承接）。相关企业（含联合体中的中小企业、签订分包意向协议的中小企业）的具体情况如下：</w:t>
      </w:r>
    </w:p>
    <w:p w14:paraId="33682727">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w:t>
      </w:r>
      <w:r>
        <w:rPr>
          <w:rFonts w:hint="eastAsia" w:ascii="宋体" w:hAnsi="宋体"/>
          <w:color w:val="auto"/>
          <w:szCs w:val="21"/>
          <w:highlight w:val="none"/>
        </w:rPr>
        <w:t>（工作内容名称） ，属于</w:t>
      </w:r>
      <w:r>
        <w:rPr>
          <w:rFonts w:hint="eastAsia" w:ascii="宋体" w:hAnsi="宋体"/>
          <w:color w:val="auto"/>
          <w:szCs w:val="21"/>
          <w:highlight w:val="none"/>
          <w:u w:val="single"/>
        </w:rPr>
        <w:t xml:space="preserve">             </w:t>
      </w:r>
      <w:r>
        <w:rPr>
          <w:rFonts w:hint="eastAsia" w:ascii="宋体" w:hAnsi="宋体"/>
          <w:color w:val="auto"/>
          <w:szCs w:val="21"/>
          <w:highlight w:val="none"/>
        </w:rPr>
        <w:t>（招标文件中明确的所属行业）；承建（承接）企业为</w:t>
      </w:r>
      <w:r>
        <w:rPr>
          <w:rFonts w:hint="eastAsia" w:ascii="宋体" w:hAnsi="宋体"/>
          <w:color w:val="auto"/>
          <w:szCs w:val="21"/>
          <w:highlight w:val="none"/>
          <w:u w:val="single"/>
        </w:rPr>
        <w:t xml:space="preserve">  　　　　　  </w:t>
      </w:r>
      <w:r>
        <w:rPr>
          <w:rFonts w:hint="eastAsia" w:ascii="宋体" w:hAnsi="宋体"/>
          <w:color w:val="auto"/>
          <w:szCs w:val="21"/>
          <w:highlight w:val="none"/>
        </w:rPr>
        <w:t>（企业名称） ，从业人员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420B58E1">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 xml:space="preserve">         </w:t>
      </w:r>
      <w:r>
        <w:rPr>
          <w:rFonts w:hint="eastAsia" w:ascii="宋体" w:hAnsi="宋体"/>
          <w:color w:val="auto"/>
          <w:szCs w:val="21"/>
          <w:highlight w:val="none"/>
        </w:rPr>
        <w:t>（工作内容名称） ，属于</w:t>
      </w:r>
      <w:r>
        <w:rPr>
          <w:rFonts w:hint="eastAsia" w:ascii="宋体" w:hAnsi="宋体"/>
          <w:color w:val="auto"/>
          <w:szCs w:val="21"/>
          <w:highlight w:val="none"/>
          <w:u w:val="single"/>
        </w:rPr>
        <w:t xml:space="preserve">             </w:t>
      </w:r>
      <w:r>
        <w:rPr>
          <w:rFonts w:hint="eastAsia" w:ascii="宋体" w:hAnsi="宋体"/>
          <w:color w:val="auto"/>
          <w:szCs w:val="21"/>
          <w:highlight w:val="none"/>
        </w:rPr>
        <w:t>（招标文件中明确的所属行业）；承建（承接）企业为</w:t>
      </w:r>
      <w:r>
        <w:rPr>
          <w:rFonts w:hint="eastAsia" w:ascii="宋体" w:hAnsi="宋体"/>
          <w:color w:val="auto"/>
          <w:szCs w:val="21"/>
          <w:highlight w:val="none"/>
          <w:u w:val="single"/>
        </w:rPr>
        <w:t xml:space="preserve">  　　　　　  </w:t>
      </w:r>
      <w:r>
        <w:rPr>
          <w:rFonts w:hint="eastAsia" w:ascii="宋体" w:hAnsi="宋体"/>
          <w:color w:val="auto"/>
          <w:szCs w:val="21"/>
          <w:highlight w:val="none"/>
        </w:rPr>
        <w:t>（企业名称） ，从业人员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77206211">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p>
    <w:p w14:paraId="096CEA9F">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以上企业，不属于大企业的分支机构，不存在控股股东为大企业的情形，也不存在与大企业的负责人为同一人的情形。</w:t>
      </w:r>
    </w:p>
    <w:p w14:paraId="312D8055">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14:paraId="0BC71758">
      <w:pPr>
        <w:spacing w:line="440" w:lineRule="exact"/>
        <w:ind w:firstLine="3570" w:firstLineChars="1700"/>
        <w:rPr>
          <w:rFonts w:hint="eastAsia" w:ascii="宋体" w:hAnsi="宋体" w:cs="宋体"/>
          <w:color w:val="auto"/>
          <w:szCs w:val="21"/>
          <w:highlight w:val="none"/>
        </w:rPr>
      </w:pPr>
    </w:p>
    <w:p w14:paraId="557505CE">
      <w:pPr>
        <w:spacing w:line="44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w:t>
      </w:r>
      <w:r>
        <w:rPr>
          <w:rFonts w:hint="eastAsia" w:ascii="宋体" w:hAnsi="宋体" w:cs="宋体"/>
          <w:color w:val="auto"/>
          <w:szCs w:val="21"/>
          <w:highlight w:val="none"/>
        </w:rPr>
        <w:t>（盖单位章）</w:t>
      </w:r>
    </w:p>
    <w:p w14:paraId="15034EAB">
      <w:pPr>
        <w:spacing w:line="44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w:t>
      </w:r>
      <w:r>
        <w:rPr>
          <w:rFonts w:hint="eastAsia" w:ascii="宋体" w:hAnsi="宋体" w:cs="宋体"/>
          <w:color w:val="auto"/>
          <w:szCs w:val="21"/>
          <w:highlight w:val="none"/>
        </w:rPr>
        <w:t>年</w:t>
      </w:r>
      <w:r>
        <w:rPr>
          <w:rFonts w:hint="eastAsia" w:ascii="宋体" w:hAnsi="宋体" w:cs="宋体"/>
          <w:color w:val="auto"/>
          <w:szCs w:val="21"/>
          <w:highlight w:val="none"/>
          <w:u w:val="single"/>
        </w:rPr>
        <w:t>　　</w:t>
      </w:r>
      <w:r>
        <w:rPr>
          <w:rFonts w:hint="eastAsia" w:ascii="宋体" w:hAnsi="宋体" w:cs="宋体"/>
          <w:color w:val="auto"/>
          <w:szCs w:val="21"/>
          <w:highlight w:val="none"/>
        </w:rPr>
        <w:t>月</w:t>
      </w:r>
      <w:r>
        <w:rPr>
          <w:rFonts w:hint="eastAsia" w:ascii="宋体" w:hAnsi="宋体" w:cs="宋体"/>
          <w:color w:val="auto"/>
          <w:szCs w:val="21"/>
          <w:highlight w:val="none"/>
          <w:u w:val="single"/>
        </w:rPr>
        <w:t>　　</w:t>
      </w:r>
      <w:r>
        <w:rPr>
          <w:rFonts w:hint="eastAsia" w:ascii="宋体" w:hAnsi="宋体" w:cs="宋体"/>
          <w:color w:val="auto"/>
          <w:szCs w:val="21"/>
          <w:highlight w:val="none"/>
        </w:rPr>
        <w:t>日</w:t>
      </w:r>
    </w:p>
    <w:p w14:paraId="1438250A">
      <w:pPr>
        <w:spacing w:line="440" w:lineRule="exact"/>
        <w:rPr>
          <w:rFonts w:hint="eastAsia" w:ascii="宋体" w:hAnsi="宋体" w:cs="宋体"/>
          <w:color w:val="auto"/>
          <w:szCs w:val="21"/>
          <w:highlight w:val="none"/>
        </w:rPr>
      </w:pPr>
    </w:p>
    <w:p w14:paraId="1DC6485C">
      <w:pPr>
        <w:spacing w:line="440" w:lineRule="exact"/>
        <w:rPr>
          <w:rFonts w:hint="eastAsia" w:ascii="宋体" w:hAnsi="宋体" w:cs="宋体"/>
          <w:color w:val="auto"/>
          <w:szCs w:val="21"/>
          <w:highlight w:val="none"/>
        </w:rPr>
      </w:pPr>
    </w:p>
    <w:p w14:paraId="2CFB4DD9">
      <w:pPr>
        <w:spacing w:line="400" w:lineRule="atLeast"/>
        <w:ind w:left="840" w:hanging="840" w:hangingChars="400"/>
        <w:rPr>
          <w:rFonts w:hint="eastAsia" w:ascii="宋体" w:hAnsi="宋体" w:cs="宋体"/>
          <w:color w:val="auto"/>
          <w:szCs w:val="21"/>
          <w:highlight w:val="none"/>
        </w:rPr>
      </w:pPr>
      <w:r>
        <w:rPr>
          <w:rFonts w:hint="eastAsia" w:ascii="宋体" w:hAnsi="宋体" w:cs="宋体"/>
          <w:color w:val="auto"/>
          <w:szCs w:val="21"/>
          <w:highlight w:val="none"/>
        </w:rPr>
        <w:t>备注：1.政府采购工程的投标人应当如实提供中小企业声明函，中小微企业划型按照《中小企业划型标准规定》（工信部联企业〔2011〕300号）执行，非政府采购工程的无需提供中小企业声明函。</w:t>
      </w:r>
    </w:p>
    <w:p w14:paraId="3BA0D3C8">
      <w:pPr>
        <w:spacing w:line="400" w:lineRule="atLeast"/>
        <w:ind w:left="840" w:hanging="840" w:hangingChars="400"/>
        <w:rPr>
          <w:rFonts w:ascii="宋体" w:hAnsi="宋体" w:cs="宋体"/>
          <w:color w:val="auto"/>
          <w:szCs w:val="21"/>
          <w:highlight w:val="none"/>
        </w:rPr>
        <w:sectPr>
          <w:pgSz w:w="11907" w:h="16840"/>
          <w:pgMar w:top="1588" w:right="1474" w:bottom="1701" w:left="1531" w:header="851" w:footer="992" w:gutter="0"/>
          <w:pgNumType w:fmt="decimal"/>
          <w:cols w:space="720" w:num="1"/>
          <w:docGrid w:linePitch="286" w:charSpace="0"/>
        </w:sectPr>
      </w:pPr>
      <w:r>
        <w:rPr>
          <w:rFonts w:hint="eastAsia" w:ascii="宋体" w:hAnsi="宋体" w:cs="宋体"/>
          <w:color w:val="auto"/>
          <w:szCs w:val="21"/>
          <w:highlight w:val="none"/>
        </w:rPr>
        <w:t>　　　2.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36C0BD9B">
      <w:pPr>
        <w:spacing w:line="394" w:lineRule="exact"/>
        <w:rPr>
          <w:rFonts w:hint="eastAsia" w:ascii="宋体" w:hAnsi="宋体"/>
          <w:color w:val="auto"/>
          <w:szCs w:val="21"/>
          <w:highlight w:val="none"/>
        </w:rPr>
      </w:pPr>
    </w:p>
    <w:p w14:paraId="50E1437C">
      <w:pPr>
        <w:pStyle w:val="31"/>
        <w:jc w:val="center"/>
        <w:rPr>
          <w:rFonts w:hint="eastAsia"/>
          <w:color w:val="auto"/>
          <w:highlight w:val="none"/>
        </w:rPr>
      </w:pPr>
      <w:bookmarkStart w:id="2457" w:name="_Toc28532424"/>
      <w:bookmarkStart w:id="2458" w:name="_Toc7118"/>
      <w:bookmarkStart w:id="2459" w:name="_Toc28532414"/>
      <w:r>
        <w:rPr>
          <w:rFonts w:hint="eastAsia"/>
          <w:color w:val="auto"/>
          <w:highlight w:val="none"/>
        </w:rPr>
        <w:t>七、项目管理机构</w:t>
      </w:r>
      <w:bookmarkEnd w:id="2457"/>
      <w:bookmarkEnd w:id="2458"/>
    </w:p>
    <w:p w14:paraId="4C12BC52">
      <w:pPr>
        <w:jc w:val="center"/>
        <w:rPr>
          <w:rFonts w:ascii="黑体" w:eastAsia="黑体"/>
          <w:color w:val="auto"/>
          <w:sz w:val="28"/>
          <w:szCs w:val="28"/>
          <w:highlight w:val="none"/>
        </w:rPr>
      </w:pPr>
    </w:p>
    <w:p w14:paraId="15107C04">
      <w:pPr>
        <w:pStyle w:val="33"/>
        <w:jc w:val="center"/>
        <w:rPr>
          <w:rFonts w:hint="eastAsia" w:ascii="Times New Roman"/>
          <w:color w:val="auto"/>
          <w:sz w:val="28"/>
          <w:szCs w:val="28"/>
          <w:highlight w:val="none"/>
        </w:rPr>
      </w:pPr>
      <w:bookmarkStart w:id="2460" w:name="_Toc11830"/>
      <w:bookmarkStart w:id="2461" w:name="_Toc28532425"/>
      <w:r>
        <w:rPr>
          <w:rFonts w:hint="eastAsia"/>
          <w:color w:val="auto"/>
          <w:sz w:val="28"/>
          <w:szCs w:val="28"/>
          <w:highlight w:val="none"/>
        </w:rPr>
        <w:t>（一）项目管理机构主要人员表</w:t>
      </w:r>
      <w:bookmarkEnd w:id="2460"/>
      <w:bookmarkEnd w:id="2461"/>
    </w:p>
    <w:tbl>
      <w:tblPr>
        <w:tblStyle w:val="15"/>
        <w:tblpPr w:leftFromText="180" w:rightFromText="180" w:vertAnchor="text" w:horzAnchor="page" w:tblpX="817" w:tblpY="62"/>
        <w:tblW w:w="1383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4"/>
        <w:gridCol w:w="1235"/>
        <w:gridCol w:w="799"/>
        <w:gridCol w:w="516"/>
        <w:gridCol w:w="728"/>
        <w:gridCol w:w="728"/>
        <w:gridCol w:w="1224"/>
        <w:gridCol w:w="559"/>
        <w:gridCol w:w="546"/>
        <w:gridCol w:w="546"/>
        <w:gridCol w:w="547"/>
        <w:gridCol w:w="1259"/>
        <w:gridCol w:w="629"/>
        <w:gridCol w:w="1077"/>
        <w:gridCol w:w="1079"/>
        <w:gridCol w:w="1092"/>
        <w:gridCol w:w="910"/>
      </w:tblGrid>
      <w:tr w14:paraId="1191A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8" w:hRule="atLeast"/>
        </w:trPr>
        <w:tc>
          <w:tcPr>
            <w:tcW w:w="364" w:type="dxa"/>
            <w:vMerge w:val="restart"/>
            <w:tcBorders>
              <w:top w:val="single" w:color="auto" w:sz="4" w:space="0"/>
              <w:left w:val="single" w:color="auto" w:sz="4" w:space="0"/>
              <w:bottom w:val="single" w:color="auto" w:sz="4" w:space="0"/>
              <w:right w:val="single" w:color="auto" w:sz="4" w:space="0"/>
            </w:tcBorders>
            <w:noWrap w:val="0"/>
            <w:vAlign w:val="center"/>
          </w:tcPr>
          <w:p w14:paraId="4ED3250A">
            <w:pPr>
              <w:jc w:val="center"/>
              <w:rPr>
                <w:color w:val="auto"/>
                <w:szCs w:val="21"/>
                <w:highlight w:val="none"/>
              </w:rPr>
            </w:pPr>
            <w:r>
              <w:rPr>
                <w:rFonts w:hint="eastAsia"/>
                <w:color w:val="auto"/>
                <w:szCs w:val="21"/>
                <w:highlight w:val="none"/>
              </w:rPr>
              <w:t>序号</w:t>
            </w:r>
          </w:p>
        </w:tc>
        <w:tc>
          <w:tcPr>
            <w:tcW w:w="1235" w:type="dxa"/>
            <w:vMerge w:val="restart"/>
            <w:tcBorders>
              <w:top w:val="single" w:color="auto" w:sz="4" w:space="0"/>
              <w:left w:val="single" w:color="auto" w:sz="4" w:space="0"/>
              <w:bottom w:val="single" w:color="auto" w:sz="4" w:space="0"/>
              <w:right w:val="single" w:color="auto" w:sz="4" w:space="0"/>
            </w:tcBorders>
            <w:noWrap w:val="0"/>
            <w:vAlign w:val="center"/>
          </w:tcPr>
          <w:p w14:paraId="0AF1EB22">
            <w:pPr>
              <w:spacing w:line="420" w:lineRule="exact"/>
              <w:jc w:val="center"/>
              <w:rPr>
                <w:color w:val="auto"/>
                <w:szCs w:val="21"/>
                <w:highlight w:val="none"/>
              </w:rPr>
            </w:pPr>
            <w:r>
              <w:rPr>
                <w:rFonts w:hint="eastAsia"/>
                <w:color w:val="auto"/>
                <w:szCs w:val="21"/>
                <w:highlight w:val="none"/>
              </w:rPr>
              <w:t>岗位</w:t>
            </w:r>
          </w:p>
        </w:tc>
        <w:tc>
          <w:tcPr>
            <w:tcW w:w="799" w:type="dxa"/>
            <w:vMerge w:val="restart"/>
            <w:tcBorders>
              <w:top w:val="single" w:color="auto" w:sz="4" w:space="0"/>
              <w:left w:val="single" w:color="auto" w:sz="4" w:space="0"/>
              <w:bottom w:val="single" w:color="auto" w:sz="4" w:space="0"/>
              <w:right w:val="single" w:color="auto" w:sz="4" w:space="0"/>
            </w:tcBorders>
            <w:noWrap w:val="0"/>
            <w:vAlign w:val="center"/>
          </w:tcPr>
          <w:p w14:paraId="1B734778">
            <w:pPr>
              <w:spacing w:line="240" w:lineRule="exact"/>
              <w:jc w:val="center"/>
              <w:rPr>
                <w:color w:val="auto"/>
                <w:szCs w:val="21"/>
                <w:highlight w:val="none"/>
              </w:rPr>
            </w:pPr>
            <w:r>
              <w:rPr>
                <w:rFonts w:hint="eastAsia"/>
                <w:color w:val="auto"/>
                <w:szCs w:val="21"/>
                <w:highlight w:val="none"/>
              </w:rPr>
              <w:t>姓名</w:t>
            </w:r>
          </w:p>
        </w:tc>
        <w:tc>
          <w:tcPr>
            <w:tcW w:w="516" w:type="dxa"/>
            <w:vMerge w:val="restart"/>
            <w:tcBorders>
              <w:top w:val="single" w:color="auto" w:sz="4" w:space="0"/>
              <w:left w:val="single" w:color="auto" w:sz="4" w:space="0"/>
              <w:bottom w:val="single" w:color="auto" w:sz="4" w:space="0"/>
              <w:right w:val="single" w:color="auto" w:sz="4" w:space="0"/>
            </w:tcBorders>
            <w:noWrap w:val="0"/>
            <w:vAlign w:val="center"/>
          </w:tcPr>
          <w:p w14:paraId="789BB440">
            <w:pPr>
              <w:spacing w:line="240" w:lineRule="exact"/>
              <w:jc w:val="center"/>
              <w:rPr>
                <w:color w:val="auto"/>
                <w:szCs w:val="21"/>
                <w:highlight w:val="none"/>
              </w:rPr>
            </w:pPr>
            <w:r>
              <w:rPr>
                <w:rFonts w:hint="eastAsia"/>
                <w:color w:val="auto"/>
                <w:szCs w:val="21"/>
                <w:highlight w:val="none"/>
              </w:rPr>
              <w:t>性别</w:t>
            </w:r>
          </w:p>
        </w:tc>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69E168D5">
            <w:pPr>
              <w:spacing w:line="240" w:lineRule="exact"/>
              <w:jc w:val="center"/>
              <w:rPr>
                <w:color w:val="auto"/>
                <w:szCs w:val="21"/>
                <w:highlight w:val="none"/>
              </w:rPr>
            </w:pPr>
            <w:r>
              <w:rPr>
                <w:rFonts w:hint="eastAsia"/>
                <w:color w:val="auto"/>
                <w:szCs w:val="21"/>
                <w:highlight w:val="none"/>
              </w:rPr>
              <w:t>年龄</w:t>
            </w:r>
          </w:p>
        </w:tc>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09E367B2">
            <w:pPr>
              <w:spacing w:line="240" w:lineRule="exact"/>
              <w:jc w:val="center"/>
              <w:rPr>
                <w:color w:val="auto"/>
                <w:szCs w:val="21"/>
                <w:highlight w:val="none"/>
              </w:rPr>
            </w:pPr>
            <w:r>
              <w:rPr>
                <w:rFonts w:hint="eastAsia"/>
                <w:color w:val="auto"/>
                <w:szCs w:val="21"/>
                <w:highlight w:val="none"/>
              </w:rPr>
              <w:t>学历</w:t>
            </w:r>
          </w:p>
        </w:tc>
        <w:tc>
          <w:tcPr>
            <w:tcW w:w="1224" w:type="dxa"/>
            <w:vMerge w:val="restart"/>
            <w:tcBorders>
              <w:top w:val="single" w:color="auto" w:sz="4" w:space="0"/>
              <w:left w:val="single" w:color="auto" w:sz="4" w:space="0"/>
              <w:bottom w:val="single" w:color="auto" w:sz="4" w:space="0"/>
              <w:right w:val="single" w:color="auto" w:sz="4" w:space="0"/>
            </w:tcBorders>
            <w:noWrap w:val="0"/>
            <w:vAlign w:val="center"/>
          </w:tcPr>
          <w:p w14:paraId="7F828DD6">
            <w:pPr>
              <w:spacing w:line="240" w:lineRule="exact"/>
              <w:jc w:val="center"/>
              <w:rPr>
                <w:color w:val="auto"/>
                <w:szCs w:val="21"/>
                <w:highlight w:val="none"/>
              </w:rPr>
            </w:pPr>
            <w:r>
              <w:rPr>
                <w:rFonts w:hint="eastAsia"/>
                <w:color w:val="auto"/>
                <w:szCs w:val="21"/>
                <w:highlight w:val="none"/>
              </w:rPr>
              <w:t>专业</w:t>
            </w:r>
          </w:p>
        </w:tc>
        <w:tc>
          <w:tcPr>
            <w:tcW w:w="559" w:type="dxa"/>
            <w:vMerge w:val="restart"/>
            <w:tcBorders>
              <w:top w:val="single" w:color="auto" w:sz="4" w:space="0"/>
              <w:left w:val="single" w:color="auto" w:sz="4" w:space="0"/>
              <w:bottom w:val="single" w:color="auto" w:sz="4" w:space="0"/>
              <w:right w:val="single" w:color="auto" w:sz="4" w:space="0"/>
            </w:tcBorders>
            <w:noWrap w:val="0"/>
            <w:vAlign w:val="center"/>
          </w:tcPr>
          <w:p w14:paraId="4E2DCF1A">
            <w:pPr>
              <w:jc w:val="center"/>
              <w:rPr>
                <w:color w:val="auto"/>
                <w:szCs w:val="21"/>
                <w:highlight w:val="none"/>
              </w:rPr>
            </w:pPr>
            <w:r>
              <w:rPr>
                <w:rFonts w:hint="eastAsia"/>
                <w:color w:val="auto"/>
                <w:szCs w:val="21"/>
                <w:highlight w:val="none"/>
              </w:rPr>
              <w:t>专业工作年限</w:t>
            </w:r>
          </w:p>
        </w:tc>
        <w:tc>
          <w:tcPr>
            <w:tcW w:w="1639" w:type="dxa"/>
            <w:gridSpan w:val="3"/>
            <w:tcBorders>
              <w:top w:val="single" w:color="auto" w:sz="4" w:space="0"/>
              <w:left w:val="single" w:color="auto" w:sz="4" w:space="0"/>
              <w:bottom w:val="single" w:color="auto" w:sz="4" w:space="0"/>
              <w:right w:val="single" w:color="auto" w:sz="4" w:space="0"/>
            </w:tcBorders>
            <w:noWrap w:val="0"/>
            <w:vAlign w:val="center"/>
          </w:tcPr>
          <w:p w14:paraId="5B37E64B">
            <w:pPr>
              <w:jc w:val="center"/>
              <w:rPr>
                <w:color w:val="auto"/>
                <w:szCs w:val="21"/>
                <w:highlight w:val="none"/>
              </w:rPr>
            </w:pPr>
            <w:r>
              <w:rPr>
                <w:rFonts w:hint="eastAsia"/>
                <w:color w:val="auto"/>
                <w:szCs w:val="21"/>
                <w:highlight w:val="none"/>
              </w:rPr>
              <w:t>专业技术职称</w:t>
            </w:r>
          </w:p>
        </w:tc>
        <w:tc>
          <w:tcPr>
            <w:tcW w:w="4044" w:type="dxa"/>
            <w:gridSpan w:val="4"/>
            <w:tcBorders>
              <w:top w:val="single" w:color="auto" w:sz="4" w:space="0"/>
              <w:left w:val="single" w:color="auto" w:sz="4" w:space="0"/>
              <w:bottom w:val="single" w:color="auto" w:sz="4" w:space="0"/>
              <w:right w:val="single" w:color="auto" w:sz="4" w:space="0"/>
            </w:tcBorders>
            <w:noWrap w:val="0"/>
            <w:vAlign w:val="center"/>
          </w:tcPr>
          <w:p w14:paraId="754E06AC">
            <w:pPr>
              <w:spacing w:line="420" w:lineRule="exact"/>
              <w:jc w:val="center"/>
              <w:rPr>
                <w:color w:val="auto"/>
                <w:szCs w:val="21"/>
                <w:highlight w:val="none"/>
              </w:rPr>
            </w:pPr>
            <w:r>
              <w:rPr>
                <w:rFonts w:hint="eastAsia" w:ascii="宋体" w:hAnsi="宋体"/>
                <w:color w:val="auto"/>
                <w:szCs w:val="21"/>
                <w:highlight w:val="none"/>
              </w:rPr>
              <w:t>执业或职业资格证明</w:t>
            </w:r>
          </w:p>
        </w:tc>
        <w:tc>
          <w:tcPr>
            <w:tcW w:w="1092" w:type="dxa"/>
            <w:vMerge w:val="restart"/>
            <w:tcBorders>
              <w:top w:val="single" w:color="auto" w:sz="4" w:space="0"/>
              <w:left w:val="single" w:color="auto" w:sz="4" w:space="0"/>
              <w:bottom w:val="single" w:color="auto" w:sz="4" w:space="0"/>
              <w:right w:val="single" w:color="auto" w:sz="4" w:space="0"/>
            </w:tcBorders>
            <w:noWrap w:val="0"/>
            <w:vAlign w:val="center"/>
          </w:tcPr>
          <w:p w14:paraId="083B5758">
            <w:pPr>
              <w:spacing w:line="420" w:lineRule="exact"/>
              <w:jc w:val="center"/>
              <w:rPr>
                <w:color w:val="auto"/>
                <w:szCs w:val="21"/>
                <w:highlight w:val="none"/>
              </w:rPr>
            </w:pPr>
            <w:r>
              <w:rPr>
                <w:rFonts w:hint="eastAsia" w:ascii="宋体" w:hAnsi="宋体"/>
                <w:color w:val="auto"/>
                <w:szCs w:val="21"/>
                <w:highlight w:val="none"/>
              </w:rPr>
              <w:t>社会保险</w:t>
            </w:r>
          </w:p>
        </w:tc>
        <w:tc>
          <w:tcPr>
            <w:tcW w:w="910" w:type="dxa"/>
            <w:vMerge w:val="restart"/>
            <w:tcBorders>
              <w:top w:val="single" w:color="auto" w:sz="4" w:space="0"/>
              <w:left w:val="single" w:color="auto" w:sz="4" w:space="0"/>
              <w:bottom w:val="single" w:color="auto" w:sz="4" w:space="0"/>
              <w:right w:val="single" w:color="auto" w:sz="4" w:space="0"/>
            </w:tcBorders>
            <w:noWrap w:val="0"/>
            <w:vAlign w:val="center"/>
          </w:tcPr>
          <w:p w14:paraId="3FA6459B">
            <w:pPr>
              <w:spacing w:line="420" w:lineRule="exact"/>
              <w:jc w:val="center"/>
              <w:rPr>
                <w:color w:val="auto"/>
                <w:szCs w:val="21"/>
                <w:highlight w:val="none"/>
              </w:rPr>
            </w:pPr>
            <w:r>
              <w:rPr>
                <w:rFonts w:hint="eastAsia"/>
                <w:color w:val="auto"/>
                <w:szCs w:val="21"/>
                <w:highlight w:val="none"/>
              </w:rPr>
              <w:t>执业、</w:t>
            </w:r>
          </w:p>
          <w:p w14:paraId="4DA3CC02">
            <w:pPr>
              <w:spacing w:line="420" w:lineRule="exact"/>
              <w:jc w:val="center"/>
              <w:rPr>
                <w:color w:val="auto"/>
                <w:szCs w:val="21"/>
                <w:highlight w:val="none"/>
                <w:vertAlign w:val="superscript"/>
              </w:rPr>
            </w:pPr>
            <w:r>
              <w:rPr>
                <w:rFonts w:hint="eastAsia"/>
                <w:color w:val="auto"/>
                <w:szCs w:val="21"/>
                <w:highlight w:val="none"/>
              </w:rPr>
              <w:t>职业单位</w:t>
            </w:r>
          </w:p>
        </w:tc>
      </w:tr>
      <w:tr w14:paraId="1D9F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73B14F0">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024D037">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A30AD1F">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0175184">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064C68">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07340B7">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691879A">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CC76744">
            <w:pPr>
              <w:widowControl/>
              <w:jc w:val="left"/>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5E3A271F">
            <w:pPr>
              <w:jc w:val="center"/>
              <w:rPr>
                <w:color w:val="auto"/>
                <w:szCs w:val="21"/>
                <w:highlight w:val="none"/>
              </w:rPr>
            </w:pPr>
            <w:r>
              <w:rPr>
                <w:rFonts w:hint="eastAsia"/>
                <w:color w:val="auto"/>
                <w:szCs w:val="21"/>
                <w:highlight w:val="none"/>
              </w:rPr>
              <w:t>初级</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01B9DCFD">
            <w:pPr>
              <w:jc w:val="center"/>
              <w:rPr>
                <w:color w:val="auto"/>
                <w:szCs w:val="21"/>
                <w:highlight w:val="none"/>
              </w:rPr>
            </w:pPr>
            <w:r>
              <w:rPr>
                <w:rFonts w:hint="eastAsia"/>
                <w:color w:val="auto"/>
                <w:szCs w:val="21"/>
                <w:highlight w:val="none"/>
              </w:rPr>
              <w:t>中级</w:t>
            </w:r>
          </w:p>
        </w:tc>
        <w:tc>
          <w:tcPr>
            <w:tcW w:w="547" w:type="dxa"/>
            <w:tcBorders>
              <w:top w:val="single" w:color="auto" w:sz="4" w:space="0"/>
              <w:left w:val="single" w:color="auto" w:sz="4" w:space="0"/>
              <w:bottom w:val="single" w:color="auto" w:sz="4" w:space="0"/>
              <w:right w:val="single" w:color="auto" w:sz="4" w:space="0"/>
            </w:tcBorders>
            <w:noWrap w:val="0"/>
            <w:vAlign w:val="center"/>
          </w:tcPr>
          <w:p w14:paraId="1AB5F11F">
            <w:pPr>
              <w:jc w:val="center"/>
              <w:rPr>
                <w:color w:val="auto"/>
                <w:szCs w:val="21"/>
                <w:highlight w:val="none"/>
              </w:rPr>
            </w:pPr>
            <w:r>
              <w:rPr>
                <w:rFonts w:hint="eastAsia"/>
                <w:color w:val="auto"/>
                <w:szCs w:val="21"/>
                <w:highlight w:val="none"/>
              </w:rPr>
              <w:t>高级</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060AAB89">
            <w:pPr>
              <w:jc w:val="center"/>
              <w:rPr>
                <w:rFonts w:ascii="宋体" w:hAnsi="宋体"/>
                <w:color w:val="auto"/>
                <w:szCs w:val="21"/>
                <w:highlight w:val="none"/>
              </w:rPr>
            </w:pPr>
            <w:r>
              <w:rPr>
                <w:rFonts w:hint="eastAsia" w:ascii="宋体" w:hAnsi="宋体"/>
                <w:color w:val="auto"/>
                <w:szCs w:val="21"/>
                <w:highlight w:val="none"/>
              </w:rPr>
              <w:t>证书名称</w:t>
            </w:r>
          </w:p>
        </w:tc>
        <w:tc>
          <w:tcPr>
            <w:tcW w:w="629" w:type="dxa"/>
            <w:tcBorders>
              <w:top w:val="single" w:color="auto" w:sz="4" w:space="0"/>
              <w:left w:val="single" w:color="auto" w:sz="4" w:space="0"/>
              <w:bottom w:val="single" w:color="auto" w:sz="4" w:space="0"/>
              <w:right w:val="single" w:color="auto" w:sz="4" w:space="0"/>
            </w:tcBorders>
            <w:noWrap w:val="0"/>
            <w:vAlign w:val="center"/>
          </w:tcPr>
          <w:p w14:paraId="15D2CAE4">
            <w:pPr>
              <w:jc w:val="center"/>
              <w:rPr>
                <w:rFonts w:ascii="宋体" w:hAnsi="宋体"/>
                <w:color w:val="auto"/>
                <w:szCs w:val="21"/>
                <w:highlight w:val="none"/>
              </w:rPr>
            </w:pPr>
            <w:r>
              <w:rPr>
                <w:rFonts w:hint="eastAsia" w:ascii="宋体" w:hAnsi="宋体"/>
                <w:color w:val="auto"/>
                <w:szCs w:val="21"/>
                <w:highlight w:val="none"/>
              </w:rPr>
              <w:t>级别</w:t>
            </w:r>
          </w:p>
        </w:tc>
        <w:tc>
          <w:tcPr>
            <w:tcW w:w="1077" w:type="dxa"/>
            <w:tcBorders>
              <w:top w:val="single" w:color="auto" w:sz="4" w:space="0"/>
              <w:left w:val="single" w:color="auto" w:sz="4" w:space="0"/>
              <w:bottom w:val="single" w:color="auto" w:sz="4" w:space="0"/>
              <w:right w:val="single" w:color="auto" w:sz="4" w:space="0"/>
            </w:tcBorders>
            <w:noWrap w:val="0"/>
            <w:vAlign w:val="center"/>
          </w:tcPr>
          <w:p w14:paraId="741EF1AF">
            <w:pPr>
              <w:jc w:val="center"/>
              <w:rPr>
                <w:rFonts w:ascii="宋体" w:hAnsi="宋体"/>
                <w:color w:val="auto"/>
                <w:szCs w:val="21"/>
                <w:highlight w:val="none"/>
              </w:rPr>
            </w:pPr>
            <w:r>
              <w:rPr>
                <w:rFonts w:hint="eastAsia" w:ascii="宋体" w:hAnsi="宋体"/>
                <w:color w:val="auto"/>
                <w:szCs w:val="21"/>
                <w:highlight w:val="none"/>
              </w:rPr>
              <w:t>证号</w:t>
            </w: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4416EB8">
            <w:pPr>
              <w:jc w:val="center"/>
              <w:rPr>
                <w:rFonts w:ascii="宋体" w:hAnsi="宋体"/>
                <w:color w:val="auto"/>
                <w:szCs w:val="21"/>
                <w:highlight w:val="none"/>
              </w:rPr>
            </w:pPr>
            <w:r>
              <w:rPr>
                <w:rFonts w:hint="eastAsia" w:ascii="宋体" w:hAnsi="宋体"/>
                <w:color w:val="auto"/>
                <w:szCs w:val="21"/>
                <w:highlight w:val="none"/>
              </w:rPr>
              <w:t>专业</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71098E">
            <w:pPr>
              <w:widowControl/>
              <w:jc w:val="left"/>
              <w:rPr>
                <w:color w:val="auto"/>
                <w:szCs w:val="21"/>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3CEB967">
            <w:pPr>
              <w:widowControl/>
              <w:jc w:val="left"/>
              <w:rPr>
                <w:color w:val="auto"/>
                <w:szCs w:val="21"/>
                <w:highlight w:val="none"/>
                <w:vertAlign w:val="superscript"/>
              </w:rPr>
            </w:pPr>
          </w:p>
        </w:tc>
      </w:tr>
      <w:tr w14:paraId="7240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28B63B85">
            <w:pPr>
              <w:jc w:val="center"/>
              <w:rPr>
                <w:rFonts w:ascii="宋体" w:hAnsi="宋体" w:cs="宋体"/>
                <w:color w:val="auto"/>
                <w:szCs w:val="21"/>
                <w:highlight w:val="none"/>
              </w:rPr>
            </w:pPr>
            <w:r>
              <w:rPr>
                <w:color w:val="auto"/>
                <w:szCs w:val="21"/>
                <w:highlight w:val="none"/>
              </w:rPr>
              <w:t>1</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2998229C">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0AC46DD5">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1260DE7C">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4BD929D3">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694183AF">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7C535EDA">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14EF3E3F">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7A585E21">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10833BF5">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5ADF9738">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18F844A2">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483070FD">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0FFA7596">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2104AD4E">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59B9AC45">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8BACEEA">
            <w:pPr>
              <w:jc w:val="center"/>
              <w:rPr>
                <w:color w:val="auto"/>
                <w:szCs w:val="21"/>
                <w:highlight w:val="none"/>
              </w:rPr>
            </w:pPr>
          </w:p>
        </w:tc>
      </w:tr>
      <w:tr w14:paraId="4E58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539BC5D8">
            <w:pPr>
              <w:jc w:val="center"/>
              <w:rPr>
                <w:rFonts w:ascii="宋体" w:hAnsi="宋体" w:cs="宋体"/>
                <w:color w:val="auto"/>
                <w:szCs w:val="21"/>
                <w:highlight w:val="none"/>
              </w:rPr>
            </w:pPr>
            <w:r>
              <w:rPr>
                <w:color w:val="auto"/>
                <w:szCs w:val="21"/>
                <w:highlight w:val="none"/>
              </w:rPr>
              <w:t>2</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1FD64124">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7B81392D">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71E4813A">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409516AF">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1A57F401">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050BE2E0">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53BFF360">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042FFB97">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16A0D39D">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4E1B598A">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7F1D5AAA">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232C28DB">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11EAD695">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24881A7A">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2E4588D8">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947C201">
            <w:pPr>
              <w:jc w:val="center"/>
              <w:rPr>
                <w:color w:val="auto"/>
                <w:szCs w:val="21"/>
                <w:highlight w:val="none"/>
              </w:rPr>
            </w:pPr>
          </w:p>
        </w:tc>
      </w:tr>
      <w:tr w14:paraId="6B5A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5BF00A16">
            <w:pPr>
              <w:jc w:val="center"/>
              <w:rPr>
                <w:rFonts w:ascii="宋体" w:hAnsi="宋体" w:cs="宋体"/>
                <w:color w:val="auto"/>
                <w:szCs w:val="21"/>
                <w:highlight w:val="none"/>
              </w:rPr>
            </w:pPr>
            <w:r>
              <w:rPr>
                <w:color w:val="auto"/>
                <w:szCs w:val="21"/>
                <w:highlight w:val="none"/>
              </w:rPr>
              <w:t>3</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0977AA2F">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3897EF77">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2DED31E5">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30A62661">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57800BE4">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44BECF27">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73CBD5E6">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7FE58E1B">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28058C15">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40C8759B">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1709E18C">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71DCACAB">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4BF31943">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BD97DA3">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30E3E57E">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747D0E0">
            <w:pPr>
              <w:jc w:val="center"/>
              <w:rPr>
                <w:color w:val="auto"/>
                <w:szCs w:val="21"/>
                <w:highlight w:val="none"/>
              </w:rPr>
            </w:pPr>
          </w:p>
        </w:tc>
      </w:tr>
      <w:tr w14:paraId="36D6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00697B90">
            <w:pPr>
              <w:jc w:val="center"/>
              <w:rPr>
                <w:rFonts w:ascii="宋体" w:hAnsi="宋体" w:cs="宋体"/>
                <w:color w:val="auto"/>
                <w:szCs w:val="21"/>
                <w:highlight w:val="none"/>
              </w:rPr>
            </w:pPr>
            <w:r>
              <w:rPr>
                <w:color w:val="auto"/>
                <w:szCs w:val="21"/>
                <w:highlight w:val="none"/>
              </w:rPr>
              <w:t>4</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4512506E">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2AD960BC">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39EABD13">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0E9CE682">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37FB9670">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77E8F8C">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22C70FCD">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59057CA0">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50CDA288">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7895177F">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3F6F4D47">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458E749A">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03879EB5">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2AD97175">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45313B73">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3376909">
            <w:pPr>
              <w:jc w:val="center"/>
              <w:rPr>
                <w:color w:val="auto"/>
                <w:szCs w:val="21"/>
                <w:highlight w:val="none"/>
              </w:rPr>
            </w:pPr>
          </w:p>
        </w:tc>
      </w:tr>
      <w:tr w14:paraId="736C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10730C00">
            <w:pPr>
              <w:jc w:val="center"/>
              <w:rPr>
                <w:rFonts w:ascii="宋体" w:hAnsi="宋体" w:cs="宋体"/>
                <w:color w:val="auto"/>
                <w:szCs w:val="21"/>
                <w:highlight w:val="none"/>
              </w:rPr>
            </w:pPr>
            <w:r>
              <w:rPr>
                <w:color w:val="auto"/>
                <w:szCs w:val="21"/>
                <w:highlight w:val="none"/>
              </w:rPr>
              <w:t>5</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7BDA6759">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715077E4">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3AB1CC9E">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6BC0FF9E">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20F00677">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4160CBAE">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2D6FFBA8">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150C4113">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7494FE39">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00B86862">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1DB378A4">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2A614C3A">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09899C06">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99FCBDC">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199FA8C8">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537FA2F">
            <w:pPr>
              <w:jc w:val="center"/>
              <w:rPr>
                <w:color w:val="auto"/>
                <w:szCs w:val="21"/>
                <w:highlight w:val="none"/>
              </w:rPr>
            </w:pPr>
          </w:p>
        </w:tc>
      </w:tr>
      <w:tr w14:paraId="6D6E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00660D69">
            <w:pPr>
              <w:jc w:val="center"/>
              <w:rPr>
                <w:rFonts w:ascii="宋体" w:hAnsi="宋体" w:cs="宋体"/>
                <w:color w:val="auto"/>
                <w:szCs w:val="21"/>
                <w:highlight w:val="none"/>
              </w:rPr>
            </w:pPr>
            <w:r>
              <w:rPr>
                <w:color w:val="auto"/>
                <w:szCs w:val="21"/>
                <w:highlight w:val="none"/>
              </w:rPr>
              <w:t>6</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4E425A14">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6A10E021">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063C988B">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3D45774C">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6BECABDD">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661AECE">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1419A98B">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26586098">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0CE97836">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35899FA0">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0A7B8247">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22BFB940">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59EF4021">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0614DE39">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7D4A7249">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B241947">
            <w:pPr>
              <w:jc w:val="center"/>
              <w:rPr>
                <w:color w:val="auto"/>
                <w:szCs w:val="21"/>
                <w:highlight w:val="none"/>
              </w:rPr>
            </w:pPr>
          </w:p>
        </w:tc>
      </w:tr>
      <w:tr w14:paraId="12C3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13DF9177">
            <w:pPr>
              <w:jc w:val="center"/>
              <w:rPr>
                <w:rFonts w:ascii="宋体" w:hAnsi="宋体" w:cs="宋体"/>
                <w:color w:val="auto"/>
                <w:szCs w:val="21"/>
                <w:highlight w:val="none"/>
              </w:rPr>
            </w:pPr>
            <w:r>
              <w:rPr>
                <w:color w:val="auto"/>
                <w:szCs w:val="21"/>
                <w:highlight w:val="none"/>
              </w:rPr>
              <w:t>7</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6E2CCA7E">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35BCB123">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2FC9A3EF">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2A0BDAF4">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3EBACA24">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7F984A3E">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213A8A63">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7743C513">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4A8A311C">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4082A874">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6B2144B1">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4F537E7A">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4DE60938">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649166F5">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131ACA7F">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65F1939">
            <w:pPr>
              <w:jc w:val="center"/>
              <w:rPr>
                <w:color w:val="auto"/>
                <w:szCs w:val="21"/>
                <w:highlight w:val="none"/>
              </w:rPr>
            </w:pPr>
          </w:p>
        </w:tc>
      </w:tr>
      <w:tr w14:paraId="42D89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313AB04D">
            <w:pPr>
              <w:jc w:val="center"/>
              <w:rPr>
                <w:rFonts w:ascii="宋体" w:hAnsi="宋体" w:cs="宋体"/>
                <w:color w:val="auto"/>
                <w:szCs w:val="21"/>
                <w:highlight w:val="none"/>
              </w:rPr>
            </w:pPr>
            <w:r>
              <w:rPr>
                <w:color w:val="auto"/>
                <w:szCs w:val="21"/>
                <w:highlight w:val="none"/>
              </w:rPr>
              <w:t>8</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28D4D424">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6E7B2F39">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4ECEFEE0">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7322EFF5">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6928795C">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48D60BE2">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7C56DC6E">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361DF420">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3A48746B">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688C6538">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51250184">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7F4B9E24">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782722A4">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7E2C470">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6692C771">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3CA94A1">
            <w:pPr>
              <w:jc w:val="center"/>
              <w:rPr>
                <w:color w:val="auto"/>
                <w:szCs w:val="21"/>
                <w:highlight w:val="none"/>
              </w:rPr>
            </w:pPr>
          </w:p>
        </w:tc>
      </w:tr>
      <w:tr w14:paraId="32DD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707EDD08">
            <w:pPr>
              <w:jc w:val="center"/>
              <w:rPr>
                <w:rFonts w:ascii="宋体" w:hAnsi="宋体" w:cs="宋体"/>
                <w:color w:val="auto"/>
                <w:szCs w:val="21"/>
                <w:highlight w:val="none"/>
              </w:rPr>
            </w:pPr>
            <w:r>
              <w:rPr>
                <w:color w:val="auto"/>
                <w:szCs w:val="21"/>
                <w:highlight w:val="none"/>
              </w:rPr>
              <w:t>9</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0327900B">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14A30090">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409E1D8E">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7B76C4F6">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3901E398">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FCF1D59">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167FEAFB">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633E3324">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68A2BCE6">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0F600F48">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57D4E8D7">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7355B42F">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46611DED">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0986A592">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7713D606">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03FA5D0">
            <w:pPr>
              <w:jc w:val="center"/>
              <w:rPr>
                <w:color w:val="auto"/>
                <w:szCs w:val="21"/>
                <w:highlight w:val="none"/>
              </w:rPr>
            </w:pPr>
          </w:p>
        </w:tc>
      </w:tr>
      <w:tr w14:paraId="752F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exact"/>
        </w:trPr>
        <w:tc>
          <w:tcPr>
            <w:tcW w:w="364" w:type="dxa"/>
            <w:tcBorders>
              <w:top w:val="single" w:color="auto" w:sz="4" w:space="0"/>
              <w:left w:val="single" w:color="auto" w:sz="4" w:space="0"/>
              <w:bottom w:val="single" w:color="auto" w:sz="4" w:space="0"/>
              <w:right w:val="single" w:color="auto" w:sz="4" w:space="0"/>
            </w:tcBorders>
            <w:noWrap w:val="0"/>
            <w:vAlign w:val="center"/>
          </w:tcPr>
          <w:p w14:paraId="37B58014">
            <w:pPr>
              <w:jc w:val="center"/>
              <w:rPr>
                <w:rFonts w:ascii="宋体" w:hAnsi="宋体" w:cs="宋体"/>
                <w:color w:val="auto"/>
                <w:szCs w:val="21"/>
                <w:highlight w:val="none"/>
              </w:rPr>
            </w:pPr>
            <w:r>
              <w:rPr>
                <w:rFonts w:hint="eastAsia" w:ascii="宋体" w:hAnsi="宋体" w:cs="宋体"/>
                <w:color w:val="auto"/>
                <w:szCs w:val="21"/>
                <w:highlight w:val="none"/>
              </w:rPr>
              <w:t>…</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0089A7F2">
            <w:pPr>
              <w:jc w:val="center"/>
              <w:rPr>
                <w:color w:val="auto"/>
                <w:szCs w:val="21"/>
                <w:highlight w:val="none"/>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650EDB4A">
            <w:pPr>
              <w:spacing w:line="240" w:lineRule="exact"/>
              <w:jc w:val="center"/>
              <w:rPr>
                <w:color w:val="auto"/>
                <w:szCs w:val="21"/>
                <w:highlight w:val="none"/>
              </w:rPr>
            </w:pPr>
          </w:p>
        </w:tc>
        <w:tc>
          <w:tcPr>
            <w:tcW w:w="516" w:type="dxa"/>
            <w:tcBorders>
              <w:top w:val="single" w:color="auto" w:sz="4" w:space="0"/>
              <w:left w:val="single" w:color="auto" w:sz="4" w:space="0"/>
              <w:bottom w:val="single" w:color="auto" w:sz="4" w:space="0"/>
              <w:right w:val="single" w:color="auto" w:sz="4" w:space="0"/>
            </w:tcBorders>
            <w:noWrap w:val="0"/>
            <w:vAlign w:val="center"/>
          </w:tcPr>
          <w:p w14:paraId="7591B9D8">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12B81BFD">
            <w:pPr>
              <w:spacing w:line="240" w:lineRule="exact"/>
              <w:jc w:val="center"/>
              <w:rPr>
                <w:color w:val="auto"/>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64DEFDDD">
            <w:pPr>
              <w:spacing w:line="240" w:lineRule="exact"/>
              <w:jc w:val="center"/>
              <w:rPr>
                <w:color w:val="auto"/>
                <w:szCs w:val="21"/>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91504DA">
            <w:pPr>
              <w:spacing w:line="240" w:lineRule="exact"/>
              <w:jc w:val="center"/>
              <w:rPr>
                <w:color w:val="auto"/>
                <w:szCs w:val="21"/>
                <w:highlight w:val="none"/>
              </w:rPr>
            </w:pPr>
          </w:p>
        </w:tc>
        <w:tc>
          <w:tcPr>
            <w:tcW w:w="559" w:type="dxa"/>
            <w:tcBorders>
              <w:top w:val="single" w:color="auto" w:sz="4" w:space="0"/>
              <w:left w:val="single" w:color="auto" w:sz="4" w:space="0"/>
              <w:bottom w:val="single" w:color="auto" w:sz="4" w:space="0"/>
              <w:right w:val="single" w:color="auto" w:sz="4" w:space="0"/>
            </w:tcBorders>
            <w:noWrap w:val="0"/>
            <w:vAlign w:val="center"/>
          </w:tcPr>
          <w:p w14:paraId="2E813B3A">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682C0315">
            <w:pPr>
              <w:jc w:val="center"/>
              <w:rPr>
                <w:color w:val="auto"/>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7556196B">
            <w:pPr>
              <w:jc w:val="center"/>
              <w:rPr>
                <w:color w:val="auto"/>
                <w:szCs w:val="21"/>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center"/>
          </w:tcPr>
          <w:p w14:paraId="3DC1CC40">
            <w:pPr>
              <w:jc w:val="center"/>
              <w:rPr>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291B0FD6">
            <w:pPr>
              <w:jc w:val="center"/>
              <w:rPr>
                <w:color w:val="auto"/>
                <w:szCs w:val="21"/>
                <w:highlight w:val="none"/>
              </w:rP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7B217560">
            <w:pPr>
              <w:jc w:val="center"/>
              <w:rPr>
                <w:color w:val="auto"/>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4B2695E6">
            <w:pPr>
              <w:jc w:val="center"/>
              <w:rPr>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AE7E31A">
            <w:pPr>
              <w:jc w:val="center"/>
              <w:rPr>
                <w:color w:val="auto"/>
                <w:szCs w:val="21"/>
                <w:highlight w:val="none"/>
              </w:rPr>
            </w:pPr>
          </w:p>
        </w:tc>
        <w:tc>
          <w:tcPr>
            <w:tcW w:w="1092" w:type="dxa"/>
            <w:tcBorders>
              <w:top w:val="single" w:color="auto" w:sz="4" w:space="0"/>
              <w:left w:val="single" w:color="auto" w:sz="4" w:space="0"/>
              <w:bottom w:val="single" w:color="auto" w:sz="4" w:space="0"/>
              <w:right w:val="single" w:color="auto" w:sz="4" w:space="0"/>
            </w:tcBorders>
            <w:noWrap w:val="0"/>
            <w:vAlign w:val="center"/>
          </w:tcPr>
          <w:p w14:paraId="369B26E6">
            <w:pPr>
              <w:jc w:val="center"/>
              <w:rPr>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B67AA0F">
            <w:pPr>
              <w:jc w:val="center"/>
              <w:rPr>
                <w:color w:val="auto"/>
                <w:szCs w:val="21"/>
                <w:highlight w:val="none"/>
              </w:rPr>
            </w:pPr>
          </w:p>
        </w:tc>
      </w:tr>
    </w:tbl>
    <w:p w14:paraId="67845239">
      <w:pPr>
        <w:spacing w:after="240" w:afterLines="100" w:line="420" w:lineRule="exact"/>
        <w:rPr>
          <w:rFonts w:ascii="黑体" w:hAnsi="宋体" w:eastAsia="黑体"/>
          <w:color w:val="auto"/>
          <w:sz w:val="24"/>
          <w:szCs w:val="24"/>
          <w:highlight w:val="none"/>
        </w:rPr>
      </w:pPr>
    </w:p>
    <w:p w14:paraId="03DBB0CF">
      <w:pPr>
        <w:spacing w:line="400" w:lineRule="atLeast"/>
        <w:ind w:left="630" w:hanging="630" w:hangingChars="300"/>
        <w:rPr>
          <w:rFonts w:hint="eastAsia" w:ascii="宋体" w:hAnsi="宋体"/>
          <w:color w:val="auto"/>
          <w:szCs w:val="21"/>
          <w:highlight w:val="none"/>
        </w:rPr>
      </w:pPr>
      <w:r>
        <w:rPr>
          <w:rFonts w:hint="eastAsia"/>
          <w:color w:val="auto"/>
          <w:highlight w:val="none"/>
        </w:rPr>
        <w:t>备注：</w:t>
      </w:r>
      <w:r>
        <w:rPr>
          <w:rFonts w:hint="eastAsia" w:ascii="宋体" w:hAnsi="宋体"/>
          <w:color w:val="auto"/>
          <w:szCs w:val="21"/>
          <w:highlight w:val="none"/>
        </w:rPr>
        <w:t>1．执业、职业单位指拟投入的项目管理机构人员目前是否在投标人处注册执业或岗位登记。</w:t>
      </w:r>
    </w:p>
    <w:p w14:paraId="57010552">
      <w:pPr>
        <w:spacing w:line="420" w:lineRule="exact"/>
        <w:ind w:left="945" w:leftChars="300" w:hanging="315" w:hangingChars="150"/>
        <w:rPr>
          <w:rFonts w:hint="eastAsia" w:ascii="宋体" w:hAnsi="宋体"/>
          <w:color w:val="auto"/>
          <w:szCs w:val="21"/>
          <w:highlight w:val="none"/>
        </w:rPr>
      </w:pPr>
      <w:r>
        <w:rPr>
          <w:rFonts w:hint="eastAsia" w:ascii="宋体" w:hAnsi="宋体"/>
          <w:color w:val="auto"/>
          <w:szCs w:val="21"/>
          <w:highlight w:val="none"/>
        </w:rPr>
        <w:t>2．附项目管理机构主要人员社会保险证明的扫描件。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险种、缴费期限等。社会保险证明中缴费单位应与投标单位一致。</w:t>
      </w:r>
    </w:p>
    <w:p w14:paraId="39BBBEFD">
      <w:pPr>
        <w:widowControl/>
        <w:jc w:val="left"/>
        <w:rPr>
          <w:rFonts w:ascii="宋体" w:hAnsi="宋体"/>
          <w:color w:val="auto"/>
          <w:szCs w:val="21"/>
          <w:highlight w:val="none"/>
        </w:rPr>
        <w:sectPr>
          <w:pgSz w:w="16840" w:h="11907" w:orient="landscape"/>
          <w:pgMar w:top="1474" w:right="1701" w:bottom="1531" w:left="1588" w:header="851" w:footer="992" w:gutter="0"/>
          <w:pgNumType w:fmt="decimal"/>
          <w:cols w:space="720" w:num="1"/>
          <w:docGrid w:linePitch="286" w:charSpace="0"/>
        </w:sectPr>
      </w:pPr>
    </w:p>
    <w:p w14:paraId="1B28764D">
      <w:pPr>
        <w:pStyle w:val="33"/>
        <w:jc w:val="center"/>
        <w:rPr>
          <w:rFonts w:hint="eastAsia" w:ascii="Times New Roman" w:hAnsi="Times New Roman"/>
          <w:color w:val="auto"/>
          <w:sz w:val="28"/>
          <w:szCs w:val="28"/>
          <w:highlight w:val="none"/>
        </w:rPr>
      </w:pPr>
      <w:bookmarkStart w:id="2462" w:name="_Toc28532426"/>
      <w:bookmarkStart w:id="2463" w:name="_Toc3903"/>
      <w:r>
        <w:rPr>
          <w:rFonts w:hint="eastAsia"/>
          <w:color w:val="auto"/>
          <w:sz w:val="28"/>
          <w:szCs w:val="28"/>
          <w:highlight w:val="none"/>
        </w:rPr>
        <w:t>（二）项目经理简历表</w:t>
      </w:r>
      <w:bookmarkEnd w:id="2462"/>
      <w:bookmarkEnd w:id="2463"/>
    </w:p>
    <w:p w14:paraId="6BF247FE">
      <w:pPr>
        <w:spacing w:line="420" w:lineRule="exact"/>
        <w:rPr>
          <w:rFonts w:ascii="宋体" w:hAnsi="宋体"/>
          <w:color w:val="auto"/>
          <w:szCs w:val="21"/>
          <w:highlight w:val="none"/>
        </w:rPr>
      </w:pP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035"/>
        <w:gridCol w:w="1134"/>
        <w:gridCol w:w="1275"/>
        <w:gridCol w:w="2124"/>
        <w:gridCol w:w="2160"/>
      </w:tblGrid>
      <w:tr w14:paraId="588C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19579C65">
            <w:pPr>
              <w:rPr>
                <w:rFonts w:ascii="宋体" w:hAnsi="宋体"/>
                <w:color w:val="auto"/>
                <w:szCs w:val="21"/>
                <w:highlight w:val="none"/>
              </w:rPr>
            </w:pPr>
            <w:r>
              <w:rPr>
                <w:rFonts w:hint="eastAsia" w:ascii="宋体" w:hAnsi="宋体"/>
                <w:color w:val="auto"/>
                <w:szCs w:val="21"/>
                <w:highlight w:val="none"/>
              </w:rPr>
              <w:t>姓  名</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689F4AF6">
            <w:pPr>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C6AA27C">
            <w:pPr>
              <w:jc w:val="center"/>
              <w:rPr>
                <w:rFonts w:ascii="宋体" w:hAnsi="宋体"/>
                <w:color w:val="auto"/>
                <w:szCs w:val="21"/>
                <w:highlight w:val="none"/>
              </w:rPr>
            </w:pPr>
            <w:r>
              <w:rPr>
                <w:rFonts w:hint="eastAsia" w:ascii="宋体" w:hAnsi="宋体"/>
                <w:color w:val="auto"/>
                <w:szCs w:val="21"/>
                <w:highlight w:val="none"/>
              </w:rPr>
              <w:t>年  龄</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5BED9634">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76AB1ABC">
            <w:pPr>
              <w:jc w:val="center"/>
              <w:rPr>
                <w:rFonts w:ascii="宋体" w:hAnsi="宋体"/>
                <w:color w:val="auto"/>
                <w:szCs w:val="21"/>
                <w:highlight w:val="none"/>
              </w:rPr>
            </w:pPr>
            <w:r>
              <w:rPr>
                <w:rFonts w:hint="eastAsia" w:ascii="宋体" w:hAnsi="宋体"/>
                <w:color w:val="auto"/>
                <w:szCs w:val="21"/>
                <w:highlight w:val="none"/>
              </w:rPr>
              <w:t>学历</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C10EF1E">
            <w:pPr>
              <w:jc w:val="center"/>
              <w:rPr>
                <w:rFonts w:ascii="宋体" w:hAnsi="宋体"/>
                <w:color w:val="auto"/>
                <w:szCs w:val="21"/>
                <w:highlight w:val="none"/>
              </w:rPr>
            </w:pPr>
          </w:p>
        </w:tc>
      </w:tr>
      <w:tr w14:paraId="110F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073E2D72">
            <w:pPr>
              <w:jc w:val="center"/>
              <w:rPr>
                <w:rFonts w:ascii="宋体" w:hAnsi="宋体"/>
                <w:color w:val="auto"/>
                <w:szCs w:val="21"/>
                <w:highlight w:val="none"/>
              </w:rPr>
            </w:pPr>
            <w:r>
              <w:rPr>
                <w:rFonts w:hint="eastAsia" w:ascii="宋体" w:hAnsi="宋体"/>
                <w:color w:val="auto"/>
                <w:szCs w:val="21"/>
                <w:highlight w:val="none"/>
              </w:rPr>
              <w:t>职  称</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2E72774B">
            <w:pPr>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A5D8A2E">
            <w:pPr>
              <w:jc w:val="center"/>
              <w:rPr>
                <w:rFonts w:ascii="宋体" w:hAnsi="宋体"/>
                <w:color w:val="auto"/>
                <w:szCs w:val="21"/>
                <w:highlight w:val="none"/>
              </w:rPr>
            </w:pPr>
            <w:r>
              <w:rPr>
                <w:rFonts w:hint="eastAsia" w:ascii="宋体" w:hAnsi="宋体"/>
                <w:color w:val="auto"/>
                <w:szCs w:val="21"/>
                <w:highlight w:val="none"/>
              </w:rPr>
              <w:t>职  务</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6E8C5B33">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1C428BCB">
            <w:pPr>
              <w:jc w:val="center"/>
              <w:rPr>
                <w:rFonts w:ascii="宋体" w:hAnsi="宋体"/>
                <w:color w:val="auto"/>
                <w:szCs w:val="21"/>
                <w:highlight w:val="none"/>
              </w:rPr>
            </w:pPr>
            <w:r>
              <w:rPr>
                <w:rFonts w:hint="eastAsia" w:ascii="宋体" w:hAnsi="宋体"/>
                <w:color w:val="auto"/>
                <w:szCs w:val="21"/>
                <w:highlight w:val="none"/>
              </w:rPr>
              <w:t>拟在本工程任职</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18B528A">
            <w:pPr>
              <w:jc w:val="center"/>
              <w:rPr>
                <w:rFonts w:ascii="宋体" w:hAnsi="宋体"/>
                <w:color w:val="auto"/>
                <w:szCs w:val="21"/>
                <w:highlight w:val="none"/>
              </w:rPr>
            </w:pPr>
            <w:r>
              <w:rPr>
                <w:rFonts w:hint="eastAsia" w:ascii="宋体" w:hAnsi="宋体"/>
                <w:color w:val="auto"/>
                <w:szCs w:val="21"/>
                <w:highlight w:val="none"/>
              </w:rPr>
              <w:t>项目经理</w:t>
            </w:r>
          </w:p>
        </w:tc>
      </w:tr>
      <w:tr w14:paraId="0D43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3"/>
            <w:tcBorders>
              <w:top w:val="single" w:color="auto" w:sz="4" w:space="0"/>
              <w:left w:val="single" w:color="auto" w:sz="4" w:space="0"/>
              <w:bottom w:val="single" w:color="auto" w:sz="4" w:space="0"/>
              <w:right w:val="single" w:color="auto" w:sz="4" w:space="0"/>
            </w:tcBorders>
            <w:noWrap w:val="0"/>
            <w:vAlign w:val="center"/>
          </w:tcPr>
          <w:p w14:paraId="089F03D0">
            <w:pPr>
              <w:jc w:val="center"/>
              <w:rPr>
                <w:rFonts w:ascii="宋体" w:hAnsi="宋体"/>
                <w:color w:val="auto"/>
                <w:szCs w:val="21"/>
                <w:highlight w:val="none"/>
              </w:rPr>
            </w:pPr>
            <w:r>
              <w:rPr>
                <w:rFonts w:hint="eastAsia" w:ascii="宋体" w:hAnsi="宋体"/>
                <w:color w:val="auto"/>
                <w:szCs w:val="21"/>
                <w:highlight w:val="none"/>
              </w:rPr>
              <w:t>注册建造师执业资格等级</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0EE668C9">
            <w:pPr>
              <w:jc w:val="center"/>
              <w:rPr>
                <w:rFonts w:ascii="宋体" w:hAnsi="宋体"/>
                <w:color w:val="auto"/>
                <w:szCs w:val="21"/>
                <w:highlight w:val="none"/>
              </w:rPr>
            </w:pPr>
            <w:r>
              <w:rPr>
                <w:rFonts w:hint="eastAsia" w:ascii="宋体" w:hAnsi="宋体"/>
                <w:color w:val="auto"/>
                <w:szCs w:val="21"/>
                <w:highlight w:val="none"/>
              </w:rPr>
              <w:t xml:space="preserve">      级</w:t>
            </w:r>
          </w:p>
        </w:tc>
        <w:tc>
          <w:tcPr>
            <w:tcW w:w="2124" w:type="dxa"/>
            <w:tcBorders>
              <w:top w:val="single" w:color="auto" w:sz="4" w:space="0"/>
              <w:left w:val="single" w:color="auto" w:sz="4" w:space="0"/>
              <w:bottom w:val="single" w:color="auto" w:sz="4" w:space="0"/>
              <w:right w:val="single" w:color="auto" w:sz="4" w:space="0"/>
            </w:tcBorders>
            <w:noWrap w:val="0"/>
            <w:vAlign w:val="center"/>
          </w:tcPr>
          <w:p w14:paraId="69126A6B">
            <w:pPr>
              <w:jc w:val="center"/>
              <w:rPr>
                <w:rFonts w:ascii="宋体" w:hAnsi="宋体"/>
                <w:color w:val="auto"/>
                <w:szCs w:val="21"/>
                <w:highlight w:val="none"/>
              </w:rPr>
            </w:pPr>
            <w:r>
              <w:rPr>
                <w:rFonts w:hint="eastAsia" w:ascii="宋体" w:hAnsi="宋体"/>
                <w:color w:val="auto"/>
                <w:szCs w:val="21"/>
                <w:highlight w:val="none"/>
              </w:rPr>
              <w:t>建造师专业</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242F5B07">
            <w:pPr>
              <w:jc w:val="center"/>
              <w:rPr>
                <w:rFonts w:ascii="宋体" w:hAnsi="宋体"/>
                <w:color w:val="auto"/>
                <w:szCs w:val="21"/>
                <w:highlight w:val="none"/>
              </w:rPr>
            </w:pPr>
          </w:p>
        </w:tc>
      </w:tr>
      <w:tr w14:paraId="0F23D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3"/>
            <w:tcBorders>
              <w:top w:val="single" w:color="auto" w:sz="4" w:space="0"/>
              <w:left w:val="single" w:color="auto" w:sz="4" w:space="0"/>
              <w:bottom w:val="single" w:color="auto" w:sz="4" w:space="0"/>
              <w:right w:val="single" w:color="auto" w:sz="4" w:space="0"/>
            </w:tcBorders>
            <w:noWrap w:val="0"/>
            <w:vAlign w:val="center"/>
          </w:tcPr>
          <w:p w14:paraId="42E3183E">
            <w:pPr>
              <w:jc w:val="center"/>
              <w:rPr>
                <w:rFonts w:ascii="宋体" w:hAnsi="宋体"/>
                <w:color w:val="auto"/>
                <w:szCs w:val="21"/>
                <w:highlight w:val="none"/>
              </w:rPr>
            </w:pPr>
            <w:r>
              <w:rPr>
                <w:rFonts w:hint="eastAsia" w:ascii="宋体" w:hAnsi="宋体"/>
                <w:color w:val="auto"/>
                <w:szCs w:val="21"/>
                <w:highlight w:val="none"/>
              </w:rPr>
              <w:t>安全生产考核合格证书</w:t>
            </w:r>
          </w:p>
        </w:tc>
        <w:tc>
          <w:tcPr>
            <w:tcW w:w="5559" w:type="dxa"/>
            <w:gridSpan w:val="3"/>
            <w:tcBorders>
              <w:top w:val="single" w:color="auto" w:sz="4" w:space="0"/>
              <w:left w:val="single" w:color="auto" w:sz="4" w:space="0"/>
              <w:bottom w:val="single" w:color="auto" w:sz="4" w:space="0"/>
              <w:right w:val="single" w:color="auto" w:sz="4" w:space="0"/>
            </w:tcBorders>
            <w:noWrap w:val="0"/>
            <w:vAlign w:val="center"/>
          </w:tcPr>
          <w:p w14:paraId="0FB59AF8">
            <w:pPr>
              <w:jc w:val="center"/>
              <w:rPr>
                <w:rFonts w:ascii="宋体" w:hAnsi="宋体"/>
                <w:color w:val="auto"/>
                <w:szCs w:val="21"/>
                <w:highlight w:val="none"/>
              </w:rPr>
            </w:pPr>
          </w:p>
        </w:tc>
      </w:tr>
      <w:tr w14:paraId="70C0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5898AE20">
            <w:pPr>
              <w:jc w:val="center"/>
              <w:rPr>
                <w:rFonts w:ascii="宋体" w:hAnsi="宋体"/>
                <w:color w:val="auto"/>
                <w:szCs w:val="21"/>
                <w:highlight w:val="none"/>
              </w:rPr>
            </w:pPr>
            <w:r>
              <w:rPr>
                <w:rFonts w:hint="eastAsia" w:ascii="宋体" w:hAnsi="宋体"/>
                <w:color w:val="auto"/>
                <w:szCs w:val="21"/>
                <w:highlight w:val="none"/>
              </w:rPr>
              <w:t>毕业学校</w:t>
            </w:r>
          </w:p>
        </w:tc>
        <w:tc>
          <w:tcPr>
            <w:tcW w:w="7728" w:type="dxa"/>
            <w:gridSpan w:val="5"/>
            <w:tcBorders>
              <w:top w:val="single" w:color="auto" w:sz="4" w:space="0"/>
              <w:left w:val="single" w:color="auto" w:sz="4" w:space="0"/>
              <w:bottom w:val="single" w:color="auto" w:sz="4" w:space="0"/>
              <w:right w:val="single" w:color="auto" w:sz="4" w:space="0"/>
            </w:tcBorders>
            <w:noWrap w:val="0"/>
            <w:vAlign w:val="center"/>
          </w:tcPr>
          <w:p w14:paraId="69511201">
            <w:pPr>
              <w:ind w:firstLine="840" w:firstLineChars="400"/>
              <w:rPr>
                <w:rFonts w:ascii="宋体" w:hAnsi="宋体"/>
                <w:color w:val="auto"/>
                <w:szCs w:val="21"/>
                <w:highlight w:val="none"/>
              </w:rPr>
            </w:pPr>
            <w:r>
              <w:rPr>
                <w:rFonts w:hint="eastAsia" w:ascii="宋体" w:hAnsi="宋体"/>
                <w:color w:val="auto"/>
                <w:szCs w:val="21"/>
                <w:highlight w:val="none"/>
              </w:rPr>
              <w:t>年毕业于                  学校            专业</w:t>
            </w:r>
          </w:p>
        </w:tc>
      </w:tr>
      <w:tr w14:paraId="75AE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0" w:type="dxa"/>
            <w:gridSpan w:val="6"/>
            <w:tcBorders>
              <w:top w:val="single" w:color="auto" w:sz="4" w:space="0"/>
              <w:left w:val="single" w:color="auto" w:sz="4" w:space="0"/>
              <w:bottom w:val="single" w:color="auto" w:sz="4" w:space="0"/>
              <w:right w:val="single" w:color="auto" w:sz="4" w:space="0"/>
            </w:tcBorders>
            <w:noWrap w:val="0"/>
            <w:vAlign w:val="center"/>
          </w:tcPr>
          <w:p w14:paraId="66354ED0">
            <w:pPr>
              <w:jc w:val="center"/>
              <w:rPr>
                <w:rFonts w:ascii="宋体" w:hAnsi="宋体"/>
                <w:color w:val="auto"/>
                <w:szCs w:val="21"/>
                <w:highlight w:val="none"/>
              </w:rPr>
            </w:pPr>
            <w:r>
              <w:rPr>
                <w:rFonts w:hint="eastAsia" w:ascii="宋体" w:hAnsi="宋体"/>
                <w:color w:val="auto"/>
                <w:szCs w:val="21"/>
                <w:highlight w:val="none"/>
              </w:rPr>
              <w:t>主要工作经历</w:t>
            </w:r>
          </w:p>
        </w:tc>
      </w:tr>
      <w:tr w14:paraId="5000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32CC4226">
            <w:pPr>
              <w:jc w:val="center"/>
              <w:rPr>
                <w:rFonts w:ascii="宋体" w:hAnsi="宋体"/>
                <w:color w:val="auto"/>
                <w:szCs w:val="21"/>
                <w:highlight w:val="none"/>
              </w:rPr>
            </w:pPr>
            <w:r>
              <w:rPr>
                <w:rFonts w:hint="eastAsia" w:ascii="宋体" w:hAnsi="宋体"/>
                <w:color w:val="auto"/>
                <w:szCs w:val="21"/>
                <w:highlight w:val="none"/>
              </w:rPr>
              <w:t>时  间</w:t>
            </w: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22DF60D4">
            <w:pPr>
              <w:jc w:val="center"/>
              <w:rPr>
                <w:rFonts w:ascii="宋体" w:hAnsi="宋体"/>
                <w:color w:val="auto"/>
                <w:szCs w:val="21"/>
                <w:highlight w:val="none"/>
              </w:rPr>
            </w:pPr>
            <w:r>
              <w:rPr>
                <w:rFonts w:hint="eastAsia" w:ascii="宋体" w:hAnsi="宋体"/>
                <w:color w:val="auto"/>
                <w:szCs w:val="21"/>
                <w:highlight w:val="none"/>
              </w:rPr>
              <w:t>参加过的类似项目名称</w:t>
            </w:r>
          </w:p>
        </w:tc>
        <w:tc>
          <w:tcPr>
            <w:tcW w:w="2124" w:type="dxa"/>
            <w:tcBorders>
              <w:top w:val="single" w:color="auto" w:sz="4" w:space="0"/>
              <w:left w:val="single" w:color="auto" w:sz="4" w:space="0"/>
              <w:bottom w:val="single" w:color="auto" w:sz="4" w:space="0"/>
              <w:right w:val="single" w:color="auto" w:sz="4" w:space="0"/>
            </w:tcBorders>
            <w:noWrap w:val="0"/>
            <w:vAlign w:val="center"/>
          </w:tcPr>
          <w:p w14:paraId="6689F18E">
            <w:pPr>
              <w:jc w:val="center"/>
              <w:rPr>
                <w:rFonts w:ascii="宋体" w:hAnsi="宋体"/>
                <w:color w:val="auto"/>
                <w:szCs w:val="21"/>
                <w:highlight w:val="none"/>
              </w:rPr>
            </w:pPr>
            <w:r>
              <w:rPr>
                <w:rFonts w:hint="eastAsia" w:ascii="宋体" w:hAnsi="宋体"/>
                <w:color w:val="auto"/>
                <w:szCs w:val="21"/>
                <w:highlight w:val="none"/>
              </w:rPr>
              <w:t>工程概况说明</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DF51522">
            <w:pPr>
              <w:jc w:val="center"/>
              <w:rPr>
                <w:rFonts w:ascii="宋体" w:hAnsi="宋体"/>
                <w:color w:val="auto"/>
                <w:szCs w:val="21"/>
                <w:highlight w:val="none"/>
              </w:rPr>
            </w:pPr>
            <w:r>
              <w:rPr>
                <w:rFonts w:hint="eastAsia" w:ascii="宋体" w:hAnsi="宋体"/>
                <w:color w:val="auto"/>
                <w:szCs w:val="21"/>
                <w:highlight w:val="none"/>
              </w:rPr>
              <w:t>发包人及联系电话</w:t>
            </w:r>
          </w:p>
        </w:tc>
      </w:tr>
      <w:tr w14:paraId="2060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1268E908">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3C91067C">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2F05C595">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D4792CB">
            <w:pPr>
              <w:jc w:val="center"/>
              <w:rPr>
                <w:rFonts w:ascii="宋体" w:hAnsi="宋体"/>
                <w:color w:val="auto"/>
                <w:szCs w:val="21"/>
                <w:highlight w:val="none"/>
              </w:rPr>
            </w:pPr>
          </w:p>
        </w:tc>
      </w:tr>
      <w:tr w14:paraId="20434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198ED48C">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2C29F5A5">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3CC9F440">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0BCBB087">
            <w:pPr>
              <w:jc w:val="center"/>
              <w:rPr>
                <w:rFonts w:ascii="宋体" w:hAnsi="宋体"/>
                <w:color w:val="auto"/>
                <w:szCs w:val="21"/>
                <w:highlight w:val="none"/>
              </w:rPr>
            </w:pPr>
          </w:p>
        </w:tc>
      </w:tr>
      <w:tr w14:paraId="5C20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61A9E5AB">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02FB9C1C">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6E224160">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A27727D">
            <w:pPr>
              <w:jc w:val="center"/>
              <w:rPr>
                <w:rFonts w:ascii="宋体" w:hAnsi="宋体"/>
                <w:color w:val="auto"/>
                <w:szCs w:val="21"/>
                <w:highlight w:val="none"/>
              </w:rPr>
            </w:pPr>
          </w:p>
        </w:tc>
      </w:tr>
      <w:tr w14:paraId="1578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42F73F6C">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7EF7E2E6">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7C98EAF5">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734B7AC">
            <w:pPr>
              <w:jc w:val="center"/>
              <w:rPr>
                <w:rFonts w:ascii="宋体" w:hAnsi="宋体"/>
                <w:color w:val="auto"/>
                <w:szCs w:val="21"/>
                <w:highlight w:val="none"/>
              </w:rPr>
            </w:pPr>
          </w:p>
        </w:tc>
      </w:tr>
      <w:tr w14:paraId="66FD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7CC84F63">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14DF5511">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21B3172F">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8C35E51">
            <w:pPr>
              <w:jc w:val="center"/>
              <w:rPr>
                <w:rFonts w:ascii="宋体" w:hAnsi="宋体"/>
                <w:color w:val="auto"/>
                <w:szCs w:val="21"/>
                <w:highlight w:val="none"/>
              </w:rPr>
            </w:pPr>
          </w:p>
        </w:tc>
      </w:tr>
      <w:tr w14:paraId="43FA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6F92830D">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4F75DB67">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0DB362C7">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DD0EEE6">
            <w:pPr>
              <w:jc w:val="center"/>
              <w:rPr>
                <w:rFonts w:ascii="宋体" w:hAnsi="宋体"/>
                <w:color w:val="auto"/>
                <w:szCs w:val="21"/>
                <w:highlight w:val="none"/>
              </w:rPr>
            </w:pPr>
          </w:p>
        </w:tc>
      </w:tr>
      <w:tr w14:paraId="2638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0FAE26D2">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2E8C76A2">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122DE3F6">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40A8821">
            <w:pPr>
              <w:jc w:val="center"/>
              <w:rPr>
                <w:rFonts w:ascii="宋体" w:hAnsi="宋体"/>
                <w:color w:val="auto"/>
                <w:szCs w:val="21"/>
                <w:highlight w:val="none"/>
              </w:rPr>
            </w:pPr>
          </w:p>
        </w:tc>
      </w:tr>
      <w:tr w14:paraId="2444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2E3B5B29">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154C8E12">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7B9B49B3">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D50C252">
            <w:pPr>
              <w:jc w:val="center"/>
              <w:rPr>
                <w:rFonts w:ascii="宋体" w:hAnsi="宋体"/>
                <w:color w:val="auto"/>
                <w:szCs w:val="21"/>
                <w:highlight w:val="none"/>
              </w:rPr>
            </w:pPr>
          </w:p>
        </w:tc>
      </w:tr>
      <w:tr w14:paraId="64D8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tcBorders>
              <w:top w:val="single" w:color="auto" w:sz="4" w:space="0"/>
              <w:left w:val="single" w:color="auto" w:sz="4" w:space="0"/>
              <w:bottom w:val="single" w:color="auto" w:sz="4" w:space="0"/>
              <w:right w:val="single" w:color="auto" w:sz="4" w:space="0"/>
            </w:tcBorders>
            <w:noWrap w:val="0"/>
            <w:vAlign w:val="center"/>
          </w:tcPr>
          <w:p w14:paraId="7C30B5D0">
            <w:pPr>
              <w:jc w:val="center"/>
              <w:rPr>
                <w:rFonts w:ascii="宋体" w:hAnsi="宋体"/>
                <w:color w:val="auto"/>
                <w:szCs w:val="21"/>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5925EF1A">
            <w:pPr>
              <w:jc w:val="center"/>
              <w:rPr>
                <w:rFonts w:ascii="宋体" w:hAnsi="宋体"/>
                <w:color w:val="auto"/>
                <w:szCs w:val="21"/>
                <w:highlight w:val="none"/>
              </w:rPr>
            </w:pPr>
          </w:p>
        </w:tc>
        <w:tc>
          <w:tcPr>
            <w:tcW w:w="2124" w:type="dxa"/>
            <w:tcBorders>
              <w:top w:val="single" w:color="auto" w:sz="4" w:space="0"/>
              <w:left w:val="single" w:color="auto" w:sz="4" w:space="0"/>
              <w:bottom w:val="single" w:color="auto" w:sz="4" w:space="0"/>
              <w:right w:val="single" w:color="auto" w:sz="4" w:space="0"/>
            </w:tcBorders>
            <w:noWrap w:val="0"/>
            <w:vAlign w:val="center"/>
          </w:tcPr>
          <w:p w14:paraId="10E31106">
            <w:pPr>
              <w:jc w:val="center"/>
              <w:rPr>
                <w:rFonts w:ascii="宋体" w:hAnsi="宋体"/>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77140C9">
            <w:pPr>
              <w:jc w:val="center"/>
              <w:rPr>
                <w:rFonts w:ascii="宋体" w:hAnsi="宋体"/>
                <w:color w:val="auto"/>
                <w:szCs w:val="21"/>
                <w:highlight w:val="none"/>
              </w:rPr>
            </w:pPr>
          </w:p>
        </w:tc>
      </w:tr>
    </w:tbl>
    <w:p w14:paraId="2F09CBFD">
      <w:pPr>
        <w:autoSpaceDE w:val="0"/>
        <w:autoSpaceDN w:val="0"/>
        <w:adjustRightInd w:val="0"/>
        <w:snapToGrid w:val="0"/>
        <w:spacing w:line="325" w:lineRule="exact"/>
        <w:ind w:left="945" w:hanging="945" w:hangingChars="450"/>
        <w:rPr>
          <w:rFonts w:ascii="宋体" w:hAnsi="宋体"/>
          <w:color w:val="auto"/>
          <w:highlight w:val="none"/>
        </w:rPr>
      </w:pPr>
      <w:bookmarkStart w:id="2464" w:name="_Toc28532427"/>
      <w:r>
        <w:rPr>
          <w:rFonts w:hint="eastAsia" w:ascii="宋体" w:hAnsi="宋体"/>
          <w:color w:val="auto"/>
          <w:highlight w:val="none"/>
        </w:rPr>
        <w:t>备注：1. 项目经理应附建造师资格证书、注册证书、安全生产考核合格证书</w:t>
      </w:r>
      <w:r>
        <w:rPr>
          <w:rFonts w:hint="eastAsia"/>
          <w:color w:val="auto"/>
          <w:highlight w:val="none"/>
        </w:rPr>
        <w:t>（</w:t>
      </w:r>
      <w:r>
        <w:rPr>
          <w:color w:val="auto"/>
          <w:highlight w:val="none"/>
        </w:rPr>
        <w:t>B</w:t>
      </w:r>
      <w:r>
        <w:rPr>
          <w:rFonts w:hint="eastAsia"/>
          <w:color w:val="auto"/>
          <w:highlight w:val="none"/>
        </w:rPr>
        <w:t>证）</w:t>
      </w:r>
      <w:r>
        <w:rPr>
          <w:rFonts w:hint="eastAsia" w:ascii="宋体" w:hAnsi="宋体"/>
          <w:color w:val="auto"/>
          <w:highlight w:val="none"/>
        </w:rPr>
        <w:t>、职称证书、学历证书扫描件。</w:t>
      </w:r>
    </w:p>
    <w:p w14:paraId="24BF868C">
      <w:pPr>
        <w:autoSpaceDE w:val="0"/>
        <w:autoSpaceDN w:val="0"/>
        <w:adjustRightInd w:val="0"/>
        <w:snapToGrid w:val="0"/>
        <w:spacing w:line="325" w:lineRule="exact"/>
        <w:ind w:left="945" w:leftChars="300" w:hanging="315" w:hangingChars="150"/>
        <w:rPr>
          <w:rFonts w:hint="eastAsia" w:ascii="Times New Roman" w:hAnsi="Times New Roman" w:cs="宋体"/>
          <w:color w:val="auto"/>
          <w:kern w:val="0"/>
          <w:szCs w:val="21"/>
          <w:highlight w:val="none"/>
        </w:rPr>
      </w:pPr>
      <w:r>
        <w:rPr>
          <w:rFonts w:hint="eastAsia" w:ascii="宋体" w:hAnsi="宋体"/>
          <w:color w:val="auto"/>
          <w:highlight w:val="none"/>
        </w:rPr>
        <w:t>2. 类似项目限于以项目经理身份参与的项目。须附</w:t>
      </w:r>
      <w:r>
        <w:rPr>
          <w:rFonts w:hint="eastAsia" w:ascii="宋体" w:hAnsi="宋体"/>
          <w:color w:val="auto"/>
          <w:szCs w:val="21"/>
          <w:highlight w:val="none"/>
        </w:rPr>
        <w:t>中标通知书（如有）、合同协议书、</w:t>
      </w:r>
      <w:r>
        <w:rPr>
          <w:rFonts w:hint="eastAsia"/>
          <w:color w:val="auto"/>
          <w:highlight w:val="none"/>
        </w:rPr>
        <w:t>施工许可证（如有）、</w:t>
      </w:r>
      <w:r>
        <w:rPr>
          <w:rFonts w:hint="eastAsia" w:ascii="宋体" w:hAnsi="宋体"/>
          <w:color w:val="auto"/>
          <w:szCs w:val="21"/>
          <w:highlight w:val="none"/>
        </w:rPr>
        <w:t>工程接收证书或工程竣工验收证书（工程竣工验收备案证）</w:t>
      </w:r>
      <w:r>
        <w:rPr>
          <w:rFonts w:hint="eastAsia" w:cs="宋体"/>
          <w:color w:val="auto"/>
          <w:kern w:val="0"/>
          <w:szCs w:val="21"/>
          <w:highlight w:val="none"/>
        </w:rPr>
        <w:t>的扫描件，上述证明材料不足以反映“类似项目”</w:t>
      </w:r>
      <w:r>
        <w:rPr>
          <w:color w:val="auto"/>
          <w:highlight w:val="none"/>
        </w:rPr>
        <w:t xml:space="preserve"> </w:t>
      </w:r>
      <w:r>
        <w:rPr>
          <w:rFonts w:hint="eastAsia"/>
          <w:color w:val="auto"/>
          <w:highlight w:val="none"/>
        </w:rPr>
        <w:t>的工程特征指标时，还应当提供</w:t>
      </w:r>
      <w:r>
        <w:rPr>
          <w:rFonts w:hint="eastAsia" w:cs="宋体"/>
          <w:color w:val="auto"/>
          <w:kern w:val="0"/>
          <w:szCs w:val="21"/>
          <w:highlight w:val="none"/>
        </w:rPr>
        <w:t>其他技术资料的扫描件予以证明。招标发包的工程应附中标通知书，工程总承包发包、施工总承包发包、独立发包的施工专业承包应附</w:t>
      </w:r>
      <w:r>
        <w:rPr>
          <w:rFonts w:hint="eastAsia"/>
          <w:color w:val="auto"/>
          <w:highlight w:val="none"/>
        </w:rPr>
        <w:t>施工许可证</w:t>
      </w:r>
      <w:r>
        <w:rPr>
          <w:rFonts w:hint="eastAsia" w:cs="宋体"/>
          <w:color w:val="auto"/>
          <w:kern w:val="0"/>
          <w:szCs w:val="21"/>
          <w:highlight w:val="none"/>
        </w:rPr>
        <w:t>。</w:t>
      </w:r>
    </w:p>
    <w:p w14:paraId="3C77B7E0">
      <w:pPr>
        <w:rPr>
          <w:rFonts w:ascii="黑体" w:hAnsi="宋体" w:eastAsia="黑体"/>
          <w:color w:val="auto"/>
          <w:szCs w:val="21"/>
          <w:highlight w:val="none"/>
        </w:rPr>
      </w:pPr>
      <w:r>
        <w:rPr>
          <w:rFonts w:ascii="黑体" w:hAnsi="宋体" w:eastAsia="黑体"/>
          <w:color w:val="auto"/>
          <w:szCs w:val="21"/>
          <w:highlight w:val="none"/>
        </w:rPr>
        <w:br w:type="page"/>
      </w:r>
    </w:p>
    <w:p w14:paraId="3CBCC85B">
      <w:pPr>
        <w:pStyle w:val="33"/>
        <w:jc w:val="center"/>
        <w:rPr>
          <w:rFonts w:hint="eastAsia" w:ascii="Times New Roman" w:hAnsi="Times New Roman"/>
          <w:color w:val="auto"/>
          <w:sz w:val="28"/>
          <w:szCs w:val="28"/>
          <w:highlight w:val="none"/>
        </w:rPr>
      </w:pPr>
      <w:bookmarkStart w:id="2465" w:name="_Toc3730"/>
      <w:r>
        <w:rPr>
          <w:rFonts w:hint="eastAsia"/>
          <w:color w:val="auto"/>
          <w:sz w:val="28"/>
          <w:szCs w:val="28"/>
          <w:highlight w:val="none"/>
        </w:rPr>
        <w:t>（三）承诺书</w:t>
      </w:r>
      <w:bookmarkEnd w:id="2464"/>
      <w:bookmarkEnd w:id="2465"/>
    </w:p>
    <w:p w14:paraId="78F9C63F">
      <w:pPr>
        <w:rPr>
          <w:rFonts w:ascii="宋体" w:hAnsi="宋体"/>
          <w:color w:val="auto"/>
          <w:szCs w:val="24"/>
          <w:highlight w:val="none"/>
          <w:u w:val="single"/>
        </w:rPr>
      </w:pPr>
    </w:p>
    <w:p w14:paraId="45EB2D40">
      <w:pPr>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（招标人名称）：</w:t>
      </w:r>
    </w:p>
    <w:p w14:paraId="2A50400C">
      <w:pPr>
        <w:spacing w:line="440" w:lineRule="exact"/>
        <w:ind w:firstLine="420" w:firstLineChars="200"/>
        <w:rPr>
          <w:rFonts w:hint="eastAsia" w:ascii="Times New Roman" w:hAnsi="Times New Roman"/>
          <w:color w:val="auto"/>
          <w:szCs w:val="21"/>
          <w:highlight w:val="none"/>
        </w:rPr>
      </w:pPr>
      <w:r>
        <w:rPr>
          <w:rFonts w:hint="eastAsia" w:ascii="宋体" w:hAnsi="宋体"/>
          <w:color w:val="auto"/>
          <w:szCs w:val="21"/>
          <w:highlight w:val="none"/>
        </w:rPr>
        <w:t>我方在此声明，我方拟派往</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color w:val="auto"/>
          <w:highlight w:val="none"/>
        </w:rPr>
        <w:t>（标段名称）</w:t>
      </w:r>
      <w:r>
        <w:rPr>
          <w:rFonts w:hint="eastAsia" w:ascii="宋体" w:hAnsi="宋体"/>
          <w:color w:val="auto"/>
          <w:szCs w:val="21"/>
          <w:highlight w:val="none"/>
        </w:rPr>
        <w:t>（以下简称“本工程”）的项目经理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（项目经理姓名） 现阶段（投标截止时间之前）没有担</w:t>
      </w:r>
      <w:r>
        <w:rPr>
          <w:rFonts w:hint="eastAsia"/>
          <w:color w:val="auto"/>
          <w:szCs w:val="21"/>
          <w:highlight w:val="none"/>
        </w:rPr>
        <w:t>其他</w:t>
      </w:r>
      <w:r>
        <w:rPr>
          <w:rFonts w:hint="eastAsia" w:ascii="宋体" w:hAnsi="宋体"/>
          <w:color w:val="auto"/>
          <w:szCs w:val="21"/>
          <w:highlight w:val="none"/>
        </w:rPr>
        <w:t>在施建设工程项目的项目经理。</w:t>
      </w:r>
    </w:p>
    <w:p w14:paraId="1C54D0DF">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根据《注册建造师执业管理办法（试行）》第九条规定“注册建造师不得同时担任两个及以上建设工程施工项目负责人”， 第十条规定“注册建造师担任施工项目负责人期间原则上不得更换”。我方拟派项目经理的能够参加本工程的投标是基于以下理由：</w:t>
      </w:r>
    </w:p>
    <w:p w14:paraId="700522EB">
      <w:pPr>
        <w:spacing w:line="440" w:lineRule="exact"/>
        <w:ind w:firstLine="525" w:firstLineChars="250"/>
        <w:rPr>
          <w:rFonts w:hint="eastAsia" w:ascii="宋体" w:hAnsi="宋体"/>
          <w:color w:val="auto"/>
          <w:szCs w:val="21"/>
          <w:highlight w:val="none"/>
        </w:rPr>
      </w:pPr>
      <w:r>
        <w:rPr>
          <w:rFonts w:hint="eastAsia"/>
          <w:color w:val="auto"/>
          <w:szCs w:val="21"/>
          <w:highlight w:val="none"/>
        </w:rPr>
        <w:t>□</w:t>
      </w:r>
      <w:r>
        <w:rPr>
          <w:color w:val="auto"/>
          <w:szCs w:val="21"/>
          <w:highlight w:val="none"/>
        </w:rPr>
        <w:t xml:space="preserve">  </w:t>
      </w:r>
      <w:r>
        <w:rPr>
          <w:rFonts w:hint="eastAsia" w:ascii="宋体" w:hAnsi="宋体"/>
          <w:color w:val="auto"/>
          <w:szCs w:val="21"/>
          <w:highlight w:val="none"/>
        </w:rPr>
        <w:t>拟派项目经理存在《注册建造师执业管理办法（试行）》第九条规定的下列情形：</w:t>
      </w:r>
    </w:p>
    <w:p w14:paraId="025BBD5F">
      <w:pPr>
        <w:spacing w:line="44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同一工程相邻分段发包或分期施工的;</w:t>
      </w:r>
    </w:p>
    <w:p w14:paraId="292EBA2D">
      <w:pPr>
        <w:spacing w:line="44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合同约定的工程验收合格的；</w:t>
      </w:r>
    </w:p>
    <w:p w14:paraId="2B4D4248">
      <w:pPr>
        <w:spacing w:line="44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因非承包方原因致使工程项目停工超过120天（含），经建设单位同意的。</w:t>
      </w:r>
    </w:p>
    <w:p w14:paraId="030391B2">
      <w:pPr>
        <w:spacing w:line="440" w:lineRule="exact"/>
        <w:ind w:firstLine="525" w:firstLineChars="250"/>
        <w:rPr>
          <w:rFonts w:hint="eastAsia" w:ascii="宋体" w:hAnsi="宋体"/>
          <w:color w:val="auto"/>
          <w:szCs w:val="21"/>
          <w:highlight w:val="none"/>
        </w:rPr>
      </w:pPr>
      <w:r>
        <w:rPr>
          <w:rFonts w:hint="eastAsia"/>
          <w:color w:val="auto"/>
          <w:szCs w:val="21"/>
          <w:highlight w:val="none"/>
        </w:rPr>
        <w:t>□</w:t>
      </w:r>
      <w:r>
        <w:rPr>
          <w:color w:val="auto"/>
          <w:szCs w:val="21"/>
          <w:highlight w:val="none"/>
        </w:rPr>
        <w:t xml:space="preserve">  </w:t>
      </w:r>
      <w:r>
        <w:rPr>
          <w:rFonts w:hint="eastAsia" w:ascii="宋体" w:hAnsi="宋体"/>
          <w:color w:val="auto"/>
          <w:szCs w:val="21"/>
          <w:highlight w:val="none"/>
        </w:rPr>
        <w:t>拟派项目经理担任其他施工项目负责人期间因下列原因进行了更换，并办理书面交接手续：</w:t>
      </w:r>
    </w:p>
    <w:p w14:paraId="423CA725">
      <w:pPr>
        <w:spacing w:line="44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发包方与注册建造师受聘企业已解除承包合同的；</w:t>
      </w:r>
    </w:p>
    <w:p w14:paraId="6A487F50">
      <w:pPr>
        <w:spacing w:line="44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发包方同意更换项目负责人的；</w:t>
      </w:r>
    </w:p>
    <w:p w14:paraId="106C08BB">
      <w:pPr>
        <w:spacing w:line="44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因不可抗力等特殊情况必须更换项目负责人的。</w:t>
      </w:r>
    </w:p>
    <w:p w14:paraId="500CE1C5">
      <w:pPr>
        <w:spacing w:line="440" w:lineRule="exact"/>
        <w:ind w:firstLine="525" w:firstLineChars="250"/>
        <w:rPr>
          <w:rFonts w:hint="eastAsia" w:ascii="宋体" w:hAnsi="宋体"/>
          <w:color w:val="auto"/>
          <w:szCs w:val="21"/>
          <w:highlight w:val="none"/>
        </w:rPr>
      </w:pPr>
      <w:r>
        <w:rPr>
          <w:rFonts w:hint="eastAsia"/>
          <w:color w:val="auto"/>
          <w:szCs w:val="21"/>
          <w:highlight w:val="none"/>
        </w:rPr>
        <w:t>□</w:t>
      </w:r>
      <w:r>
        <w:rPr>
          <w:color w:val="auto"/>
          <w:szCs w:val="21"/>
          <w:highlight w:val="none"/>
        </w:rPr>
        <w:t xml:space="preserve"> </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w:t>
      </w:r>
    </w:p>
    <w:p w14:paraId="32FB8C12">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我方保证上述信息的真实性和准确性，并承担相应的法律责任。</w:t>
      </w:r>
    </w:p>
    <w:p w14:paraId="6FA7772E">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特此承诺</w:t>
      </w:r>
    </w:p>
    <w:p w14:paraId="7595A02E">
      <w:pPr>
        <w:spacing w:line="440" w:lineRule="exact"/>
        <w:ind w:firstLine="420" w:firstLineChars="200"/>
        <w:rPr>
          <w:rFonts w:hint="eastAsia" w:ascii="宋体" w:hAnsi="宋体"/>
          <w:color w:val="auto"/>
          <w:szCs w:val="21"/>
          <w:highlight w:val="none"/>
        </w:rPr>
      </w:pPr>
    </w:p>
    <w:p w14:paraId="5CA303BF">
      <w:pPr>
        <w:spacing w:line="440" w:lineRule="exact"/>
        <w:jc w:val="right"/>
        <w:rPr>
          <w:rFonts w:hint="eastAsia"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1FC4AECE">
      <w:pPr>
        <w:wordWrap w:val="0"/>
        <w:spacing w:line="440" w:lineRule="exact"/>
        <w:jc w:val="right"/>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3F83100F">
      <w:pPr>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0CF6F09">
      <w:pPr>
        <w:jc w:val="right"/>
        <w:rPr>
          <w:rFonts w:hint="eastAsia" w:ascii="宋体" w:hAnsi="宋体"/>
          <w:color w:val="auto"/>
          <w:szCs w:val="21"/>
          <w:highlight w:val="none"/>
        </w:rPr>
      </w:pPr>
    </w:p>
    <w:p w14:paraId="4144CF08">
      <w:pPr>
        <w:jc w:val="right"/>
        <w:rPr>
          <w:rFonts w:hint="eastAsia" w:ascii="宋体" w:hAnsi="宋体"/>
          <w:color w:val="auto"/>
          <w:szCs w:val="21"/>
          <w:highlight w:val="none"/>
        </w:rPr>
      </w:pPr>
    </w:p>
    <w:p w14:paraId="6B28964D">
      <w:pPr>
        <w:rPr>
          <w:rFonts w:hint="eastAsia" w:ascii="宋体" w:hAnsi="宋体"/>
          <w:color w:val="auto"/>
          <w:szCs w:val="21"/>
          <w:highlight w:val="none"/>
        </w:rPr>
      </w:pPr>
    </w:p>
    <w:p w14:paraId="6AA741B6">
      <w:pPr>
        <w:rPr>
          <w:rFonts w:hint="eastAsia" w:ascii="宋体" w:hAnsi="宋体"/>
          <w:color w:val="auto"/>
          <w:szCs w:val="21"/>
          <w:highlight w:val="none"/>
        </w:rPr>
      </w:pPr>
    </w:p>
    <w:p w14:paraId="361D15DF">
      <w:pPr>
        <w:autoSpaceDE w:val="0"/>
        <w:autoSpaceDN w:val="0"/>
        <w:adjustRightInd w:val="0"/>
        <w:snapToGrid w:val="0"/>
        <w:spacing w:line="325" w:lineRule="exact"/>
        <w:ind w:left="964" w:leftChars="9" w:hanging="945" w:hangingChars="450"/>
        <w:rPr>
          <w:rFonts w:hint="eastAsia" w:ascii="宋体" w:hAnsi="宋体"/>
          <w:color w:val="auto"/>
          <w:szCs w:val="24"/>
          <w:highlight w:val="none"/>
        </w:rPr>
      </w:pPr>
      <w:r>
        <w:rPr>
          <w:rFonts w:hint="eastAsia" w:ascii="宋体" w:hAnsi="宋体"/>
          <w:color w:val="auto"/>
          <w:highlight w:val="none"/>
        </w:rPr>
        <w:t>备注：1. 投标人应当根据“承诺书”的格式，如实说明拟派项目经理能够参加本工程投标的理由，并附相关证明材料的扫描件。</w:t>
      </w:r>
    </w:p>
    <w:p w14:paraId="0C87D249">
      <w:pPr>
        <w:autoSpaceDE w:val="0"/>
        <w:autoSpaceDN w:val="0"/>
        <w:adjustRightInd w:val="0"/>
        <w:snapToGrid w:val="0"/>
        <w:spacing w:line="325" w:lineRule="exact"/>
        <w:ind w:left="945" w:leftChars="300" w:hanging="315" w:hangingChars="150"/>
        <w:rPr>
          <w:rFonts w:hint="eastAsia" w:ascii="宋体" w:hAnsi="宋体"/>
          <w:color w:val="auto"/>
          <w:highlight w:val="none"/>
        </w:rPr>
      </w:pPr>
      <w:r>
        <w:rPr>
          <w:rFonts w:hint="eastAsia" w:ascii="宋体" w:hAnsi="宋体"/>
          <w:color w:val="auto"/>
          <w:highlight w:val="none"/>
        </w:rPr>
        <w:t>2. 投标人“承诺书”的实质内容应当与格式规定的实质内容一致。</w:t>
      </w:r>
    </w:p>
    <w:p w14:paraId="5A01B629">
      <w:pPr>
        <w:jc w:val="center"/>
        <w:rPr>
          <w:rFonts w:hint="eastAsia" w:ascii="宋体" w:hAnsi="宋体"/>
          <w:color w:val="auto"/>
          <w:szCs w:val="21"/>
          <w:highlight w:val="none"/>
        </w:rPr>
      </w:pPr>
    </w:p>
    <w:p w14:paraId="20540540">
      <w:pPr>
        <w:jc w:val="center"/>
        <w:rPr>
          <w:rFonts w:hint="eastAsia" w:ascii="宋体" w:hAnsi="宋体"/>
          <w:color w:val="auto"/>
          <w:szCs w:val="21"/>
          <w:highlight w:val="none"/>
        </w:rPr>
      </w:pPr>
    </w:p>
    <w:p w14:paraId="3E53D81F">
      <w:pPr>
        <w:jc w:val="center"/>
        <w:rPr>
          <w:rFonts w:hint="eastAsia" w:ascii="宋体" w:hAnsi="宋体"/>
          <w:color w:val="auto"/>
          <w:szCs w:val="21"/>
          <w:highlight w:val="none"/>
        </w:rPr>
      </w:pPr>
    </w:p>
    <w:p w14:paraId="2ECED1BF">
      <w:pPr>
        <w:pStyle w:val="33"/>
        <w:jc w:val="center"/>
        <w:rPr>
          <w:rFonts w:hint="eastAsia" w:ascii="Times New Roman" w:hAnsi="Times New Roman"/>
          <w:color w:val="auto"/>
          <w:sz w:val="28"/>
          <w:szCs w:val="28"/>
          <w:highlight w:val="none"/>
        </w:rPr>
      </w:pPr>
      <w:bookmarkStart w:id="2466" w:name="_Toc28532428"/>
      <w:bookmarkStart w:id="2467" w:name="_Toc10179"/>
      <w:r>
        <w:rPr>
          <w:rFonts w:hint="eastAsia"/>
          <w:color w:val="auto"/>
          <w:sz w:val="28"/>
          <w:szCs w:val="28"/>
          <w:highlight w:val="none"/>
        </w:rPr>
        <w:t>（四）其他主要项目管理人员简历表</w:t>
      </w:r>
      <w:bookmarkEnd w:id="2466"/>
      <w:bookmarkEnd w:id="2467"/>
    </w:p>
    <w:p w14:paraId="5A5583D9">
      <w:pPr>
        <w:ind w:firstLine="1050" w:firstLineChars="500"/>
        <w:rPr>
          <w:rFonts w:ascii="宋体" w:hAnsi="宋体"/>
          <w:color w:val="auto"/>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2880"/>
        <w:gridCol w:w="1800"/>
        <w:gridCol w:w="2880"/>
      </w:tblGrid>
      <w:tr w14:paraId="4728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00456B90">
            <w:pPr>
              <w:spacing w:line="640" w:lineRule="exact"/>
              <w:rPr>
                <w:rFonts w:ascii="宋体" w:hAnsi="宋体"/>
                <w:color w:val="auto"/>
                <w:szCs w:val="21"/>
                <w:highlight w:val="none"/>
              </w:rPr>
            </w:pPr>
            <w:r>
              <w:rPr>
                <w:rFonts w:hint="eastAsia" w:ascii="宋体" w:hAnsi="宋体"/>
                <w:color w:val="auto"/>
                <w:szCs w:val="21"/>
                <w:highlight w:val="none"/>
              </w:rPr>
              <w:t>岗位名称</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1C4AAEA2">
            <w:pPr>
              <w:jc w:val="center"/>
              <w:rPr>
                <w:rFonts w:ascii="宋体" w:hAnsi="宋体"/>
                <w:color w:val="auto"/>
                <w:szCs w:val="21"/>
                <w:highlight w:val="none"/>
              </w:rPr>
            </w:pPr>
          </w:p>
        </w:tc>
      </w:tr>
      <w:tr w14:paraId="6098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0E93CC67">
            <w:pPr>
              <w:rPr>
                <w:rFonts w:ascii="宋体" w:hAnsi="宋体"/>
                <w:color w:val="auto"/>
                <w:szCs w:val="21"/>
                <w:highlight w:val="none"/>
              </w:rPr>
            </w:pPr>
            <w:r>
              <w:rPr>
                <w:rFonts w:hint="eastAsia" w:ascii="宋体" w:hAnsi="宋体"/>
                <w:color w:val="auto"/>
                <w:szCs w:val="21"/>
                <w:highlight w:val="none"/>
              </w:rPr>
              <w:t>姓    名</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1C6E94D">
            <w:pPr>
              <w:jc w:val="center"/>
              <w:rPr>
                <w:rFonts w:ascii="宋体" w:hAnsi="宋体"/>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C760DED">
            <w:pPr>
              <w:rPr>
                <w:rFonts w:ascii="宋体" w:hAnsi="宋体"/>
                <w:color w:val="auto"/>
                <w:szCs w:val="21"/>
                <w:highlight w:val="none"/>
              </w:rPr>
            </w:pPr>
            <w:r>
              <w:rPr>
                <w:rFonts w:hint="eastAsia" w:ascii="宋体" w:hAnsi="宋体"/>
                <w:color w:val="auto"/>
                <w:szCs w:val="21"/>
                <w:highlight w:val="none"/>
              </w:rPr>
              <w:t>年    龄</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19E82E98">
            <w:pPr>
              <w:jc w:val="center"/>
              <w:rPr>
                <w:rFonts w:ascii="宋体" w:hAnsi="宋体"/>
                <w:color w:val="auto"/>
                <w:szCs w:val="21"/>
                <w:highlight w:val="none"/>
              </w:rPr>
            </w:pPr>
          </w:p>
        </w:tc>
      </w:tr>
      <w:tr w14:paraId="7765C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4B7B6537">
            <w:pPr>
              <w:rPr>
                <w:rFonts w:ascii="宋体" w:hAnsi="宋体"/>
                <w:color w:val="auto"/>
                <w:szCs w:val="21"/>
                <w:highlight w:val="none"/>
              </w:rPr>
            </w:pPr>
            <w:r>
              <w:rPr>
                <w:rFonts w:hint="eastAsia" w:ascii="宋体" w:hAnsi="宋体"/>
                <w:color w:val="auto"/>
                <w:szCs w:val="21"/>
                <w:highlight w:val="none"/>
              </w:rPr>
              <w:t>性    别</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BE6766A">
            <w:pPr>
              <w:jc w:val="center"/>
              <w:rPr>
                <w:rFonts w:ascii="宋体" w:hAnsi="宋体"/>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B88953B">
            <w:pPr>
              <w:rPr>
                <w:rFonts w:ascii="宋体" w:hAnsi="宋体"/>
                <w:color w:val="auto"/>
                <w:szCs w:val="21"/>
                <w:highlight w:val="none"/>
              </w:rPr>
            </w:pPr>
            <w:r>
              <w:rPr>
                <w:rFonts w:hint="eastAsia" w:ascii="宋体" w:hAnsi="宋体"/>
                <w:color w:val="auto"/>
                <w:szCs w:val="21"/>
                <w:highlight w:val="none"/>
              </w:rPr>
              <w:t>毕业学校</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CD39922">
            <w:pPr>
              <w:jc w:val="center"/>
              <w:rPr>
                <w:rFonts w:ascii="宋体" w:hAnsi="宋体"/>
                <w:color w:val="auto"/>
                <w:szCs w:val="21"/>
                <w:highlight w:val="none"/>
              </w:rPr>
            </w:pPr>
          </w:p>
        </w:tc>
      </w:tr>
      <w:tr w14:paraId="52F1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15FC716D">
            <w:pPr>
              <w:rPr>
                <w:rFonts w:ascii="宋体" w:hAnsi="宋体"/>
                <w:color w:val="auto"/>
                <w:szCs w:val="21"/>
                <w:highlight w:val="none"/>
              </w:rPr>
            </w:pPr>
            <w:r>
              <w:rPr>
                <w:rFonts w:hint="eastAsia" w:ascii="宋体" w:hAnsi="宋体"/>
                <w:color w:val="auto"/>
                <w:szCs w:val="21"/>
                <w:highlight w:val="none"/>
              </w:rPr>
              <w:t>学历和专业</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6F6B7C10">
            <w:pPr>
              <w:jc w:val="center"/>
              <w:rPr>
                <w:rFonts w:ascii="宋体" w:hAnsi="宋体"/>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0AFCDDC">
            <w:pPr>
              <w:rPr>
                <w:rFonts w:ascii="宋体" w:hAnsi="宋体"/>
                <w:color w:val="auto"/>
                <w:szCs w:val="21"/>
                <w:highlight w:val="none"/>
              </w:rPr>
            </w:pPr>
            <w:r>
              <w:rPr>
                <w:rFonts w:hint="eastAsia" w:ascii="宋体" w:hAnsi="宋体"/>
                <w:color w:val="auto"/>
                <w:szCs w:val="21"/>
                <w:highlight w:val="none"/>
              </w:rPr>
              <w:t>毕业时间</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67D35567">
            <w:pPr>
              <w:jc w:val="center"/>
              <w:rPr>
                <w:rFonts w:ascii="宋体" w:hAnsi="宋体"/>
                <w:color w:val="auto"/>
                <w:szCs w:val="21"/>
                <w:highlight w:val="none"/>
              </w:rPr>
            </w:pPr>
          </w:p>
        </w:tc>
      </w:tr>
      <w:tr w14:paraId="094AE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127B9C5A">
            <w:pPr>
              <w:rPr>
                <w:rFonts w:ascii="宋体" w:hAnsi="宋体"/>
                <w:color w:val="auto"/>
                <w:szCs w:val="21"/>
                <w:highlight w:val="none"/>
              </w:rPr>
            </w:pPr>
            <w:r>
              <w:rPr>
                <w:rFonts w:hint="eastAsia" w:ascii="宋体" w:hAnsi="宋体"/>
                <w:color w:val="auto"/>
                <w:szCs w:val="21"/>
                <w:highlight w:val="none"/>
              </w:rPr>
              <w:t>执业/岗位资格</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5B11A0C8">
            <w:pPr>
              <w:jc w:val="center"/>
              <w:rPr>
                <w:rFonts w:ascii="宋体" w:hAnsi="宋体"/>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5475AEF7">
            <w:pPr>
              <w:rPr>
                <w:rFonts w:ascii="宋体" w:hAnsi="宋体"/>
                <w:color w:val="auto"/>
                <w:szCs w:val="21"/>
                <w:highlight w:val="none"/>
              </w:rPr>
            </w:pPr>
            <w:r>
              <w:rPr>
                <w:rFonts w:hint="eastAsia" w:ascii="宋体" w:hAnsi="宋体"/>
                <w:color w:val="auto"/>
                <w:szCs w:val="21"/>
                <w:highlight w:val="none"/>
              </w:rPr>
              <w:t>专业职称</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761ABB9">
            <w:pPr>
              <w:jc w:val="center"/>
              <w:rPr>
                <w:rFonts w:ascii="宋体" w:hAnsi="宋体"/>
                <w:color w:val="auto"/>
                <w:szCs w:val="21"/>
                <w:highlight w:val="none"/>
              </w:rPr>
            </w:pPr>
          </w:p>
        </w:tc>
      </w:tr>
      <w:tr w14:paraId="6165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tcBorders>
              <w:top w:val="single" w:color="auto" w:sz="4" w:space="0"/>
              <w:left w:val="single" w:color="auto" w:sz="4" w:space="0"/>
              <w:bottom w:val="single" w:color="auto" w:sz="4" w:space="0"/>
              <w:right w:val="single" w:color="auto" w:sz="4" w:space="0"/>
            </w:tcBorders>
            <w:noWrap w:val="0"/>
            <w:vAlign w:val="center"/>
          </w:tcPr>
          <w:p w14:paraId="198EF2BB">
            <w:pPr>
              <w:rPr>
                <w:rFonts w:ascii="宋体" w:hAnsi="宋体"/>
                <w:color w:val="auto"/>
                <w:szCs w:val="21"/>
                <w:highlight w:val="none"/>
              </w:rPr>
            </w:pPr>
            <w:r>
              <w:rPr>
                <w:rFonts w:hint="eastAsia" w:ascii="宋体" w:hAnsi="宋体"/>
                <w:color w:val="auto"/>
                <w:szCs w:val="21"/>
                <w:highlight w:val="none"/>
              </w:rPr>
              <w:t>执业/岗位</w:t>
            </w:r>
          </w:p>
          <w:p w14:paraId="49F88ACD">
            <w:pPr>
              <w:rPr>
                <w:rFonts w:ascii="宋体" w:hAnsi="宋体"/>
                <w:color w:val="auto"/>
                <w:szCs w:val="21"/>
                <w:highlight w:val="none"/>
              </w:rPr>
            </w:pPr>
            <w:r>
              <w:rPr>
                <w:rFonts w:hint="eastAsia" w:ascii="宋体" w:hAnsi="宋体"/>
                <w:color w:val="auto"/>
                <w:szCs w:val="21"/>
                <w:highlight w:val="none"/>
              </w:rPr>
              <w:t>证书编号</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5300E0B9">
            <w:pPr>
              <w:jc w:val="center"/>
              <w:rPr>
                <w:rFonts w:ascii="宋体" w:hAnsi="宋体"/>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5270CFEB">
            <w:pPr>
              <w:rPr>
                <w:rFonts w:ascii="宋体" w:hAnsi="宋体"/>
                <w:color w:val="auto"/>
                <w:szCs w:val="21"/>
                <w:highlight w:val="none"/>
              </w:rPr>
            </w:pPr>
            <w:r>
              <w:rPr>
                <w:rFonts w:hint="eastAsia" w:ascii="宋体" w:hAnsi="宋体"/>
                <w:color w:val="auto"/>
                <w:szCs w:val="21"/>
                <w:highlight w:val="none"/>
              </w:rPr>
              <w:t>专业工作年限</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4E0FA205">
            <w:pPr>
              <w:jc w:val="center"/>
              <w:rPr>
                <w:rFonts w:ascii="宋体" w:hAnsi="宋体"/>
                <w:color w:val="auto"/>
                <w:szCs w:val="21"/>
                <w:highlight w:val="none"/>
              </w:rPr>
            </w:pPr>
          </w:p>
          <w:p w14:paraId="73BB08D6">
            <w:pPr>
              <w:rPr>
                <w:rFonts w:ascii="宋体" w:hAnsi="宋体"/>
                <w:color w:val="auto"/>
                <w:szCs w:val="21"/>
                <w:highlight w:val="none"/>
              </w:rPr>
            </w:pPr>
          </w:p>
        </w:tc>
      </w:tr>
      <w:tr w14:paraId="4812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trPr>
        <w:tc>
          <w:tcPr>
            <w:tcW w:w="1368" w:type="dxa"/>
            <w:tcBorders>
              <w:top w:val="single" w:color="auto" w:sz="4" w:space="0"/>
              <w:left w:val="single" w:color="auto" w:sz="4" w:space="0"/>
              <w:bottom w:val="single" w:color="auto" w:sz="4" w:space="0"/>
              <w:right w:val="single" w:color="auto" w:sz="4" w:space="0"/>
            </w:tcBorders>
            <w:noWrap w:val="0"/>
            <w:vAlign w:val="top"/>
          </w:tcPr>
          <w:p w14:paraId="2C7C63DB">
            <w:pPr>
              <w:jc w:val="left"/>
              <w:rPr>
                <w:rFonts w:ascii="宋体" w:hAnsi="宋体"/>
                <w:color w:val="auto"/>
                <w:szCs w:val="21"/>
                <w:highlight w:val="none"/>
              </w:rPr>
            </w:pPr>
          </w:p>
          <w:p w14:paraId="1E7704CA">
            <w:pPr>
              <w:jc w:val="left"/>
              <w:rPr>
                <w:rFonts w:hint="eastAsia" w:ascii="宋体" w:hAnsi="宋体"/>
                <w:color w:val="auto"/>
                <w:szCs w:val="21"/>
                <w:highlight w:val="none"/>
              </w:rPr>
            </w:pPr>
          </w:p>
          <w:p w14:paraId="158CDBF4">
            <w:pPr>
              <w:jc w:val="left"/>
              <w:rPr>
                <w:rFonts w:hint="eastAsia" w:ascii="宋体" w:hAnsi="宋体"/>
                <w:color w:val="auto"/>
                <w:szCs w:val="21"/>
                <w:highlight w:val="none"/>
              </w:rPr>
            </w:pPr>
          </w:p>
          <w:p w14:paraId="6B83156E">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主</w:t>
            </w:r>
          </w:p>
          <w:p w14:paraId="22ADE04A">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要</w:t>
            </w:r>
          </w:p>
          <w:p w14:paraId="0F098B71">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工</w:t>
            </w:r>
          </w:p>
          <w:p w14:paraId="5D72EA96">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作</w:t>
            </w:r>
          </w:p>
          <w:p w14:paraId="6028D738">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业</w:t>
            </w:r>
          </w:p>
          <w:p w14:paraId="6F443DD3">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绩</w:t>
            </w:r>
          </w:p>
          <w:p w14:paraId="77B832B6">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及</w:t>
            </w:r>
          </w:p>
          <w:p w14:paraId="6775EAA3">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担</w:t>
            </w:r>
          </w:p>
          <w:p w14:paraId="6DB5323B">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任</w:t>
            </w:r>
          </w:p>
          <w:p w14:paraId="085CB5EF">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的</w:t>
            </w:r>
          </w:p>
          <w:p w14:paraId="294F74D1">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主</w:t>
            </w:r>
          </w:p>
          <w:p w14:paraId="7A53EAD6">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要</w:t>
            </w:r>
          </w:p>
          <w:p w14:paraId="48D25D47">
            <w:pPr>
              <w:ind w:firstLine="210" w:firstLineChars="100"/>
              <w:jc w:val="left"/>
              <w:rPr>
                <w:rFonts w:hint="eastAsia" w:ascii="宋体" w:hAnsi="宋体"/>
                <w:color w:val="auto"/>
                <w:szCs w:val="21"/>
                <w:highlight w:val="none"/>
              </w:rPr>
            </w:pPr>
            <w:r>
              <w:rPr>
                <w:rFonts w:hint="eastAsia" w:ascii="宋体" w:hAnsi="宋体"/>
                <w:color w:val="auto"/>
                <w:szCs w:val="21"/>
                <w:highlight w:val="none"/>
              </w:rPr>
              <w:t>工</w:t>
            </w:r>
          </w:p>
          <w:p w14:paraId="422121FE">
            <w:pPr>
              <w:ind w:firstLine="210" w:firstLineChars="100"/>
              <w:jc w:val="left"/>
              <w:rPr>
                <w:rFonts w:ascii="宋体" w:hAnsi="宋体"/>
                <w:color w:val="auto"/>
                <w:szCs w:val="21"/>
                <w:highlight w:val="none"/>
              </w:rPr>
            </w:pPr>
            <w:r>
              <w:rPr>
                <w:rFonts w:hint="eastAsia" w:ascii="宋体" w:hAnsi="宋体"/>
                <w:color w:val="auto"/>
                <w:szCs w:val="21"/>
                <w:highlight w:val="none"/>
              </w:rPr>
              <w:t>作</w:t>
            </w:r>
          </w:p>
        </w:tc>
        <w:tc>
          <w:tcPr>
            <w:tcW w:w="7560" w:type="dxa"/>
            <w:gridSpan w:val="3"/>
            <w:tcBorders>
              <w:top w:val="single" w:color="auto" w:sz="4" w:space="0"/>
              <w:left w:val="single" w:color="auto" w:sz="4" w:space="0"/>
              <w:bottom w:val="single" w:color="auto" w:sz="4" w:space="0"/>
              <w:right w:val="single" w:color="auto" w:sz="4" w:space="0"/>
            </w:tcBorders>
            <w:noWrap w:val="0"/>
            <w:vAlign w:val="top"/>
          </w:tcPr>
          <w:p w14:paraId="0E884DFB">
            <w:pPr>
              <w:rPr>
                <w:rFonts w:ascii="宋体" w:hAnsi="宋体"/>
                <w:color w:val="auto"/>
                <w:szCs w:val="21"/>
                <w:highlight w:val="none"/>
              </w:rPr>
            </w:pPr>
          </w:p>
        </w:tc>
      </w:tr>
    </w:tbl>
    <w:p w14:paraId="7BB1A7F2">
      <w:pPr>
        <w:spacing w:line="440" w:lineRule="exact"/>
        <w:jc w:val="right"/>
        <w:rPr>
          <w:rFonts w:hint="eastAsia" w:ascii="宋体" w:hAnsi="宋体"/>
          <w:color w:val="auto"/>
          <w:szCs w:val="21"/>
          <w:highlight w:val="none"/>
        </w:rPr>
      </w:pPr>
    </w:p>
    <w:p w14:paraId="7D353A8A">
      <w:pPr>
        <w:ind w:left="630" w:hanging="630" w:hangingChars="300"/>
        <w:rPr>
          <w:rFonts w:hint="eastAsia" w:ascii="宋体" w:hAnsi="宋体"/>
          <w:color w:val="auto"/>
          <w:highlight w:val="none"/>
        </w:rPr>
      </w:pPr>
      <w:r>
        <w:rPr>
          <w:rFonts w:hint="eastAsia" w:ascii="宋体" w:hAnsi="宋体"/>
          <w:color w:val="auto"/>
          <w:szCs w:val="21"/>
          <w:highlight w:val="none"/>
        </w:rPr>
        <w:t>备注：其他主</w:t>
      </w:r>
      <w:r>
        <w:rPr>
          <w:rFonts w:hint="eastAsia" w:ascii="宋体" w:hAnsi="宋体"/>
          <w:color w:val="auto"/>
          <w:highlight w:val="none"/>
        </w:rPr>
        <w:t>要项目管理人员指项目副经理（如有）、项目技术负责人、施工管理、质量管理、安全管理及资格条件要求的其他岗位人员。其中项目副经理（如有）、项目技术负责人应附资格证书（如有）、注册证书（如有）、职称证书、学历证书的扫描件, 主要业绩须附合同协议书的扫描件；安全管理人员应附有效的安全生产考核合格证书（C证）的扫描件；施工管理、质量管理及资格条件要求的其他岗位人员应附岗位培训考核合格证书的扫描件。</w:t>
      </w:r>
    </w:p>
    <w:p w14:paraId="1682EA71">
      <w:pPr>
        <w:pStyle w:val="31"/>
        <w:pageBreakBefore/>
        <w:jc w:val="center"/>
        <w:rPr>
          <w:rFonts w:hint="eastAsia" w:ascii="黑体" w:hAnsi="宋体"/>
          <w:color w:val="auto"/>
          <w:szCs w:val="28"/>
          <w:highlight w:val="none"/>
        </w:rPr>
      </w:pPr>
      <w:bookmarkStart w:id="2468" w:name="_Toc28532430"/>
      <w:bookmarkStart w:id="2469" w:name="_Toc23397"/>
      <w:r>
        <w:rPr>
          <w:rFonts w:hint="eastAsia"/>
          <w:color w:val="auto"/>
          <w:highlight w:val="none"/>
        </w:rPr>
        <w:t>八、资格审查资料</w:t>
      </w:r>
      <w:bookmarkEnd w:id="2468"/>
      <w:bookmarkEnd w:id="2469"/>
    </w:p>
    <w:p w14:paraId="205572B8">
      <w:pPr>
        <w:pStyle w:val="33"/>
        <w:jc w:val="center"/>
        <w:rPr>
          <w:rFonts w:hint="eastAsia" w:ascii="Times New Roman" w:hAnsi="Times New Roman"/>
          <w:color w:val="auto"/>
          <w:szCs w:val="24"/>
          <w:highlight w:val="none"/>
        </w:rPr>
      </w:pPr>
      <w:bookmarkStart w:id="2470" w:name="_Toc28532431"/>
      <w:bookmarkStart w:id="2471" w:name="_Toc13522"/>
      <w:r>
        <w:rPr>
          <w:rFonts w:hint="eastAsia"/>
          <w:color w:val="auto"/>
          <w:szCs w:val="24"/>
          <w:highlight w:val="none"/>
        </w:rPr>
        <w:t>（一）投标人基本情况</w:t>
      </w:r>
      <w:bookmarkEnd w:id="2470"/>
      <w:bookmarkEnd w:id="2471"/>
    </w:p>
    <w:p w14:paraId="6265F007">
      <w:pPr>
        <w:jc w:val="center"/>
        <w:rPr>
          <w:b/>
          <w:bCs/>
          <w:color w:val="auto"/>
          <w:highlight w:val="none"/>
        </w:rPr>
      </w:pPr>
      <w:r>
        <w:rPr>
          <w:rFonts w:hint="eastAsia"/>
          <w:b/>
          <w:bCs/>
          <w:color w:val="auto"/>
          <w:highlight w:val="none"/>
        </w:rPr>
        <w:t>1-1投标人基本情况表</w:t>
      </w:r>
    </w:p>
    <w:tbl>
      <w:tblPr>
        <w:tblStyle w:val="15"/>
        <w:tblW w:w="93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292"/>
        <w:gridCol w:w="1129"/>
        <w:gridCol w:w="675"/>
        <w:gridCol w:w="817"/>
        <w:gridCol w:w="1711"/>
        <w:gridCol w:w="934"/>
        <w:gridCol w:w="1744"/>
      </w:tblGrid>
      <w:tr w14:paraId="40E39E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391"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29C14FF8">
            <w:pPr>
              <w:rPr>
                <w:color w:val="auto"/>
                <w:highlight w:val="none"/>
              </w:rPr>
            </w:pPr>
            <w:r>
              <w:rPr>
                <w:rFonts w:hint="eastAsia"/>
                <w:color w:val="auto"/>
                <w:highlight w:val="none"/>
              </w:rPr>
              <w:t xml:space="preserve">投标人名称 </w:t>
            </w:r>
          </w:p>
        </w:tc>
        <w:tc>
          <w:tcPr>
            <w:tcW w:w="7010" w:type="dxa"/>
            <w:gridSpan w:val="6"/>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7ADC0A65">
            <w:pPr>
              <w:rPr>
                <w:color w:val="auto"/>
                <w:highlight w:val="none"/>
              </w:rPr>
            </w:pPr>
          </w:p>
        </w:tc>
      </w:tr>
      <w:tr w14:paraId="30F882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391"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32965095">
            <w:pPr>
              <w:rPr>
                <w:color w:val="auto"/>
                <w:highlight w:val="none"/>
              </w:rPr>
            </w:pPr>
            <w:r>
              <w:rPr>
                <w:rFonts w:hint="eastAsia"/>
                <w:color w:val="auto"/>
                <w:highlight w:val="none"/>
              </w:rPr>
              <w:t xml:space="preserve">注册地址 </w:t>
            </w:r>
          </w:p>
        </w:tc>
        <w:tc>
          <w:tcPr>
            <w:tcW w:w="4332" w:type="dxa"/>
            <w:gridSpan w:val="4"/>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1838E431">
            <w:pPr>
              <w:rPr>
                <w:color w:val="auto"/>
                <w:highlight w:val="none"/>
              </w:rPr>
            </w:pPr>
          </w:p>
        </w:tc>
        <w:tc>
          <w:tcPr>
            <w:tcW w:w="93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F9F9139">
            <w:pPr>
              <w:rPr>
                <w:color w:val="auto"/>
                <w:highlight w:val="none"/>
              </w:rPr>
            </w:pPr>
            <w:r>
              <w:rPr>
                <w:rFonts w:hint="eastAsia"/>
                <w:color w:val="auto"/>
                <w:highlight w:val="none"/>
              </w:rPr>
              <w:t xml:space="preserve">邮政编码 </w:t>
            </w:r>
          </w:p>
        </w:tc>
        <w:tc>
          <w:tcPr>
            <w:tcW w:w="174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51BDE7A0">
            <w:pPr>
              <w:rPr>
                <w:color w:val="auto"/>
                <w:highlight w:val="none"/>
              </w:rPr>
            </w:pPr>
            <w:r>
              <w:rPr>
                <w:color w:val="auto"/>
                <w:highlight w:val="none"/>
              </w:rPr>
              <w:drawing>
                <wp:inline distT="0" distB="0" distL="114300" distR="114300">
                  <wp:extent cx="8890" cy="889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6E3017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565" w:hRule="atLeast"/>
          <w:jc w:val="center"/>
        </w:trPr>
        <w:tc>
          <w:tcPr>
            <w:tcW w:w="2292" w:type="dxa"/>
            <w:vMerge w:val="restart"/>
            <w:tcBorders>
              <w:top w:val="nil"/>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2D5918C">
            <w:pPr>
              <w:rPr>
                <w:color w:val="auto"/>
                <w:highlight w:val="none"/>
              </w:rPr>
            </w:pPr>
            <w:r>
              <w:rPr>
                <w:rFonts w:hint="eastAsia"/>
                <w:color w:val="auto"/>
                <w:highlight w:val="none"/>
              </w:rPr>
              <w:t xml:space="preserve">联系方式 </w:t>
            </w:r>
          </w:p>
        </w:tc>
        <w:tc>
          <w:tcPr>
            <w:tcW w:w="1129"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2F4CAE1B">
            <w:pPr>
              <w:rPr>
                <w:color w:val="auto"/>
                <w:highlight w:val="none"/>
              </w:rPr>
            </w:pPr>
            <w:r>
              <w:rPr>
                <w:rFonts w:hint="eastAsia"/>
                <w:color w:val="auto"/>
                <w:highlight w:val="none"/>
              </w:rPr>
              <w:t xml:space="preserve">联系人 </w:t>
            </w:r>
          </w:p>
        </w:tc>
        <w:tc>
          <w:tcPr>
            <w:tcW w:w="3203" w:type="dxa"/>
            <w:gridSpan w:val="3"/>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48EC4C1B">
            <w:pPr>
              <w:rPr>
                <w:color w:val="auto"/>
                <w:highlight w:val="none"/>
              </w:rPr>
            </w:pPr>
            <w:r>
              <w:rPr>
                <w:color w:val="auto"/>
                <w:highlight w:val="none"/>
              </w:rPr>
              <w:drawing>
                <wp:inline distT="0" distB="0" distL="114300" distR="114300">
                  <wp:extent cx="8890" cy="889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c>
          <w:tcPr>
            <w:tcW w:w="93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262A161A">
            <w:pPr>
              <w:rPr>
                <w:color w:val="auto"/>
                <w:highlight w:val="none"/>
              </w:rPr>
            </w:pPr>
            <w:r>
              <w:rPr>
                <w:rFonts w:hint="eastAsia"/>
                <w:color w:val="auto"/>
                <w:highlight w:val="none"/>
              </w:rPr>
              <w:t xml:space="preserve">电话 </w:t>
            </w:r>
          </w:p>
        </w:tc>
        <w:tc>
          <w:tcPr>
            <w:tcW w:w="174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6576E1D">
            <w:pPr>
              <w:rPr>
                <w:color w:val="auto"/>
                <w:highlight w:val="none"/>
              </w:rPr>
            </w:pPr>
            <w:r>
              <w:rPr>
                <w:color w:val="auto"/>
                <w:highlight w:val="none"/>
              </w:rPr>
              <w:drawing>
                <wp:inline distT="0" distB="0" distL="114300" distR="114300">
                  <wp:extent cx="8890" cy="8890"/>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33CAD9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209" w:hRule="atLeast"/>
          <w:jc w:val="center"/>
        </w:trPr>
        <w:tc>
          <w:tcPr>
            <w:tcW w:w="0" w:type="auto"/>
            <w:vMerge w:val="continue"/>
            <w:tcBorders>
              <w:top w:val="nil"/>
              <w:left w:val="single" w:color="000000" w:sz="4" w:space="0"/>
              <w:bottom w:val="single" w:color="000000" w:sz="4" w:space="0"/>
              <w:right w:val="single" w:color="000000" w:sz="4" w:space="0"/>
            </w:tcBorders>
            <w:noWrap w:val="0"/>
            <w:vAlign w:val="center"/>
          </w:tcPr>
          <w:p w14:paraId="4CAA056E">
            <w:pPr>
              <w:widowControl/>
              <w:jc w:val="left"/>
              <w:rPr>
                <w:color w:val="auto"/>
                <w:highlight w:val="none"/>
              </w:rPr>
            </w:pPr>
          </w:p>
        </w:tc>
        <w:tc>
          <w:tcPr>
            <w:tcW w:w="1129"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3D3FA679">
            <w:pPr>
              <w:rPr>
                <w:color w:val="auto"/>
                <w:highlight w:val="none"/>
              </w:rPr>
            </w:pPr>
            <w:r>
              <w:rPr>
                <w:rFonts w:hint="eastAsia"/>
                <w:color w:val="auto"/>
                <w:highlight w:val="none"/>
              </w:rPr>
              <w:t xml:space="preserve">传真 </w:t>
            </w:r>
          </w:p>
        </w:tc>
        <w:tc>
          <w:tcPr>
            <w:tcW w:w="3203" w:type="dxa"/>
            <w:gridSpan w:val="3"/>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332243B">
            <w:pPr>
              <w:rPr>
                <w:color w:val="auto"/>
                <w:highlight w:val="none"/>
              </w:rPr>
            </w:pPr>
            <w:r>
              <w:rPr>
                <w:color w:val="auto"/>
                <w:highlight w:val="none"/>
              </w:rPr>
              <w:drawing>
                <wp:inline distT="0" distB="0" distL="114300" distR="114300">
                  <wp:extent cx="8890" cy="8890"/>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c>
          <w:tcPr>
            <w:tcW w:w="93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5FEDCFA4">
            <w:pPr>
              <w:rPr>
                <w:color w:val="auto"/>
                <w:highlight w:val="none"/>
              </w:rPr>
            </w:pPr>
            <w:r>
              <w:rPr>
                <w:rFonts w:hint="eastAsia"/>
                <w:color w:val="auto"/>
                <w:highlight w:val="none"/>
              </w:rPr>
              <w:t xml:space="preserve">网址 </w:t>
            </w:r>
          </w:p>
        </w:tc>
        <w:tc>
          <w:tcPr>
            <w:tcW w:w="174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1A702ED5">
            <w:pPr>
              <w:rPr>
                <w:color w:val="auto"/>
                <w:highlight w:val="none"/>
              </w:rPr>
            </w:pPr>
            <w:r>
              <w:rPr>
                <w:color w:val="auto"/>
                <w:highlight w:val="none"/>
              </w:rPr>
              <w:drawing>
                <wp:inline distT="0" distB="0" distL="114300" distR="114300">
                  <wp:extent cx="8890" cy="889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13F2B5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391"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D7AA81C">
            <w:pPr>
              <w:rPr>
                <w:color w:val="auto"/>
                <w:highlight w:val="none"/>
              </w:rPr>
            </w:pPr>
            <w:r>
              <w:rPr>
                <w:rFonts w:hint="eastAsia"/>
                <w:color w:val="auto"/>
                <w:highlight w:val="none"/>
              </w:rPr>
              <w:t xml:space="preserve">组织结构 </w:t>
            </w:r>
          </w:p>
        </w:tc>
        <w:tc>
          <w:tcPr>
            <w:tcW w:w="7010" w:type="dxa"/>
            <w:gridSpan w:val="6"/>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2E7C8A14">
            <w:pPr>
              <w:rPr>
                <w:color w:val="auto"/>
                <w:highlight w:val="none"/>
              </w:rPr>
            </w:pPr>
            <w:r>
              <w:rPr>
                <w:color w:val="auto"/>
                <w:highlight w:val="none"/>
              </w:rPr>
              <w:drawing>
                <wp:inline distT="0" distB="0" distL="114300" distR="114300">
                  <wp:extent cx="8890" cy="8890"/>
                  <wp:effectExtent l="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2D2FCA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783"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25F784E0">
            <w:pPr>
              <w:rPr>
                <w:color w:val="auto"/>
                <w:highlight w:val="none"/>
              </w:rPr>
            </w:pPr>
            <w:r>
              <w:rPr>
                <w:rFonts w:hint="eastAsia"/>
                <w:color w:val="auto"/>
                <w:highlight w:val="none"/>
              </w:rPr>
              <w:t xml:space="preserve">法定代表人 </w:t>
            </w:r>
          </w:p>
        </w:tc>
        <w:tc>
          <w:tcPr>
            <w:tcW w:w="1129"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403E61CC">
            <w:pPr>
              <w:rPr>
                <w:color w:val="auto"/>
                <w:highlight w:val="none"/>
              </w:rPr>
            </w:pPr>
            <w:r>
              <w:rPr>
                <w:rFonts w:hint="eastAsia"/>
                <w:color w:val="auto"/>
                <w:highlight w:val="none"/>
              </w:rPr>
              <w:t xml:space="preserve">姓名 </w:t>
            </w:r>
          </w:p>
        </w:tc>
        <w:tc>
          <w:tcPr>
            <w:tcW w:w="675"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779A3F10">
            <w:pPr>
              <w:rPr>
                <w:color w:val="auto"/>
                <w:highlight w:val="none"/>
              </w:rPr>
            </w:pPr>
          </w:p>
        </w:tc>
        <w:tc>
          <w:tcPr>
            <w:tcW w:w="0" w:type="auto"/>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04FBE5D6">
            <w:pPr>
              <w:rPr>
                <w:color w:val="auto"/>
                <w:highlight w:val="none"/>
              </w:rPr>
            </w:pPr>
            <w:r>
              <w:rPr>
                <w:rFonts w:hint="eastAsia"/>
                <w:color w:val="auto"/>
                <w:highlight w:val="none"/>
              </w:rPr>
              <w:t xml:space="preserve">技术职称 </w:t>
            </w:r>
          </w:p>
        </w:tc>
        <w:tc>
          <w:tcPr>
            <w:tcW w:w="1711"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B25B8BB">
            <w:pPr>
              <w:rPr>
                <w:color w:val="auto"/>
                <w:highlight w:val="none"/>
              </w:rPr>
            </w:pPr>
            <w:r>
              <w:rPr>
                <w:color w:val="auto"/>
                <w:highlight w:val="none"/>
              </w:rPr>
              <w:drawing>
                <wp:inline distT="0" distB="0" distL="114300" distR="114300">
                  <wp:extent cx="8890" cy="889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c>
          <w:tcPr>
            <w:tcW w:w="93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991E2DE">
            <w:pPr>
              <w:rPr>
                <w:color w:val="auto"/>
                <w:highlight w:val="none"/>
              </w:rPr>
            </w:pPr>
            <w:r>
              <w:rPr>
                <w:rFonts w:hint="eastAsia"/>
                <w:color w:val="auto"/>
                <w:highlight w:val="none"/>
              </w:rPr>
              <w:t xml:space="preserve">电话 </w:t>
            </w:r>
          </w:p>
        </w:tc>
        <w:tc>
          <w:tcPr>
            <w:tcW w:w="1744"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44FF9E2F">
            <w:pPr>
              <w:rPr>
                <w:color w:val="auto"/>
                <w:highlight w:val="none"/>
              </w:rPr>
            </w:pPr>
            <w:r>
              <w:rPr>
                <w:color w:val="auto"/>
                <w:highlight w:val="none"/>
              </w:rPr>
              <w:drawing>
                <wp:inline distT="0" distB="0" distL="114300" distR="114300">
                  <wp:extent cx="8890" cy="8890"/>
                  <wp:effectExtent l="0" t="0" r="0" b="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77A850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1145"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71747D14">
            <w:pPr>
              <w:rPr>
                <w:color w:val="auto"/>
                <w:highlight w:val="none"/>
              </w:rPr>
            </w:pPr>
            <w:r>
              <w:rPr>
                <w:rFonts w:hint="eastAsia"/>
                <w:color w:val="auto"/>
                <w:highlight w:val="none"/>
              </w:rPr>
              <w:t xml:space="preserve">成立时间 </w:t>
            </w:r>
          </w:p>
        </w:tc>
        <w:tc>
          <w:tcPr>
            <w:tcW w:w="1804"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56DEFD49">
            <w:pPr>
              <w:rPr>
                <w:color w:val="auto"/>
                <w:highlight w:val="none"/>
              </w:rPr>
            </w:pPr>
            <w:r>
              <w:rPr>
                <w:color w:val="auto"/>
                <w:highlight w:val="none"/>
              </w:rPr>
              <w:drawing>
                <wp:inline distT="0" distB="0" distL="114300" distR="114300">
                  <wp:extent cx="8890" cy="8890"/>
                  <wp:effectExtent l="0" t="0" r="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c>
          <w:tcPr>
            <w:tcW w:w="0" w:type="auto"/>
            <w:gridSpan w:val="4"/>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175DE31A">
            <w:pPr>
              <w:rPr>
                <w:color w:val="auto"/>
                <w:highlight w:val="none"/>
              </w:rPr>
            </w:pPr>
            <w:r>
              <w:rPr>
                <w:rFonts w:hint="eastAsia"/>
                <w:color w:val="auto"/>
                <w:highlight w:val="none"/>
              </w:rPr>
              <w:t>员工总人数:</w:t>
            </w:r>
            <w:r>
              <w:rPr>
                <w:color w:val="auto"/>
                <w:highlight w:val="none"/>
              </w:rPr>
              <w:drawing>
                <wp:inline distT="0" distB="0" distL="114300" distR="114300">
                  <wp:extent cx="8890" cy="8890"/>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r>
              <w:rPr>
                <w:rFonts w:hint="eastAsia"/>
                <w:color w:val="auto"/>
                <w:highlight w:val="none"/>
              </w:rPr>
              <w:t xml:space="preserve"> </w:t>
            </w:r>
          </w:p>
        </w:tc>
      </w:tr>
      <w:tr w14:paraId="06B1C9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391"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33F406C4">
            <w:pPr>
              <w:rPr>
                <w:color w:val="auto"/>
                <w:highlight w:val="none"/>
              </w:rPr>
            </w:pPr>
            <w:r>
              <w:rPr>
                <w:rFonts w:hint="eastAsia"/>
                <w:color w:val="auto"/>
                <w:highlight w:val="none"/>
              </w:rPr>
              <w:t xml:space="preserve">企业资质等级 </w:t>
            </w:r>
          </w:p>
        </w:tc>
        <w:tc>
          <w:tcPr>
            <w:tcW w:w="1804"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115F9FCC">
            <w:pPr>
              <w:rPr>
                <w:color w:val="auto"/>
                <w:highlight w:val="none"/>
              </w:rPr>
            </w:pPr>
          </w:p>
        </w:tc>
        <w:tc>
          <w:tcPr>
            <w:tcW w:w="0" w:type="auto"/>
            <w:vMerge w:val="restart"/>
            <w:tcBorders>
              <w:top w:val="nil"/>
              <w:left w:val="nil"/>
              <w:bottom w:val="single" w:color="000000" w:sz="4" w:space="0"/>
              <w:right w:val="single" w:color="000000" w:sz="4" w:space="0"/>
            </w:tcBorders>
            <w:noWrap w:val="0"/>
            <w:tcMar>
              <w:top w:w="108" w:type="dxa"/>
              <w:left w:w="108" w:type="dxa"/>
              <w:bottom w:w="108" w:type="dxa"/>
              <w:right w:w="108" w:type="dxa"/>
            </w:tcMar>
            <w:vAlign w:val="center"/>
          </w:tcPr>
          <w:p w14:paraId="5CDB787A">
            <w:pPr>
              <w:rPr>
                <w:color w:val="auto"/>
                <w:highlight w:val="none"/>
              </w:rPr>
            </w:pPr>
            <w:r>
              <w:rPr>
                <w:rFonts w:hint="eastAsia"/>
                <w:color w:val="auto"/>
                <w:highlight w:val="none"/>
              </w:rPr>
              <w:t xml:space="preserve">其中 </w:t>
            </w:r>
          </w:p>
        </w:tc>
        <w:tc>
          <w:tcPr>
            <w:tcW w:w="1711"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139588E2">
            <w:pPr>
              <w:rPr>
                <w:color w:val="auto"/>
                <w:highlight w:val="none"/>
              </w:rPr>
            </w:pPr>
            <w:r>
              <w:rPr>
                <w:rFonts w:hint="eastAsia"/>
                <w:color w:val="auto"/>
                <w:highlight w:val="none"/>
              </w:rPr>
              <w:t>注册建造师</w:t>
            </w:r>
          </w:p>
        </w:tc>
        <w:tc>
          <w:tcPr>
            <w:tcW w:w="2678"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07DDE45D">
            <w:pPr>
              <w:rPr>
                <w:color w:val="auto"/>
                <w:highlight w:val="none"/>
              </w:rPr>
            </w:pPr>
            <w:r>
              <w:rPr>
                <w:color w:val="auto"/>
                <w:highlight w:val="none"/>
              </w:rPr>
              <w:drawing>
                <wp:inline distT="0" distB="0" distL="114300" distR="114300">
                  <wp:extent cx="8890" cy="8890"/>
                  <wp:effectExtent l="0" t="0" r="0" b="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38E618F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413"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3A2AAEED">
            <w:pPr>
              <w:rPr>
                <w:color w:val="auto"/>
                <w:highlight w:val="none"/>
              </w:rPr>
            </w:pPr>
            <w:r>
              <w:rPr>
                <w:rFonts w:hint="eastAsia"/>
                <w:color w:val="auto"/>
                <w:highlight w:val="none"/>
              </w:rPr>
              <w:t>统一社会信用代码/注册码</w:t>
            </w:r>
          </w:p>
        </w:tc>
        <w:tc>
          <w:tcPr>
            <w:tcW w:w="1804"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CF2CAB3">
            <w:pPr>
              <w:rPr>
                <w:color w:val="auto"/>
                <w:highlight w:val="none"/>
              </w:rPr>
            </w:pPr>
          </w:p>
        </w:tc>
        <w:tc>
          <w:tcPr>
            <w:tcW w:w="0" w:type="auto"/>
            <w:vMerge w:val="continue"/>
            <w:tcBorders>
              <w:top w:val="nil"/>
              <w:left w:val="nil"/>
              <w:bottom w:val="single" w:color="000000" w:sz="4" w:space="0"/>
              <w:right w:val="single" w:color="000000" w:sz="4" w:space="0"/>
            </w:tcBorders>
            <w:noWrap w:val="0"/>
            <w:vAlign w:val="center"/>
          </w:tcPr>
          <w:p w14:paraId="1FE6A0D7">
            <w:pPr>
              <w:widowControl/>
              <w:jc w:val="left"/>
              <w:rPr>
                <w:color w:val="auto"/>
                <w:highlight w:val="none"/>
              </w:rPr>
            </w:pPr>
          </w:p>
        </w:tc>
        <w:tc>
          <w:tcPr>
            <w:tcW w:w="1711"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52DDFD71">
            <w:pPr>
              <w:rPr>
                <w:color w:val="auto"/>
                <w:highlight w:val="none"/>
              </w:rPr>
            </w:pPr>
            <w:r>
              <w:rPr>
                <w:rFonts w:hint="eastAsia"/>
                <w:color w:val="auto"/>
                <w:highlight w:val="none"/>
              </w:rPr>
              <w:t xml:space="preserve">高级职称人员 </w:t>
            </w:r>
          </w:p>
        </w:tc>
        <w:tc>
          <w:tcPr>
            <w:tcW w:w="2678"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7E0F496F">
            <w:pPr>
              <w:rPr>
                <w:color w:val="auto"/>
                <w:highlight w:val="none"/>
              </w:rPr>
            </w:pPr>
            <w:r>
              <w:rPr>
                <w:color w:val="auto"/>
                <w:highlight w:val="none"/>
              </w:rPr>
              <w:drawing>
                <wp:inline distT="0" distB="0" distL="114300" distR="114300">
                  <wp:extent cx="8890" cy="8890"/>
                  <wp:effectExtent l="0" t="0" r="0" b="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2929E8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391"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686AEE5A">
            <w:pPr>
              <w:rPr>
                <w:color w:val="auto"/>
                <w:highlight w:val="none"/>
              </w:rPr>
            </w:pPr>
            <w:r>
              <w:rPr>
                <w:rFonts w:hint="eastAsia"/>
                <w:color w:val="auto"/>
                <w:highlight w:val="none"/>
              </w:rPr>
              <w:t xml:space="preserve">注册资金 </w:t>
            </w:r>
          </w:p>
        </w:tc>
        <w:tc>
          <w:tcPr>
            <w:tcW w:w="1804"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462C7F84">
            <w:pPr>
              <w:rPr>
                <w:color w:val="auto"/>
                <w:highlight w:val="none"/>
              </w:rPr>
            </w:pPr>
            <w:r>
              <w:rPr>
                <w:rFonts w:hint="eastAsia"/>
                <w:color w:val="auto"/>
                <w:highlight w:val="none"/>
              </w:rPr>
              <w:t xml:space="preserve">（万元） </w:t>
            </w:r>
          </w:p>
        </w:tc>
        <w:tc>
          <w:tcPr>
            <w:tcW w:w="0" w:type="auto"/>
            <w:vMerge w:val="continue"/>
            <w:tcBorders>
              <w:top w:val="nil"/>
              <w:left w:val="nil"/>
              <w:bottom w:val="single" w:color="000000" w:sz="4" w:space="0"/>
              <w:right w:val="single" w:color="000000" w:sz="4" w:space="0"/>
            </w:tcBorders>
            <w:noWrap w:val="0"/>
            <w:vAlign w:val="center"/>
          </w:tcPr>
          <w:p w14:paraId="1CA57189">
            <w:pPr>
              <w:widowControl/>
              <w:jc w:val="left"/>
              <w:rPr>
                <w:color w:val="auto"/>
                <w:highlight w:val="none"/>
              </w:rPr>
            </w:pPr>
          </w:p>
        </w:tc>
        <w:tc>
          <w:tcPr>
            <w:tcW w:w="1711"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7C040CC7">
            <w:pPr>
              <w:rPr>
                <w:color w:val="auto"/>
                <w:highlight w:val="none"/>
              </w:rPr>
            </w:pPr>
            <w:r>
              <w:rPr>
                <w:rFonts w:hint="eastAsia"/>
                <w:color w:val="auto"/>
                <w:highlight w:val="none"/>
              </w:rPr>
              <w:t xml:space="preserve">中级职称人员 </w:t>
            </w:r>
          </w:p>
        </w:tc>
        <w:tc>
          <w:tcPr>
            <w:tcW w:w="2678"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407403E7">
            <w:pPr>
              <w:rPr>
                <w:color w:val="auto"/>
                <w:highlight w:val="none"/>
              </w:rPr>
            </w:pPr>
            <w:r>
              <w:rPr>
                <w:color w:val="auto"/>
                <w:highlight w:val="none"/>
              </w:rPr>
              <w:drawing>
                <wp:inline distT="0" distB="0" distL="114300" distR="114300">
                  <wp:extent cx="8890" cy="8890"/>
                  <wp:effectExtent l="0" t="0" r="0" b="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00EAF2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783"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4BB24FC6">
            <w:pPr>
              <w:rPr>
                <w:rFonts w:hint="eastAsia"/>
                <w:color w:val="auto"/>
                <w:highlight w:val="none"/>
              </w:rPr>
            </w:pPr>
            <w:r>
              <w:rPr>
                <w:rFonts w:hint="eastAsia"/>
                <w:color w:val="auto"/>
                <w:highlight w:val="none"/>
              </w:rPr>
              <w:t>基本账户</w:t>
            </w:r>
          </w:p>
          <w:p w14:paraId="05D51EB0">
            <w:pPr>
              <w:rPr>
                <w:color w:val="auto"/>
                <w:highlight w:val="none"/>
              </w:rPr>
            </w:pPr>
            <w:r>
              <w:rPr>
                <w:rFonts w:hint="eastAsia"/>
                <w:color w:val="auto"/>
                <w:highlight w:val="none"/>
              </w:rPr>
              <w:t xml:space="preserve">开户银行 </w:t>
            </w:r>
          </w:p>
        </w:tc>
        <w:tc>
          <w:tcPr>
            <w:tcW w:w="1804"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19DEF165">
            <w:pPr>
              <w:rPr>
                <w:color w:val="auto"/>
                <w:highlight w:val="none"/>
              </w:rPr>
            </w:pPr>
          </w:p>
        </w:tc>
        <w:tc>
          <w:tcPr>
            <w:tcW w:w="0" w:type="auto"/>
            <w:vMerge w:val="continue"/>
            <w:tcBorders>
              <w:top w:val="nil"/>
              <w:left w:val="nil"/>
              <w:bottom w:val="single" w:color="000000" w:sz="4" w:space="0"/>
              <w:right w:val="single" w:color="000000" w:sz="4" w:space="0"/>
            </w:tcBorders>
            <w:noWrap w:val="0"/>
            <w:vAlign w:val="center"/>
          </w:tcPr>
          <w:p w14:paraId="3139B595">
            <w:pPr>
              <w:widowControl/>
              <w:jc w:val="left"/>
              <w:rPr>
                <w:color w:val="auto"/>
                <w:highlight w:val="none"/>
              </w:rPr>
            </w:pPr>
          </w:p>
        </w:tc>
        <w:tc>
          <w:tcPr>
            <w:tcW w:w="1711"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422AD192">
            <w:pPr>
              <w:rPr>
                <w:color w:val="auto"/>
                <w:highlight w:val="none"/>
              </w:rPr>
            </w:pPr>
            <w:r>
              <w:rPr>
                <w:rFonts w:hint="eastAsia"/>
                <w:color w:val="auto"/>
                <w:highlight w:val="none"/>
              </w:rPr>
              <w:t xml:space="preserve">初级职称人员 </w:t>
            </w:r>
          </w:p>
        </w:tc>
        <w:tc>
          <w:tcPr>
            <w:tcW w:w="2678"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2921CBB5">
            <w:pPr>
              <w:rPr>
                <w:color w:val="auto"/>
                <w:highlight w:val="none"/>
              </w:rPr>
            </w:pPr>
            <w:r>
              <w:rPr>
                <w:color w:val="auto"/>
                <w:highlight w:val="none"/>
              </w:rPr>
              <w:drawing>
                <wp:inline distT="0" distB="0" distL="114300" distR="114300">
                  <wp:extent cx="8890" cy="8890"/>
                  <wp:effectExtent l="0" t="0" r="0"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78A398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804"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654C0B70">
            <w:pPr>
              <w:rPr>
                <w:rFonts w:hint="eastAsia"/>
                <w:color w:val="auto"/>
                <w:highlight w:val="none"/>
              </w:rPr>
            </w:pPr>
            <w:r>
              <w:rPr>
                <w:rFonts w:hint="eastAsia"/>
                <w:color w:val="auto"/>
                <w:highlight w:val="none"/>
              </w:rPr>
              <w:t>基本账户</w:t>
            </w:r>
          </w:p>
          <w:p w14:paraId="44F4018E">
            <w:pPr>
              <w:rPr>
                <w:color w:val="auto"/>
                <w:highlight w:val="none"/>
              </w:rPr>
            </w:pPr>
            <w:r>
              <w:rPr>
                <w:rFonts w:hint="eastAsia"/>
                <w:color w:val="auto"/>
                <w:highlight w:val="none"/>
              </w:rPr>
              <w:t xml:space="preserve"> 账号 </w:t>
            </w:r>
          </w:p>
        </w:tc>
        <w:tc>
          <w:tcPr>
            <w:tcW w:w="1804"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E08665A">
            <w:pPr>
              <w:rPr>
                <w:color w:val="auto"/>
                <w:highlight w:val="none"/>
              </w:rPr>
            </w:pPr>
          </w:p>
        </w:tc>
        <w:tc>
          <w:tcPr>
            <w:tcW w:w="0" w:type="auto"/>
            <w:vMerge w:val="continue"/>
            <w:tcBorders>
              <w:top w:val="nil"/>
              <w:left w:val="nil"/>
              <w:bottom w:val="single" w:color="000000" w:sz="4" w:space="0"/>
              <w:right w:val="single" w:color="000000" w:sz="4" w:space="0"/>
            </w:tcBorders>
            <w:noWrap w:val="0"/>
            <w:vAlign w:val="center"/>
          </w:tcPr>
          <w:p w14:paraId="4FF6CEC9">
            <w:pPr>
              <w:widowControl/>
              <w:jc w:val="left"/>
              <w:rPr>
                <w:color w:val="auto"/>
                <w:highlight w:val="none"/>
              </w:rPr>
            </w:pPr>
          </w:p>
        </w:tc>
        <w:tc>
          <w:tcPr>
            <w:tcW w:w="1711" w:type="dxa"/>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364734C3">
            <w:pPr>
              <w:rPr>
                <w:color w:val="auto"/>
                <w:highlight w:val="none"/>
              </w:rPr>
            </w:pPr>
            <w:r>
              <w:rPr>
                <w:rFonts w:hint="eastAsia"/>
                <w:color w:val="auto"/>
                <w:highlight w:val="none"/>
              </w:rPr>
              <w:t xml:space="preserve">技工 </w:t>
            </w:r>
          </w:p>
        </w:tc>
        <w:tc>
          <w:tcPr>
            <w:tcW w:w="2678" w:type="dxa"/>
            <w:gridSpan w:val="2"/>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0EE400F4">
            <w:pPr>
              <w:rPr>
                <w:color w:val="auto"/>
                <w:highlight w:val="none"/>
              </w:rPr>
            </w:pPr>
            <w:r>
              <w:rPr>
                <w:color w:val="auto"/>
                <w:highlight w:val="none"/>
              </w:rPr>
              <w:drawing>
                <wp:inline distT="0" distB="0" distL="114300" distR="114300">
                  <wp:extent cx="8890" cy="8890"/>
                  <wp:effectExtent l="0" t="0" r="0" b="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r w14:paraId="225BE4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391"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08149060">
            <w:pPr>
              <w:rPr>
                <w:color w:val="auto"/>
                <w:highlight w:val="none"/>
              </w:rPr>
            </w:pPr>
            <w:r>
              <w:rPr>
                <w:rFonts w:hint="eastAsia"/>
                <w:color w:val="auto"/>
                <w:highlight w:val="none"/>
              </w:rPr>
              <w:t xml:space="preserve">经营范围 </w:t>
            </w:r>
          </w:p>
        </w:tc>
        <w:tc>
          <w:tcPr>
            <w:tcW w:w="7010" w:type="dxa"/>
            <w:gridSpan w:val="6"/>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22B3ED72">
            <w:pPr>
              <w:rPr>
                <w:color w:val="auto"/>
                <w:highlight w:val="none"/>
              </w:rPr>
            </w:pPr>
          </w:p>
        </w:tc>
      </w:tr>
      <w:tr w14:paraId="388374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rHeight w:val="413" w:hRule="atLeast"/>
          <w:jc w:val="center"/>
        </w:trPr>
        <w:tc>
          <w:tcPr>
            <w:tcW w:w="2292" w:type="dxa"/>
            <w:tcBorders>
              <w:top w:val="single" w:color="000000" w:sz="4" w:space="0"/>
              <w:left w:val="single" w:color="000000" w:sz="4" w:space="0"/>
              <w:bottom w:val="single" w:color="000000" w:sz="4" w:space="0"/>
              <w:right w:val="single" w:color="000000" w:sz="4" w:space="0"/>
            </w:tcBorders>
            <w:noWrap w:val="0"/>
            <w:tcMar>
              <w:top w:w="108" w:type="dxa"/>
              <w:left w:w="108" w:type="dxa"/>
              <w:bottom w:w="108" w:type="dxa"/>
              <w:right w:w="108" w:type="dxa"/>
            </w:tcMar>
            <w:vAlign w:val="center"/>
          </w:tcPr>
          <w:p w14:paraId="520F2FE6">
            <w:pPr>
              <w:rPr>
                <w:color w:val="auto"/>
                <w:highlight w:val="none"/>
              </w:rPr>
            </w:pPr>
            <w:r>
              <w:rPr>
                <w:rFonts w:hint="eastAsia"/>
                <w:color w:val="auto"/>
                <w:highlight w:val="none"/>
              </w:rPr>
              <w:t xml:space="preserve">备注 </w:t>
            </w:r>
          </w:p>
        </w:tc>
        <w:tc>
          <w:tcPr>
            <w:tcW w:w="7010" w:type="dxa"/>
            <w:gridSpan w:val="6"/>
            <w:tcBorders>
              <w:top w:val="single" w:color="000000" w:sz="4" w:space="0"/>
              <w:left w:val="nil"/>
              <w:bottom w:val="single" w:color="000000" w:sz="4" w:space="0"/>
              <w:right w:val="single" w:color="000000" w:sz="4" w:space="0"/>
            </w:tcBorders>
            <w:noWrap w:val="0"/>
            <w:tcMar>
              <w:top w:w="108" w:type="dxa"/>
              <w:left w:w="108" w:type="dxa"/>
              <w:bottom w:w="108" w:type="dxa"/>
              <w:right w:w="108" w:type="dxa"/>
            </w:tcMar>
            <w:vAlign w:val="center"/>
          </w:tcPr>
          <w:p w14:paraId="6F1F29F6">
            <w:pPr>
              <w:rPr>
                <w:color w:val="auto"/>
                <w:highlight w:val="none"/>
              </w:rPr>
            </w:pPr>
            <w:r>
              <w:rPr>
                <w:color w:val="auto"/>
                <w:highlight w:val="none"/>
              </w:rPr>
              <w:drawing>
                <wp:inline distT="0" distB="0" distL="114300" distR="114300">
                  <wp:extent cx="8890" cy="8890"/>
                  <wp:effectExtent l="0" t="0" r="0" b="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pic:cNvPicPr>
                            <a:picLocks noChangeAspect="1"/>
                          </pic:cNvPicPr>
                        </pic:nvPicPr>
                        <pic:blipFill>
                          <a:blip r:embed="rId10"/>
                          <a:stretch>
                            <a:fillRect/>
                          </a:stretch>
                        </pic:blipFill>
                        <pic:spPr>
                          <a:xfrm>
                            <a:off x="0" y="0"/>
                            <a:ext cx="8890" cy="8890"/>
                          </a:xfrm>
                          <a:prstGeom prst="rect">
                            <a:avLst/>
                          </a:prstGeom>
                          <a:noFill/>
                          <a:ln>
                            <a:noFill/>
                          </a:ln>
                        </pic:spPr>
                      </pic:pic>
                    </a:graphicData>
                  </a:graphic>
                </wp:inline>
              </w:drawing>
            </w:r>
          </w:p>
        </w:tc>
      </w:tr>
    </w:tbl>
    <w:p w14:paraId="6B7B3136">
      <w:pPr>
        <w:rPr>
          <w:rFonts w:hint="eastAsia"/>
          <w:color w:val="auto"/>
          <w:highlight w:val="none"/>
        </w:rPr>
      </w:pPr>
      <w:r>
        <w:rPr>
          <w:rFonts w:hint="eastAsia"/>
          <w:color w:val="auto"/>
          <w:highlight w:val="none"/>
        </w:rPr>
        <w:t>备注：1.本表后应附企业法人营业执照、企业资质证书、安全生产许可证、基本账户开户许可证（基本存款账户信息）等材料的扫描件。</w:t>
      </w:r>
    </w:p>
    <w:p w14:paraId="4D1B0A98">
      <w:pPr>
        <w:rPr>
          <w:rFonts w:hint="eastAsia"/>
          <w:color w:val="auto"/>
          <w:highlight w:val="none"/>
        </w:rPr>
      </w:pPr>
      <w:r>
        <w:rPr>
          <w:rFonts w:hint="eastAsia"/>
          <w:color w:val="auto"/>
          <w:highlight w:val="none"/>
        </w:rPr>
        <w:t xml:space="preserve">2．联合体投标的，联合体各成员应分别填写。 </w:t>
      </w:r>
    </w:p>
    <w:p w14:paraId="511D5744">
      <w:pPr>
        <w:pStyle w:val="33"/>
        <w:pageBreakBefore/>
        <w:jc w:val="center"/>
        <w:rPr>
          <w:rFonts w:hint="eastAsia" w:ascii="Times New Roman" w:hAnsi="Times New Roman"/>
          <w:color w:val="auto"/>
          <w:szCs w:val="24"/>
          <w:highlight w:val="none"/>
        </w:rPr>
      </w:pPr>
      <w:bookmarkStart w:id="2472" w:name="_Toc467365520"/>
      <w:bookmarkStart w:id="2473" w:name="_Toc13757"/>
      <w:bookmarkStart w:id="2474" w:name="_Toc28532433"/>
      <w:r>
        <w:rPr>
          <w:color w:val="auto"/>
          <w:szCs w:val="24"/>
          <w:highlight w:val="none"/>
        </w:rPr>
        <w:t>1-2</w:t>
      </w:r>
      <w:r>
        <w:rPr>
          <w:rFonts w:hint="eastAsia"/>
          <w:color w:val="auto"/>
          <w:szCs w:val="24"/>
          <w:highlight w:val="none"/>
        </w:rPr>
        <w:t>关联单位情况说明</w:t>
      </w:r>
      <w:bookmarkEnd w:id="2472"/>
      <w:bookmarkEnd w:id="2473"/>
      <w:bookmarkEnd w:id="2474"/>
    </w:p>
    <w:p w14:paraId="0C9D003F">
      <w:pPr>
        <w:pStyle w:val="6"/>
        <w:widowControl/>
        <w:spacing w:after="0" w:line="360" w:lineRule="exact"/>
        <w:ind w:firstLine="560" w:firstLineChars="200"/>
        <w:jc w:val="center"/>
        <w:outlineLvl w:val="3"/>
        <w:rPr>
          <w:rFonts w:eastAsia="黑体" w:cs="宋体"/>
          <w:bCs/>
          <w:color w:val="auto"/>
          <w:kern w:val="20"/>
          <w:sz w:val="28"/>
          <w:szCs w:val="28"/>
          <w:highlight w:val="none"/>
        </w:rPr>
      </w:pPr>
    </w:p>
    <w:p w14:paraId="2124514A">
      <w:pPr>
        <w:widowControl/>
        <w:spacing w:line="360" w:lineRule="exact"/>
        <w:ind w:firstLine="210" w:firstLineChars="100"/>
        <w:rPr>
          <w:color w:val="auto"/>
          <w:szCs w:val="24"/>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7F5F755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tcBorders>
              <w:top w:val="single" w:color="auto" w:sz="4" w:space="0"/>
              <w:left w:val="single" w:color="auto" w:sz="4" w:space="0"/>
              <w:bottom w:val="single" w:color="auto" w:sz="4" w:space="0"/>
              <w:right w:val="single" w:color="auto" w:sz="4" w:space="0"/>
            </w:tcBorders>
            <w:noWrap w:val="0"/>
            <w:vAlign w:val="top"/>
          </w:tcPr>
          <w:p w14:paraId="05689E18">
            <w:pPr>
              <w:tabs>
                <w:tab w:val="left" w:pos="0"/>
              </w:tabs>
              <w:snapToGrid w:val="0"/>
              <w:spacing w:line="360" w:lineRule="exact"/>
              <w:rPr>
                <w:color w:val="auto"/>
                <w:szCs w:val="21"/>
                <w:highlight w:val="none"/>
              </w:rPr>
            </w:pPr>
          </w:p>
          <w:p w14:paraId="10F08570">
            <w:pPr>
              <w:ind w:left="945" w:hanging="945" w:hangingChars="450"/>
              <w:rPr>
                <w:rFonts w:ascii="宋体" w:hAnsi="宋体"/>
                <w:color w:val="auto"/>
                <w:szCs w:val="24"/>
                <w:highlight w:val="none"/>
              </w:rPr>
            </w:pPr>
            <w:r>
              <w:rPr>
                <w:rFonts w:hint="eastAsia" w:ascii="宋体" w:hAnsi="宋体"/>
                <w:color w:val="auto"/>
                <w:highlight w:val="none"/>
              </w:rPr>
              <w:t>单位负责人与本单位负责人为同一人的单位：</w:t>
            </w:r>
          </w:p>
          <w:p w14:paraId="7561B4F9">
            <w:pPr>
              <w:ind w:left="945" w:hanging="945" w:hangingChars="450"/>
              <w:rPr>
                <w:rFonts w:hint="eastAsia" w:ascii="宋体" w:hAnsi="宋体"/>
                <w:color w:val="auto"/>
                <w:highlight w:val="none"/>
              </w:rPr>
            </w:pPr>
          </w:p>
          <w:p w14:paraId="65CF69FE">
            <w:pPr>
              <w:ind w:left="945" w:hanging="945" w:hangingChars="450"/>
              <w:rPr>
                <w:rFonts w:hint="eastAsia" w:ascii="宋体" w:hAnsi="宋体"/>
                <w:color w:val="auto"/>
                <w:highlight w:val="none"/>
              </w:rPr>
            </w:pPr>
          </w:p>
          <w:p w14:paraId="1D47BF68">
            <w:pPr>
              <w:ind w:left="945" w:hanging="945" w:hangingChars="450"/>
              <w:rPr>
                <w:rFonts w:hint="eastAsia" w:ascii="宋体" w:hAnsi="宋体"/>
                <w:color w:val="auto"/>
                <w:highlight w:val="none"/>
              </w:rPr>
            </w:pPr>
          </w:p>
          <w:p w14:paraId="6F1B48F8">
            <w:pPr>
              <w:ind w:left="945" w:hanging="945" w:hangingChars="450"/>
              <w:rPr>
                <w:rFonts w:hint="eastAsia" w:ascii="宋体" w:hAnsi="宋体"/>
                <w:color w:val="auto"/>
                <w:highlight w:val="none"/>
              </w:rPr>
            </w:pPr>
          </w:p>
          <w:p w14:paraId="786F5B1A">
            <w:pPr>
              <w:ind w:left="945" w:hanging="945" w:hangingChars="450"/>
              <w:rPr>
                <w:rFonts w:hint="eastAsia" w:ascii="宋体" w:hAnsi="宋体"/>
                <w:color w:val="auto"/>
                <w:highlight w:val="none"/>
              </w:rPr>
            </w:pPr>
          </w:p>
          <w:p w14:paraId="7812610F">
            <w:pPr>
              <w:ind w:left="945" w:hanging="945" w:hangingChars="450"/>
              <w:rPr>
                <w:rFonts w:hint="eastAsia" w:ascii="宋体" w:hAnsi="宋体"/>
                <w:color w:val="auto"/>
                <w:highlight w:val="none"/>
              </w:rPr>
            </w:pPr>
          </w:p>
          <w:p w14:paraId="4D2DE1FD">
            <w:pPr>
              <w:ind w:left="945" w:hanging="945" w:hangingChars="450"/>
              <w:rPr>
                <w:rFonts w:hint="eastAsia" w:ascii="宋体" w:hAnsi="宋体"/>
                <w:color w:val="auto"/>
                <w:highlight w:val="none"/>
              </w:rPr>
            </w:pPr>
            <w:r>
              <w:rPr>
                <w:rFonts w:hint="eastAsia" w:ascii="宋体" w:hAnsi="宋体"/>
                <w:color w:val="auto"/>
                <w:highlight w:val="none"/>
              </w:rPr>
              <w:t>与本单位存在控股与被控股关系的单位：</w:t>
            </w:r>
          </w:p>
          <w:p w14:paraId="5E319C0E">
            <w:pPr>
              <w:ind w:left="945" w:hanging="945" w:hangingChars="450"/>
              <w:rPr>
                <w:rFonts w:hint="eastAsia" w:ascii="宋体" w:hAnsi="宋体"/>
                <w:color w:val="auto"/>
                <w:highlight w:val="none"/>
              </w:rPr>
            </w:pPr>
          </w:p>
          <w:p w14:paraId="57E0B741">
            <w:pPr>
              <w:ind w:left="945" w:hanging="945" w:hangingChars="450"/>
              <w:rPr>
                <w:rFonts w:hint="eastAsia" w:ascii="宋体" w:hAnsi="宋体"/>
                <w:color w:val="auto"/>
                <w:highlight w:val="none"/>
              </w:rPr>
            </w:pPr>
          </w:p>
          <w:p w14:paraId="11AB909B">
            <w:pPr>
              <w:ind w:left="945" w:hanging="945" w:hangingChars="450"/>
              <w:rPr>
                <w:rFonts w:hint="eastAsia" w:ascii="宋体" w:hAnsi="宋体"/>
                <w:color w:val="auto"/>
                <w:highlight w:val="none"/>
              </w:rPr>
            </w:pPr>
          </w:p>
          <w:p w14:paraId="74E2E3FA">
            <w:pPr>
              <w:ind w:left="945" w:hanging="945" w:hangingChars="450"/>
              <w:rPr>
                <w:rFonts w:hint="eastAsia" w:ascii="宋体" w:hAnsi="宋体"/>
                <w:color w:val="auto"/>
                <w:highlight w:val="none"/>
              </w:rPr>
            </w:pPr>
          </w:p>
          <w:p w14:paraId="0D2DF9A3">
            <w:pPr>
              <w:ind w:left="945" w:hanging="945" w:hangingChars="450"/>
              <w:rPr>
                <w:rFonts w:hint="eastAsia" w:ascii="宋体" w:hAnsi="宋体"/>
                <w:color w:val="auto"/>
                <w:highlight w:val="none"/>
              </w:rPr>
            </w:pPr>
          </w:p>
          <w:p w14:paraId="6BB3EE94">
            <w:pPr>
              <w:ind w:left="945" w:hanging="945" w:hangingChars="450"/>
              <w:rPr>
                <w:rFonts w:hint="eastAsia" w:ascii="宋体" w:hAnsi="宋体"/>
                <w:color w:val="auto"/>
                <w:highlight w:val="none"/>
              </w:rPr>
            </w:pPr>
          </w:p>
          <w:p w14:paraId="34AF4A10">
            <w:pPr>
              <w:ind w:left="945" w:hanging="945" w:hangingChars="450"/>
              <w:rPr>
                <w:rFonts w:hint="eastAsia" w:ascii="宋体" w:hAnsi="宋体"/>
                <w:color w:val="auto"/>
                <w:highlight w:val="none"/>
              </w:rPr>
            </w:pPr>
          </w:p>
          <w:p w14:paraId="0C13524E">
            <w:pPr>
              <w:ind w:left="945" w:hanging="945" w:hangingChars="450"/>
              <w:rPr>
                <w:rFonts w:hint="eastAsia" w:ascii="宋体" w:hAnsi="宋体"/>
                <w:color w:val="auto"/>
                <w:highlight w:val="none"/>
              </w:rPr>
            </w:pPr>
          </w:p>
          <w:p w14:paraId="6982F10F">
            <w:pPr>
              <w:ind w:left="945" w:hanging="945" w:hangingChars="450"/>
              <w:rPr>
                <w:rFonts w:hint="eastAsia" w:ascii="宋体" w:hAnsi="宋体"/>
                <w:color w:val="auto"/>
                <w:highlight w:val="none"/>
              </w:rPr>
            </w:pPr>
          </w:p>
          <w:p w14:paraId="3FBF0FA4">
            <w:pPr>
              <w:ind w:left="945" w:hanging="945" w:hangingChars="450"/>
              <w:rPr>
                <w:rFonts w:hint="eastAsia" w:ascii="宋体" w:hAnsi="宋体"/>
                <w:color w:val="auto"/>
                <w:highlight w:val="none"/>
              </w:rPr>
            </w:pPr>
            <w:r>
              <w:rPr>
                <w:rFonts w:hint="eastAsia" w:ascii="宋体" w:hAnsi="宋体"/>
                <w:color w:val="auto"/>
                <w:highlight w:val="none"/>
              </w:rPr>
              <w:t>与本单位存在管理与被管理关系的单位：</w:t>
            </w:r>
          </w:p>
          <w:p w14:paraId="0D8D06E8">
            <w:pPr>
              <w:snapToGrid w:val="0"/>
              <w:spacing w:line="360" w:lineRule="exact"/>
              <w:rPr>
                <w:rFonts w:hint="eastAsia" w:ascii="Times New Roman" w:hAnsi="Times New Roman"/>
                <w:color w:val="auto"/>
                <w:szCs w:val="21"/>
                <w:highlight w:val="none"/>
              </w:rPr>
            </w:pPr>
          </w:p>
          <w:p w14:paraId="46AE8A0A">
            <w:pPr>
              <w:snapToGrid w:val="0"/>
              <w:spacing w:line="360" w:lineRule="exact"/>
              <w:rPr>
                <w:color w:val="auto"/>
                <w:szCs w:val="21"/>
                <w:highlight w:val="none"/>
              </w:rPr>
            </w:pPr>
          </w:p>
          <w:p w14:paraId="6139031C">
            <w:pPr>
              <w:tabs>
                <w:tab w:val="left" w:pos="6039"/>
              </w:tabs>
              <w:snapToGrid w:val="0"/>
              <w:spacing w:line="360" w:lineRule="exact"/>
              <w:rPr>
                <w:color w:val="auto"/>
                <w:szCs w:val="21"/>
                <w:highlight w:val="none"/>
              </w:rPr>
            </w:pPr>
          </w:p>
        </w:tc>
      </w:tr>
    </w:tbl>
    <w:p w14:paraId="1F84D582">
      <w:pPr>
        <w:pStyle w:val="6"/>
        <w:widowControl/>
        <w:spacing w:after="0" w:line="360" w:lineRule="exact"/>
        <w:ind w:firstLine="420" w:firstLineChars="200"/>
        <w:jc w:val="center"/>
        <w:outlineLvl w:val="3"/>
        <w:rPr>
          <w:rFonts w:ascii="Times New Roman" w:hAnsi="Times New Roman"/>
          <w:color w:val="auto"/>
          <w:szCs w:val="30"/>
          <w:highlight w:val="none"/>
        </w:rPr>
      </w:pPr>
    </w:p>
    <w:p w14:paraId="5BC4A5E9">
      <w:pPr>
        <w:ind w:left="945" w:hanging="945" w:hangingChars="450"/>
        <w:rPr>
          <w:rFonts w:ascii="宋体" w:hAnsi="宋体"/>
          <w:color w:val="auto"/>
          <w:szCs w:val="24"/>
          <w:highlight w:val="none"/>
        </w:rPr>
      </w:pPr>
    </w:p>
    <w:p w14:paraId="3DDDBC65">
      <w:pPr>
        <w:ind w:left="945" w:hanging="945" w:hangingChars="450"/>
        <w:rPr>
          <w:rFonts w:hint="eastAsia" w:ascii="宋体" w:hAnsi="宋体"/>
          <w:color w:val="auto"/>
          <w:highlight w:val="none"/>
        </w:rPr>
      </w:pPr>
    </w:p>
    <w:p w14:paraId="763F4418">
      <w:pPr>
        <w:ind w:left="945" w:hanging="945" w:hangingChars="450"/>
        <w:rPr>
          <w:rFonts w:hint="eastAsia" w:ascii="宋体" w:hAnsi="宋体"/>
          <w:color w:val="auto"/>
          <w:highlight w:val="none"/>
        </w:rPr>
      </w:pPr>
    </w:p>
    <w:p w14:paraId="5BF212D6">
      <w:pPr>
        <w:ind w:left="945" w:hanging="945" w:hangingChars="450"/>
        <w:rPr>
          <w:rFonts w:hint="eastAsia" w:ascii="宋体" w:hAnsi="宋体"/>
          <w:color w:val="auto"/>
          <w:highlight w:val="none"/>
        </w:rPr>
      </w:pPr>
      <w:r>
        <w:rPr>
          <w:rFonts w:hint="eastAsia" w:ascii="宋体" w:hAnsi="宋体"/>
          <w:color w:val="auto"/>
          <w:highlight w:val="none"/>
        </w:rPr>
        <w:t>备注：1. 投标人应当如实披露相关关联单位的情况。没有相关关联单位的明确填“无”。</w:t>
      </w:r>
    </w:p>
    <w:p w14:paraId="08AB3618">
      <w:pPr>
        <w:ind w:left="945" w:leftChars="300" w:hanging="315" w:hangingChars="150"/>
        <w:rPr>
          <w:rFonts w:ascii="宋体" w:hAnsi="宋体"/>
          <w:color w:val="auto"/>
          <w:highlight w:val="none"/>
        </w:rPr>
      </w:pPr>
      <w:r>
        <w:rPr>
          <w:rFonts w:hint="eastAsia" w:ascii="宋体" w:hAnsi="宋体"/>
          <w:color w:val="auto"/>
          <w:highlight w:val="none"/>
        </w:rPr>
        <w:t>2．联合体投标的，联合体各成员应分别填写。</w:t>
      </w:r>
    </w:p>
    <w:p w14:paraId="31E064AD">
      <w:pPr>
        <w:pStyle w:val="33"/>
        <w:pageBreakBefore/>
        <w:jc w:val="center"/>
        <w:rPr>
          <w:color w:val="auto"/>
          <w:szCs w:val="24"/>
          <w:highlight w:val="none"/>
        </w:rPr>
      </w:pPr>
      <w:bookmarkStart w:id="2475" w:name="_Toc467365521"/>
      <w:bookmarkStart w:id="2476" w:name="_Toc28532434"/>
      <w:bookmarkStart w:id="2477" w:name="_Toc3288"/>
      <w:r>
        <w:rPr>
          <w:color w:val="auto"/>
          <w:szCs w:val="24"/>
          <w:highlight w:val="none"/>
        </w:rPr>
        <w:t xml:space="preserve">1-3 </w:t>
      </w:r>
      <w:r>
        <w:rPr>
          <w:rFonts w:hint="eastAsia"/>
          <w:color w:val="auto"/>
          <w:szCs w:val="24"/>
          <w:highlight w:val="none"/>
        </w:rPr>
        <w:t>建筑业企业信息登记</w:t>
      </w:r>
      <w:bookmarkEnd w:id="2475"/>
      <w:bookmarkEnd w:id="2476"/>
      <w:bookmarkEnd w:id="2477"/>
    </w:p>
    <w:p w14:paraId="33CE9C10">
      <w:pPr>
        <w:ind w:left="945" w:hanging="945" w:hangingChars="450"/>
        <w:rPr>
          <w:rFonts w:ascii="宋体" w:hAnsi="宋体"/>
          <w:color w:val="auto"/>
          <w:szCs w:val="24"/>
          <w:highlight w:val="none"/>
        </w:rPr>
      </w:pPr>
    </w:p>
    <w:p w14:paraId="4D52F648">
      <w:pPr>
        <w:ind w:left="945" w:hanging="945" w:hangingChars="450"/>
        <w:rPr>
          <w:rFonts w:hint="eastAsia" w:ascii="宋体" w:hAnsi="宋体"/>
          <w:color w:val="auto"/>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174A2C0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tcBorders>
              <w:top w:val="single" w:color="auto" w:sz="4" w:space="0"/>
              <w:left w:val="single" w:color="auto" w:sz="4" w:space="0"/>
              <w:bottom w:val="single" w:color="auto" w:sz="4" w:space="0"/>
              <w:right w:val="single" w:color="auto" w:sz="4" w:space="0"/>
            </w:tcBorders>
            <w:noWrap w:val="0"/>
            <w:vAlign w:val="top"/>
          </w:tcPr>
          <w:p w14:paraId="64DEC61B">
            <w:pPr>
              <w:snapToGrid w:val="0"/>
              <w:spacing w:line="360" w:lineRule="exact"/>
              <w:rPr>
                <w:color w:val="auto"/>
                <w:szCs w:val="21"/>
                <w:highlight w:val="none"/>
              </w:rPr>
            </w:pPr>
          </w:p>
          <w:p w14:paraId="48CA6D4E">
            <w:pPr>
              <w:tabs>
                <w:tab w:val="left" w:pos="6039"/>
              </w:tabs>
              <w:snapToGrid w:val="0"/>
              <w:spacing w:line="360" w:lineRule="exact"/>
              <w:rPr>
                <w:color w:val="auto"/>
                <w:szCs w:val="21"/>
                <w:highlight w:val="none"/>
              </w:rPr>
            </w:pPr>
          </w:p>
        </w:tc>
      </w:tr>
    </w:tbl>
    <w:p w14:paraId="66E1A5E9">
      <w:pPr>
        <w:ind w:left="945" w:hanging="945" w:hangingChars="450"/>
        <w:rPr>
          <w:rFonts w:hint="eastAsia" w:ascii="宋体" w:hAnsi="宋体"/>
          <w:color w:val="auto"/>
          <w:highlight w:val="none"/>
        </w:rPr>
      </w:pPr>
    </w:p>
    <w:p w14:paraId="79A5B1A8">
      <w:pPr>
        <w:rPr>
          <w:rFonts w:hint="eastAsia" w:ascii="宋体" w:hAnsi="宋体"/>
          <w:color w:val="auto"/>
          <w:highlight w:val="none"/>
        </w:rPr>
      </w:pPr>
    </w:p>
    <w:p w14:paraId="0741F305">
      <w:pPr>
        <w:ind w:left="945" w:hanging="945" w:hangingChars="450"/>
        <w:rPr>
          <w:rFonts w:hint="eastAsia" w:ascii="Times New Roman" w:hAnsi="Times New Roman"/>
          <w:color w:val="auto"/>
          <w:highlight w:val="none"/>
        </w:rPr>
      </w:pPr>
      <w:r>
        <w:rPr>
          <w:rFonts w:hint="eastAsia"/>
          <w:color w:val="auto"/>
          <w:highlight w:val="none"/>
        </w:rPr>
        <w:t>备注：</w:t>
      </w:r>
      <w:r>
        <w:rPr>
          <w:color w:val="auto"/>
          <w:highlight w:val="none"/>
        </w:rPr>
        <w:t xml:space="preserve">1. </w:t>
      </w:r>
      <w:r>
        <w:rPr>
          <w:rFonts w:hint="eastAsia"/>
          <w:color w:val="auto"/>
          <w:highlight w:val="none"/>
        </w:rPr>
        <w:t>根据湖北省住房和城乡建设厅</w:t>
      </w:r>
      <w:r>
        <w:rPr>
          <w:color w:val="auto"/>
          <w:highlight w:val="none"/>
        </w:rPr>
        <w:t xml:space="preserve"> </w:t>
      </w:r>
      <w:r>
        <w:rPr>
          <w:rFonts w:hint="eastAsia"/>
          <w:color w:val="auto"/>
          <w:highlight w:val="none"/>
        </w:rPr>
        <w:t>《关于推动全省建筑市场统一开放的通知》</w:t>
      </w:r>
      <w:r>
        <w:rPr>
          <w:color w:val="auto"/>
          <w:highlight w:val="none"/>
        </w:rPr>
        <w:t xml:space="preserve">  </w:t>
      </w:r>
      <w:r>
        <w:rPr>
          <w:rFonts w:hint="eastAsia"/>
          <w:color w:val="auto"/>
          <w:highlight w:val="none"/>
        </w:rPr>
        <w:t>（鄂建文〔</w:t>
      </w:r>
      <w:r>
        <w:rPr>
          <w:color w:val="auto"/>
          <w:highlight w:val="none"/>
        </w:rPr>
        <w:t>2015</w:t>
      </w:r>
      <w:r>
        <w:rPr>
          <w:rFonts w:hint="eastAsia"/>
          <w:color w:val="auto"/>
          <w:highlight w:val="none"/>
        </w:rPr>
        <w:t>〕</w:t>
      </w:r>
      <w:r>
        <w:rPr>
          <w:color w:val="auto"/>
          <w:highlight w:val="none"/>
        </w:rPr>
        <w:t>83</w:t>
      </w:r>
      <w:r>
        <w:rPr>
          <w:rFonts w:hint="eastAsia"/>
          <w:color w:val="auto"/>
          <w:highlight w:val="none"/>
        </w:rPr>
        <w:t>号）的规定，“省内外建筑企业在各市州区域流动，统一实行一体化平台登记管理”。投标人应当在“湖北省建筑市场监督与诚信一体化工作平台”（网址：</w:t>
      </w:r>
      <w:r>
        <w:rPr>
          <w:color w:val="auto"/>
          <w:highlight w:val="none"/>
        </w:rPr>
        <w:t>http://jg.hbcic.net.cn/web/</w:t>
      </w:r>
      <w:r>
        <w:rPr>
          <w:rFonts w:hint="eastAsia"/>
          <w:color w:val="auto"/>
          <w:highlight w:val="none"/>
        </w:rPr>
        <w:t>）进行企业基本信息和人员信息登记，并将带二维码的名称为“建筑业企业在鄂投标信息登记表”的扫描件附在本表中。</w:t>
      </w:r>
    </w:p>
    <w:p w14:paraId="55FE6DC8">
      <w:pPr>
        <w:ind w:left="945" w:leftChars="450"/>
        <w:rPr>
          <w:color w:val="auto"/>
          <w:highlight w:val="none"/>
        </w:rPr>
      </w:pPr>
      <w:r>
        <w:rPr>
          <w:rFonts w:hint="eastAsia"/>
          <w:color w:val="auto"/>
          <w:highlight w:val="none"/>
        </w:rPr>
        <w:t>投标文件“项目管理机构主要人员表”</w:t>
      </w:r>
      <w:r>
        <w:rPr>
          <w:color w:val="auto"/>
          <w:highlight w:val="none"/>
        </w:rPr>
        <w:t xml:space="preserve"> </w:t>
      </w:r>
      <w:r>
        <w:rPr>
          <w:rFonts w:hint="eastAsia"/>
          <w:color w:val="auto"/>
          <w:highlight w:val="none"/>
        </w:rPr>
        <w:t>中的项目经理、项目技术负责人、施工管理、质量管理、安全管理人员的姓名和岗位信息应当与“建筑业企业在鄂投标信息登记表”</w:t>
      </w:r>
      <w:r>
        <w:rPr>
          <w:color w:val="auto"/>
          <w:highlight w:val="none"/>
        </w:rPr>
        <w:t xml:space="preserve"> </w:t>
      </w:r>
      <w:r>
        <w:rPr>
          <w:rFonts w:hint="eastAsia"/>
          <w:color w:val="auto"/>
          <w:highlight w:val="none"/>
        </w:rPr>
        <w:t>中的信息一致。</w:t>
      </w:r>
    </w:p>
    <w:p w14:paraId="5A940A0B">
      <w:pPr>
        <w:ind w:firstLine="735" w:firstLineChars="350"/>
        <w:rPr>
          <w:color w:val="auto"/>
          <w:highlight w:val="none"/>
        </w:rPr>
      </w:pPr>
      <w:r>
        <w:rPr>
          <w:color w:val="auto"/>
          <w:highlight w:val="none"/>
        </w:rPr>
        <w:t xml:space="preserve">2. </w:t>
      </w:r>
      <w:r>
        <w:rPr>
          <w:rFonts w:hint="eastAsia"/>
          <w:color w:val="auto"/>
          <w:highlight w:val="none"/>
        </w:rPr>
        <w:t>联合体投标的，联合体各成员均应附</w:t>
      </w:r>
      <w:r>
        <w:rPr>
          <w:color w:val="auto"/>
          <w:highlight w:val="none"/>
        </w:rPr>
        <w:t xml:space="preserve"> </w:t>
      </w:r>
      <w:r>
        <w:rPr>
          <w:rFonts w:hint="eastAsia"/>
          <w:color w:val="auto"/>
          <w:highlight w:val="none"/>
        </w:rPr>
        <w:t>“建筑业企业在鄂投标信息登记表”。</w:t>
      </w:r>
    </w:p>
    <w:p w14:paraId="3CF65B95">
      <w:pPr>
        <w:ind w:left="945" w:leftChars="350" w:hanging="210" w:hangingChars="100"/>
        <w:rPr>
          <w:color w:val="auto"/>
          <w:highlight w:val="none"/>
        </w:rPr>
      </w:pPr>
      <w:r>
        <w:rPr>
          <w:color w:val="auto"/>
          <w:highlight w:val="none"/>
        </w:rPr>
        <w:t xml:space="preserve">3. </w:t>
      </w:r>
      <w:r>
        <w:rPr>
          <w:rFonts w:hint="eastAsia"/>
          <w:color w:val="auto"/>
          <w:highlight w:val="none"/>
        </w:rPr>
        <w:t>不具备建筑业企业资质证书的企业无需在该一体化平台登记。</w:t>
      </w:r>
    </w:p>
    <w:p w14:paraId="5A7DA660">
      <w:pPr>
        <w:ind w:left="945" w:leftChars="300" w:hanging="315" w:hangingChars="150"/>
        <w:rPr>
          <w:color w:val="auto"/>
          <w:highlight w:val="none"/>
        </w:rPr>
      </w:pPr>
    </w:p>
    <w:p w14:paraId="3B14FD9F">
      <w:pPr>
        <w:jc w:val="center"/>
        <w:rPr>
          <w:rFonts w:ascii="黑体" w:hAnsi="宋体" w:eastAsia="黑体"/>
          <w:b/>
          <w:color w:val="auto"/>
          <w:sz w:val="24"/>
          <w:highlight w:val="none"/>
        </w:rPr>
      </w:pPr>
    </w:p>
    <w:p w14:paraId="20441BCF">
      <w:pPr>
        <w:pStyle w:val="33"/>
        <w:jc w:val="center"/>
        <w:rPr>
          <w:rFonts w:hint="eastAsia" w:ascii="Times New Roman" w:hAnsi="Times New Roman"/>
          <w:color w:val="auto"/>
          <w:szCs w:val="24"/>
          <w:highlight w:val="none"/>
        </w:rPr>
      </w:pPr>
      <w:bookmarkStart w:id="2478" w:name="_Toc28532435"/>
      <w:bookmarkStart w:id="2479" w:name="_Toc13732"/>
      <w:r>
        <w:rPr>
          <w:color w:val="auto"/>
          <w:szCs w:val="24"/>
          <w:highlight w:val="none"/>
        </w:rPr>
        <w:t>1-4</w:t>
      </w:r>
      <w:r>
        <w:rPr>
          <w:rFonts w:hint="eastAsia"/>
          <w:color w:val="auto"/>
          <w:szCs w:val="24"/>
          <w:highlight w:val="none"/>
        </w:rPr>
        <w:t>项目管理机构主要人员及简历表</w:t>
      </w:r>
      <w:bookmarkEnd w:id="2478"/>
      <w:bookmarkEnd w:id="2479"/>
    </w:p>
    <w:p w14:paraId="3C94F418">
      <w:pPr>
        <w:spacing w:line="400" w:lineRule="atLeast"/>
        <w:ind w:firstLine="630" w:firstLineChars="300"/>
        <w:rPr>
          <w:color w:val="auto"/>
          <w:szCs w:val="21"/>
          <w:highlight w:val="none"/>
        </w:rPr>
      </w:pPr>
    </w:p>
    <w:p w14:paraId="52895B16">
      <w:pPr>
        <w:spacing w:line="400" w:lineRule="atLeast"/>
        <w:ind w:firstLine="630" w:firstLineChars="300"/>
        <w:rPr>
          <w:rFonts w:ascii="宋体" w:hAnsi="宋体"/>
          <w:color w:val="auto"/>
          <w:szCs w:val="21"/>
          <w:highlight w:val="none"/>
        </w:rPr>
      </w:pPr>
      <w:r>
        <w:rPr>
          <w:rFonts w:hint="eastAsia" w:ascii="黑体" w:hAnsi="宋体" w:eastAsia="黑体"/>
          <w:color w:val="auto"/>
          <w:szCs w:val="21"/>
          <w:highlight w:val="none"/>
        </w:rPr>
        <w:t>说明：</w:t>
      </w:r>
      <w:r>
        <w:rPr>
          <w:rFonts w:hint="eastAsia" w:ascii="宋体" w:hAnsi="宋体"/>
          <w:color w:val="auto"/>
          <w:szCs w:val="21"/>
          <w:highlight w:val="none"/>
        </w:rPr>
        <w:t>“项目管理机构主要人员及简历表”同本章第七节。</w:t>
      </w:r>
    </w:p>
    <w:p w14:paraId="174A0B4D">
      <w:pPr>
        <w:spacing w:line="400" w:lineRule="atLeast"/>
        <w:ind w:firstLine="630" w:firstLineChars="300"/>
        <w:rPr>
          <w:rFonts w:hint="eastAsia" w:ascii="Times New Roman" w:hAnsi="Times New Roman"/>
          <w:color w:val="auto"/>
          <w:szCs w:val="21"/>
          <w:highlight w:val="none"/>
        </w:rPr>
      </w:pPr>
    </w:p>
    <w:p w14:paraId="5803D45E">
      <w:pPr>
        <w:spacing w:line="400" w:lineRule="atLeast"/>
        <w:ind w:firstLine="630" w:firstLineChars="300"/>
        <w:rPr>
          <w:color w:val="auto"/>
          <w:szCs w:val="21"/>
          <w:highlight w:val="none"/>
        </w:rPr>
      </w:pPr>
    </w:p>
    <w:p w14:paraId="27E1BF39">
      <w:pPr>
        <w:spacing w:line="400" w:lineRule="atLeast"/>
        <w:ind w:firstLine="630" w:firstLineChars="300"/>
        <w:rPr>
          <w:color w:val="auto"/>
          <w:szCs w:val="21"/>
          <w:highlight w:val="none"/>
        </w:rPr>
      </w:pPr>
    </w:p>
    <w:p w14:paraId="65658A39">
      <w:pPr>
        <w:spacing w:line="400" w:lineRule="atLeast"/>
        <w:ind w:firstLine="630" w:firstLineChars="300"/>
        <w:rPr>
          <w:color w:val="auto"/>
          <w:szCs w:val="21"/>
          <w:highlight w:val="none"/>
        </w:rPr>
      </w:pPr>
    </w:p>
    <w:p w14:paraId="3DFF8FF9">
      <w:pPr>
        <w:spacing w:line="400" w:lineRule="atLeast"/>
        <w:ind w:firstLine="630" w:firstLineChars="300"/>
        <w:rPr>
          <w:color w:val="auto"/>
          <w:szCs w:val="21"/>
          <w:highlight w:val="none"/>
        </w:rPr>
      </w:pPr>
    </w:p>
    <w:p w14:paraId="77402533">
      <w:pPr>
        <w:spacing w:line="400" w:lineRule="atLeast"/>
        <w:ind w:firstLine="630" w:firstLineChars="300"/>
        <w:rPr>
          <w:color w:val="auto"/>
          <w:szCs w:val="21"/>
          <w:highlight w:val="none"/>
        </w:rPr>
      </w:pPr>
    </w:p>
    <w:p w14:paraId="68F3B376">
      <w:pPr>
        <w:spacing w:line="400" w:lineRule="atLeast"/>
        <w:ind w:firstLine="630" w:firstLineChars="300"/>
        <w:rPr>
          <w:color w:val="auto"/>
          <w:szCs w:val="21"/>
          <w:highlight w:val="none"/>
        </w:rPr>
      </w:pPr>
    </w:p>
    <w:p w14:paraId="711C25C0">
      <w:pPr>
        <w:spacing w:line="400" w:lineRule="atLeast"/>
        <w:ind w:firstLine="630" w:firstLineChars="300"/>
        <w:rPr>
          <w:color w:val="auto"/>
          <w:szCs w:val="21"/>
          <w:highlight w:val="none"/>
        </w:rPr>
      </w:pPr>
    </w:p>
    <w:p w14:paraId="1378F1B5">
      <w:pPr>
        <w:spacing w:line="400" w:lineRule="atLeast"/>
        <w:ind w:firstLine="630" w:firstLineChars="300"/>
        <w:rPr>
          <w:color w:val="auto"/>
          <w:szCs w:val="21"/>
          <w:highlight w:val="none"/>
        </w:rPr>
      </w:pPr>
    </w:p>
    <w:p w14:paraId="54CAC4A0">
      <w:pPr>
        <w:spacing w:line="400" w:lineRule="atLeast"/>
        <w:ind w:firstLine="630" w:firstLineChars="300"/>
        <w:rPr>
          <w:color w:val="auto"/>
          <w:szCs w:val="21"/>
          <w:highlight w:val="none"/>
        </w:rPr>
      </w:pPr>
    </w:p>
    <w:p w14:paraId="29FF6D74">
      <w:pPr>
        <w:spacing w:line="400" w:lineRule="atLeast"/>
        <w:ind w:firstLine="630" w:firstLineChars="300"/>
        <w:rPr>
          <w:color w:val="auto"/>
          <w:szCs w:val="21"/>
          <w:highlight w:val="none"/>
        </w:rPr>
      </w:pPr>
    </w:p>
    <w:p w14:paraId="7315E90E">
      <w:pPr>
        <w:spacing w:line="400" w:lineRule="atLeast"/>
        <w:ind w:firstLine="630" w:firstLineChars="300"/>
        <w:rPr>
          <w:color w:val="auto"/>
          <w:szCs w:val="21"/>
          <w:highlight w:val="none"/>
        </w:rPr>
      </w:pPr>
    </w:p>
    <w:p w14:paraId="5DC0904D">
      <w:pPr>
        <w:spacing w:line="400" w:lineRule="atLeast"/>
        <w:ind w:firstLine="630" w:firstLineChars="300"/>
        <w:rPr>
          <w:color w:val="auto"/>
          <w:szCs w:val="21"/>
          <w:highlight w:val="none"/>
        </w:rPr>
      </w:pPr>
    </w:p>
    <w:p w14:paraId="1A9CDF37">
      <w:pPr>
        <w:spacing w:line="400" w:lineRule="atLeast"/>
        <w:ind w:firstLine="630" w:firstLineChars="300"/>
        <w:rPr>
          <w:color w:val="auto"/>
          <w:szCs w:val="21"/>
          <w:highlight w:val="none"/>
        </w:rPr>
      </w:pPr>
    </w:p>
    <w:p w14:paraId="38E0F9AF">
      <w:pPr>
        <w:spacing w:line="400" w:lineRule="atLeast"/>
        <w:ind w:firstLine="630" w:firstLineChars="300"/>
        <w:rPr>
          <w:color w:val="auto"/>
          <w:szCs w:val="21"/>
          <w:highlight w:val="none"/>
        </w:rPr>
      </w:pPr>
    </w:p>
    <w:p w14:paraId="3AD8B33E">
      <w:pPr>
        <w:spacing w:line="400" w:lineRule="atLeast"/>
        <w:ind w:firstLine="630" w:firstLineChars="300"/>
        <w:rPr>
          <w:color w:val="auto"/>
          <w:szCs w:val="21"/>
          <w:highlight w:val="none"/>
        </w:rPr>
      </w:pPr>
    </w:p>
    <w:p w14:paraId="312ACACE">
      <w:pPr>
        <w:spacing w:line="400" w:lineRule="atLeast"/>
        <w:ind w:firstLine="630" w:firstLineChars="300"/>
        <w:rPr>
          <w:color w:val="auto"/>
          <w:szCs w:val="21"/>
          <w:highlight w:val="none"/>
        </w:rPr>
      </w:pPr>
    </w:p>
    <w:p w14:paraId="363D6757">
      <w:pPr>
        <w:spacing w:line="400" w:lineRule="atLeast"/>
        <w:ind w:firstLine="630" w:firstLineChars="300"/>
        <w:rPr>
          <w:color w:val="auto"/>
          <w:szCs w:val="21"/>
          <w:highlight w:val="none"/>
        </w:rPr>
      </w:pPr>
    </w:p>
    <w:p w14:paraId="2231429D">
      <w:pPr>
        <w:spacing w:line="400" w:lineRule="atLeast"/>
        <w:ind w:firstLine="630" w:firstLineChars="300"/>
        <w:rPr>
          <w:color w:val="auto"/>
          <w:szCs w:val="21"/>
          <w:highlight w:val="none"/>
        </w:rPr>
      </w:pPr>
    </w:p>
    <w:p w14:paraId="27AF4ED4">
      <w:pPr>
        <w:spacing w:line="400" w:lineRule="atLeast"/>
        <w:ind w:firstLine="630" w:firstLineChars="300"/>
        <w:rPr>
          <w:color w:val="auto"/>
          <w:szCs w:val="21"/>
          <w:highlight w:val="none"/>
        </w:rPr>
      </w:pPr>
    </w:p>
    <w:p w14:paraId="517CFC27">
      <w:pPr>
        <w:spacing w:line="400" w:lineRule="atLeast"/>
        <w:ind w:firstLine="630" w:firstLineChars="300"/>
        <w:rPr>
          <w:color w:val="auto"/>
          <w:szCs w:val="21"/>
          <w:highlight w:val="none"/>
        </w:rPr>
      </w:pPr>
    </w:p>
    <w:p w14:paraId="200A5C30">
      <w:pPr>
        <w:spacing w:line="400" w:lineRule="atLeast"/>
        <w:ind w:firstLine="630" w:firstLineChars="300"/>
        <w:rPr>
          <w:color w:val="auto"/>
          <w:szCs w:val="21"/>
          <w:highlight w:val="none"/>
        </w:rPr>
      </w:pPr>
    </w:p>
    <w:p w14:paraId="6EA20F95">
      <w:pPr>
        <w:spacing w:line="400" w:lineRule="atLeast"/>
        <w:ind w:firstLine="630" w:firstLineChars="300"/>
        <w:rPr>
          <w:color w:val="auto"/>
          <w:szCs w:val="21"/>
          <w:highlight w:val="none"/>
        </w:rPr>
      </w:pPr>
    </w:p>
    <w:p w14:paraId="5E2F8DEF">
      <w:pPr>
        <w:spacing w:line="400" w:lineRule="atLeast"/>
        <w:ind w:firstLine="630" w:firstLineChars="300"/>
        <w:rPr>
          <w:color w:val="auto"/>
          <w:szCs w:val="21"/>
          <w:highlight w:val="none"/>
        </w:rPr>
      </w:pPr>
    </w:p>
    <w:p w14:paraId="5698F9C4">
      <w:pPr>
        <w:spacing w:line="400" w:lineRule="atLeast"/>
        <w:ind w:firstLine="630" w:firstLineChars="300"/>
        <w:rPr>
          <w:color w:val="auto"/>
          <w:szCs w:val="21"/>
          <w:highlight w:val="none"/>
        </w:rPr>
      </w:pPr>
    </w:p>
    <w:p w14:paraId="54DC4395">
      <w:pPr>
        <w:spacing w:line="400" w:lineRule="atLeast"/>
        <w:ind w:firstLine="630" w:firstLineChars="300"/>
        <w:rPr>
          <w:color w:val="auto"/>
          <w:szCs w:val="21"/>
          <w:highlight w:val="none"/>
        </w:rPr>
      </w:pPr>
    </w:p>
    <w:p w14:paraId="0B10CF90">
      <w:pPr>
        <w:spacing w:line="400" w:lineRule="atLeast"/>
        <w:ind w:firstLine="630" w:firstLineChars="300"/>
        <w:rPr>
          <w:color w:val="auto"/>
          <w:szCs w:val="21"/>
          <w:highlight w:val="none"/>
        </w:rPr>
      </w:pPr>
    </w:p>
    <w:p w14:paraId="328A755C">
      <w:pPr>
        <w:spacing w:line="400" w:lineRule="atLeast"/>
        <w:ind w:firstLine="630" w:firstLineChars="300"/>
        <w:rPr>
          <w:color w:val="auto"/>
          <w:szCs w:val="21"/>
          <w:highlight w:val="none"/>
        </w:rPr>
      </w:pPr>
    </w:p>
    <w:p w14:paraId="1F2953C3">
      <w:pPr>
        <w:spacing w:line="400" w:lineRule="atLeast"/>
        <w:ind w:firstLine="630" w:firstLineChars="300"/>
        <w:rPr>
          <w:color w:val="auto"/>
          <w:szCs w:val="21"/>
          <w:highlight w:val="none"/>
        </w:rPr>
      </w:pPr>
    </w:p>
    <w:p w14:paraId="06395026">
      <w:pPr>
        <w:spacing w:line="400" w:lineRule="atLeast"/>
        <w:ind w:firstLine="630" w:firstLineChars="300"/>
        <w:rPr>
          <w:color w:val="auto"/>
          <w:szCs w:val="21"/>
          <w:highlight w:val="none"/>
        </w:rPr>
      </w:pPr>
    </w:p>
    <w:p w14:paraId="308474BD">
      <w:pPr>
        <w:widowControl/>
        <w:jc w:val="left"/>
        <w:rPr>
          <w:color w:val="auto"/>
          <w:szCs w:val="21"/>
          <w:highlight w:val="none"/>
        </w:rPr>
        <w:sectPr>
          <w:pgSz w:w="11907" w:h="16840"/>
          <w:pgMar w:top="1701" w:right="1531" w:bottom="1588" w:left="1474" w:header="851" w:footer="992" w:gutter="0"/>
          <w:pgNumType w:fmt="decimal"/>
          <w:cols w:space="720" w:num="1"/>
        </w:sectPr>
      </w:pPr>
    </w:p>
    <w:p w14:paraId="7BC84774">
      <w:pPr>
        <w:spacing w:line="400" w:lineRule="atLeast"/>
        <w:ind w:firstLine="630" w:firstLineChars="300"/>
        <w:rPr>
          <w:color w:val="auto"/>
          <w:szCs w:val="21"/>
          <w:highlight w:val="none"/>
        </w:rPr>
      </w:pPr>
    </w:p>
    <w:p w14:paraId="0FECDEA2">
      <w:pPr>
        <w:pStyle w:val="33"/>
        <w:jc w:val="center"/>
        <w:rPr>
          <w:rFonts w:ascii="黑体" w:hAnsi="宋体"/>
          <w:b/>
          <w:color w:val="auto"/>
          <w:highlight w:val="none"/>
        </w:rPr>
      </w:pPr>
      <w:bookmarkStart w:id="2480" w:name="_Toc28532436"/>
      <w:bookmarkStart w:id="2481" w:name="_Toc15830"/>
      <w:r>
        <w:rPr>
          <w:color w:val="auto"/>
          <w:szCs w:val="24"/>
          <w:highlight w:val="none"/>
        </w:rPr>
        <w:t>1-5</w:t>
      </w:r>
      <w:r>
        <w:rPr>
          <w:rFonts w:hint="eastAsia"/>
          <w:color w:val="auto"/>
          <w:szCs w:val="24"/>
          <w:highlight w:val="none"/>
        </w:rPr>
        <w:t>拟投入主要施工机械设备情况表</w:t>
      </w:r>
      <w:bookmarkEnd w:id="2480"/>
      <w:bookmarkEnd w:id="2481"/>
    </w:p>
    <w:p w14:paraId="67F7F6D3">
      <w:pPr>
        <w:spacing w:line="400" w:lineRule="exact"/>
        <w:rPr>
          <w:rFonts w:hint="eastAsia" w:ascii="Times New Roman" w:hAnsi="Times New Roman" w:eastAsia="黑体"/>
          <w:color w:val="auto"/>
          <w:sz w:val="28"/>
          <w:szCs w:val="20"/>
          <w:highlight w:val="none"/>
        </w:rPr>
      </w:pPr>
    </w:p>
    <w:tbl>
      <w:tblPr>
        <w:tblStyle w:val="1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66"/>
        <w:gridCol w:w="1966"/>
        <w:gridCol w:w="1966"/>
        <w:gridCol w:w="1967"/>
        <w:gridCol w:w="1967"/>
        <w:gridCol w:w="1967"/>
        <w:gridCol w:w="1968"/>
      </w:tblGrid>
      <w:tr w14:paraId="6B79F2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8" w:space="0"/>
              <w:left w:val="single" w:color="auto" w:sz="8" w:space="0"/>
              <w:bottom w:val="single" w:color="auto" w:sz="4" w:space="0"/>
              <w:right w:val="single" w:color="auto" w:sz="4" w:space="0"/>
            </w:tcBorders>
            <w:noWrap w:val="0"/>
            <w:vAlign w:val="center"/>
          </w:tcPr>
          <w:p w14:paraId="0133FDED">
            <w:pPr>
              <w:jc w:val="center"/>
              <w:rPr>
                <w:rFonts w:ascii="宋体" w:hAnsi="宋体"/>
                <w:color w:val="auto"/>
                <w:szCs w:val="21"/>
                <w:highlight w:val="none"/>
              </w:rPr>
            </w:pPr>
            <w:r>
              <w:rPr>
                <w:rFonts w:hint="eastAsia" w:ascii="宋体" w:hAnsi="宋体"/>
                <w:color w:val="auto"/>
                <w:szCs w:val="21"/>
                <w:highlight w:val="none"/>
              </w:rPr>
              <w:t>机械设备名称</w:t>
            </w:r>
          </w:p>
        </w:tc>
        <w:tc>
          <w:tcPr>
            <w:tcW w:w="2031" w:type="dxa"/>
            <w:tcBorders>
              <w:top w:val="single" w:color="auto" w:sz="8" w:space="0"/>
              <w:left w:val="single" w:color="auto" w:sz="4" w:space="0"/>
              <w:bottom w:val="single" w:color="auto" w:sz="4" w:space="0"/>
              <w:right w:val="single" w:color="auto" w:sz="4" w:space="0"/>
            </w:tcBorders>
            <w:noWrap w:val="0"/>
            <w:vAlign w:val="center"/>
          </w:tcPr>
          <w:p w14:paraId="6E476B6B">
            <w:pPr>
              <w:jc w:val="center"/>
              <w:rPr>
                <w:rFonts w:ascii="宋体" w:hAnsi="宋体"/>
                <w:color w:val="auto"/>
                <w:szCs w:val="21"/>
                <w:highlight w:val="none"/>
              </w:rPr>
            </w:pPr>
            <w:r>
              <w:rPr>
                <w:rFonts w:hint="eastAsia" w:ascii="宋体" w:hAnsi="宋体"/>
                <w:color w:val="auto"/>
                <w:szCs w:val="21"/>
                <w:highlight w:val="none"/>
              </w:rPr>
              <w:t>型号规格</w:t>
            </w:r>
          </w:p>
        </w:tc>
        <w:tc>
          <w:tcPr>
            <w:tcW w:w="2031" w:type="dxa"/>
            <w:tcBorders>
              <w:top w:val="single" w:color="auto" w:sz="8" w:space="0"/>
              <w:left w:val="single" w:color="auto" w:sz="4" w:space="0"/>
              <w:bottom w:val="single" w:color="auto" w:sz="4" w:space="0"/>
              <w:right w:val="single" w:color="auto" w:sz="4" w:space="0"/>
            </w:tcBorders>
            <w:noWrap w:val="0"/>
            <w:vAlign w:val="center"/>
          </w:tcPr>
          <w:p w14:paraId="74CE6DA9">
            <w:pPr>
              <w:jc w:val="center"/>
              <w:rPr>
                <w:rFonts w:ascii="宋体" w:hAnsi="宋体"/>
                <w:color w:val="auto"/>
                <w:szCs w:val="21"/>
                <w:highlight w:val="none"/>
              </w:rPr>
            </w:pPr>
            <w:r>
              <w:rPr>
                <w:rFonts w:hint="eastAsia" w:ascii="宋体" w:hAnsi="宋体"/>
                <w:color w:val="auto"/>
                <w:szCs w:val="21"/>
                <w:highlight w:val="none"/>
              </w:rPr>
              <w:t>数  量</w:t>
            </w:r>
          </w:p>
        </w:tc>
        <w:tc>
          <w:tcPr>
            <w:tcW w:w="2031" w:type="dxa"/>
            <w:tcBorders>
              <w:top w:val="single" w:color="auto" w:sz="8" w:space="0"/>
              <w:left w:val="single" w:color="auto" w:sz="4" w:space="0"/>
              <w:bottom w:val="single" w:color="auto" w:sz="4" w:space="0"/>
              <w:right w:val="single" w:color="auto" w:sz="4" w:space="0"/>
            </w:tcBorders>
            <w:noWrap w:val="0"/>
            <w:vAlign w:val="center"/>
          </w:tcPr>
          <w:p w14:paraId="2EDB317D">
            <w:pPr>
              <w:jc w:val="center"/>
              <w:rPr>
                <w:rFonts w:ascii="宋体" w:hAnsi="宋体"/>
                <w:color w:val="auto"/>
                <w:szCs w:val="21"/>
                <w:highlight w:val="none"/>
              </w:rPr>
            </w:pPr>
            <w:r>
              <w:rPr>
                <w:rFonts w:hint="eastAsia" w:ascii="宋体" w:hAnsi="宋体"/>
                <w:color w:val="auto"/>
                <w:szCs w:val="21"/>
                <w:highlight w:val="none"/>
              </w:rPr>
              <w:t>目前状况</w:t>
            </w:r>
          </w:p>
        </w:tc>
        <w:tc>
          <w:tcPr>
            <w:tcW w:w="2031" w:type="dxa"/>
            <w:tcBorders>
              <w:top w:val="single" w:color="auto" w:sz="8" w:space="0"/>
              <w:left w:val="single" w:color="auto" w:sz="4" w:space="0"/>
              <w:bottom w:val="single" w:color="auto" w:sz="4" w:space="0"/>
              <w:right w:val="single" w:color="auto" w:sz="4" w:space="0"/>
            </w:tcBorders>
            <w:noWrap w:val="0"/>
            <w:vAlign w:val="center"/>
          </w:tcPr>
          <w:p w14:paraId="22D55EA7">
            <w:pPr>
              <w:jc w:val="center"/>
              <w:rPr>
                <w:rFonts w:ascii="宋体" w:hAnsi="宋体"/>
                <w:color w:val="auto"/>
                <w:szCs w:val="21"/>
                <w:highlight w:val="none"/>
              </w:rPr>
            </w:pPr>
            <w:r>
              <w:rPr>
                <w:rFonts w:hint="eastAsia" w:ascii="宋体" w:hAnsi="宋体"/>
                <w:color w:val="auto"/>
                <w:szCs w:val="21"/>
                <w:highlight w:val="none"/>
              </w:rPr>
              <w:t>来  源</w:t>
            </w:r>
          </w:p>
        </w:tc>
        <w:tc>
          <w:tcPr>
            <w:tcW w:w="2031" w:type="dxa"/>
            <w:tcBorders>
              <w:top w:val="single" w:color="auto" w:sz="8" w:space="0"/>
              <w:left w:val="single" w:color="auto" w:sz="4" w:space="0"/>
              <w:bottom w:val="single" w:color="auto" w:sz="4" w:space="0"/>
              <w:right w:val="single" w:color="auto" w:sz="4" w:space="0"/>
            </w:tcBorders>
            <w:noWrap w:val="0"/>
            <w:vAlign w:val="center"/>
          </w:tcPr>
          <w:p w14:paraId="4E74607E">
            <w:pPr>
              <w:jc w:val="center"/>
              <w:rPr>
                <w:rFonts w:ascii="宋体" w:hAnsi="宋体"/>
                <w:color w:val="auto"/>
                <w:szCs w:val="21"/>
                <w:highlight w:val="none"/>
              </w:rPr>
            </w:pPr>
            <w:r>
              <w:rPr>
                <w:rFonts w:hint="eastAsia" w:ascii="宋体" w:hAnsi="宋体"/>
                <w:color w:val="auto"/>
                <w:szCs w:val="21"/>
                <w:highlight w:val="none"/>
              </w:rPr>
              <w:t>现停放地点</w:t>
            </w:r>
          </w:p>
        </w:tc>
        <w:tc>
          <w:tcPr>
            <w:tcW w:w="2032" w:type="dxa"/>
            <w:tcBorders>
              <w:top w:val="single" w:color="auto" w:sz="8" w:space="0"/>
              <w:left w:val="single" w:color="auto" w:sz="4" w:space="0"/>
              <w:bottom w:val="single" w:color="auto" w:sz="4" w:space="0"/>
              <w:right w:val="single" w:color="auto" w:sz="8" w:space="0"/>
            </w:tcBorders>
            <w:noWrap w:val="0"/>
            <w:vAlign w:val="center"/>
          </w:tcPr>
          <w:p w14:paraId="33694066">
            <w:pPr>
              <w:jc w:val="center"/>
              <w:rPr>
                <w:rFonts w:ascii="宋体" w:hAnsi="宋体"/>
                <w:color w:val="auto"/>
                <w:szCs w:val="21"/>
                <w:highlight w:val="none"/>
              </w:rPr>
            </w:pPr>
            <w:r>
              <w:rPr>
                <w:rFonts w:hint="eastAsia" w:ascii="宋体" w:hAnsi="宋体"/>
                <w:color w:val="auto"/>
                <w:szCs w:val="21"/>
                <w:highlight w:val="none"/>
              </w:rPr>
              <w:t>备  注</w:t>
            </w:r>
          </w:p>
        </w:tc>
      </w:tr>
      <w:tr w14:paraId="4F3C3D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4" w:space="0"/>
              <w:right w:val="single" w:color="auto" w:sz="4" w:space="0"/>
            </w:tcBorders>
            <w:noWrap w:val="0"/>
            <w:vAlign w:val="center"/>
          </w:tcPr>
          <w:p w14:paraId="05A59D07">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2B642E79">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7985AF4D">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292F7A5D">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04111401">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3BC68188">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8" w:space="0"/>
            </w:tcBorders>
            <w:noWrap w:val="0"/>
            <w:vAlign w:val="center"/>
          </w:tcPr>
          <w:p w14:paraId="47F9DDF4">
            <w:pPr>
              <w:jc w:val="center"/>
              <w:rPr>
                <w:rFonts w:ascii="宋体" w:hAnsi="宋体"/>
                <w:color w:val="auto"/>
                <w:szCs w:val="21"/>
                <w:highlight w:val="none"/>
              </w:rPr>
            </w:pPr>
          </w:p>
        </w:tc>
      </w:tr>
      <w:tr w14:paraId="32C59C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4" w:space="0"/>
              <w:right w:val="single" w:color="auto" w:sz="4" w:space="0"/>
            </w:tcBorders>
            <w:noWrap w:val="0"/>
            <w:vAlign w:val="center"/>
          </w:tcPr>
          <w:p w14:paraId="2B6AFA07">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7135F6AF">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0E0E0F1B">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586C950F">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76737D68">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030CA4FE">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8" w:space="0"/>
            </w:tcBorders>
            <w:noWrap w:val="0"/>
            <w:vAlign w:val="center"/>
          </w:tcPr>
          <w:p w14:paraId="643E8F44">
            <w:pPr>
              <w:jc w:val="center"/>
              <w:rPr>
                <w:rFonts w:ascii="宋体" w:hAnsi="宋体"/>
                <w:color w:val="auto"/>
                <w:szCs w:val="21"/>
                <w:highlight w:val="none"/>
              </w:rPr>
            </w:pPr>
          </w:p>
        </w:tc>
      </w:tr>
      <w:tr w14:paraId="544168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4" w:space="0"/>
              <w:right w:val="single" w:color="auto" w:sz="4" w:space="0"/>
            </w:tcBorders>
            <w:noWrap w:val="0"/>
            <w:vAlign w:val="center"/>
          </w:tcPr>
          <w:p w14:paraId="4B1D1C29">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5C383268">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4B57EE6A">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01B987FF">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28E8719F">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6BCC22FD">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8" w:space="0"/>
            </w:tcBorders>
            <w:noWrap w:val="0"/>
            <w:vAlign w:val="center"/>
          </w:tcPr>
          <w:p w14:paraId="3F7B9855">
            <w:pPr>
              <w:jc w:val="center"/>
              <w:rPr>
                <w:rFonts w:ascii="宋体" w:hAnsi="宋体"/>
                <w:color w:val="auto"/>
                <w:szCs w:val="21"/>
                <w:highlight w:val="none"/>
              </w:rPr>
            </w:pPr>
          </w:p>
        </w:tc>
      </w:tr>
      <w:tr w14:paraId="74EA74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4" w:space="0"/>
              <w:right w:val="single" w:color="auto" w:sz="4" w:space="0"/>
            </w:tcBorders>
            <w:noWrap w:val="0"/>
            <w:vAlign w:val="center"/>
          </w:tcPr>
          <w:p w14:paraId="27C58E72">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0F9EB053">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60F1E61F">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2068A846">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04F043FA">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18A141C5">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8" w:space="0"/>
            </w:tcBorders>
            <w:noWrap w:val="0"/>
            <w:vAlign w:val="center"/>
          </w:tcPr>
          <w:p w14:paraId="1D6090F3">
            <w:pPr>
              <w:jc w:val="center"/>
              <w:rPr>
                <w:rFonts w:ascii="宋体" w:hAnsi="宋体"/>
                <w:color w:val="auto"/>
                <w:szCs w:val="21"/>
                <w:highlight w:val="none"/>
              </w:rPr>
            </w:pPr>
          </w:p>
        </w:tc>
      </w:tr>
      <w:tr w14:paraId="636665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4" w:space="0"/>
              <w:right w:val="single" w:color="auto" w:sz="4" w:space="0"/>
            </w:tcBorders>
            <w:noWrap w:val="0"/>
            <w:vAlign w:val="center"/>
          </w:tcPr>
          <w:p w14:paraId="164704BE">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4324BC78">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6CF28317">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7B607BE8">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04363911">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6615FADB">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8" w:space="0"/>
            </w:tcBorders>
            <w:noWrap w:val="0"/>
            <w:vAlign w:val="center"/>
          </w:tcPr>
          <w:p w14:paraId="233328AE">
            <w:pPr>
              <w:jc w:val="center"/>
              <w:rPr>
                <w:rFonts w:ascii="宋体" w:hAnsi="宋体"/>
                <w:color w:val="auto"/>
                <w:szCs w:val="21"/>
                <w:highlight w:val="none"/>
              </w:rPr>
            </w:pPr>
          </w:p>
        </w:tc>
      </w:tr>
      <w:tr w14:paraId="355AA1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4" w:space="0"/>
              <w:right w:val="single" w:color="auto" w:sz="4" w:space="0"/>
            </w:tcBorders>
            <w:noWrap w:val="0"/>
            <w:vAlign w:val="center"/>
          </w:tcPr>
          <w:p w14:paraId="102190C0">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434A8853">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23A946E2">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33CF6E22">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6AD3D4C2">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7C9FC268">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8" w:space="0"/>
            </w:tcBorders>
            <w:noWrap w:val="0"/>
            <w:vAlign w:val="center"/>
          </w:tcPr>
          <w:p w14:paraId="664BA3FD">
            <w:pPr>
              <w:jc w:val="center"/>
              <w:rPr>
                <w:rFonts w:ascii="宋体" w:hAnsi="宋体"/>
                <w:color w:val="auto"/>
                <w:szCs w:val="21"/>
                <w:highlight w:val="none"/>
              </w:rPr>
            </w:pPr>
          </w:p>
        </w:tc>
      </w:tr>
      <w:tr w14:paraId="1FDC5B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4" w:space="0"/>
              <w:right w:val="single" w:color="auto" w:sz="4" w:space="0"/>
            </w:tcBorders>
            <w:noWrap w:val="0"/>
            <w:vAlign w:val="center"/>
          </w:tcPr>
          <w:p w14:paraId="1C8C2809">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24D39E47">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1F73DC1A">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399F5144">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6648B0EA">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4" w:space="0"/>
              <w:right w:val="single" w:color="auto" w:sz="4" w:space="0"/>
            </w:tcBorders>
            <w:noWrap w:val="0"/>
            <w:vAlign w:val="center"/>
          </w:tcPr>
          <w:p w14:paraId="6AF9E625">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4" w:space="0"/>
              <w:right w:val="single" w:color="auto" w:sz="8" w:space="0"/>
            </w:tcBorders>
            <w:noWrap w:val="0"/>
            <w:vAlign w:val="center"/>
          </w:tcPr>
          <w:p w14:paraId="42CE8D89">
            <w:pPr>
              <w:jc w:val="center"/>
              <w:rPr>
                <w:rFonts w:ascii="宋体" w:hAnsi="宋体"/>
                <w:color w:val="auto"/>
                <w:szCs w:val="21"/>
                <w:highlight w:val="none"/>
              </w:rPr>
            </w:pPr>
          </w:p>
        </w:tc>
      </w:tr>
      <w:tr w14:paraId="48FDCB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tcBorders>
              <w:top w:val="single" w:color="auto" w:sz="4" w:space="0"/>
              <w:left w:val="single" w:color="auto" w:sz="8" w:space="0"/>
              <w:bottom w:val="single" w:color="auto" w:sz="8" w:space="0"/>
              <w:right w:val="single" w:color="auto" w:sz="4" w:space="0"/>
            </w:tcBorders>
            <w:noWrap w:val="0"/>
            <w:vAlign w:val="center"/>
          </w:tcPr>
          <w:p w14:paraId="7ECDB0A1">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8" w:space="0"/>
              <w:right w:val="single" w:color="auto" w:sz="4" w:space="0"/>
            </w:tcBorders>
            <w:noWrap w:val="0"/>
            <w:vAlign w:val="center"/>
          </w:tcPr>
          <w:p w14:paraId="30918BD9">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8" w:space="0"/>
              <w:right w:val="single" w:color="auto" w:sz="4" w:space="0"/>
            </w:tcBorders>
            <w:noWrap w:val="0"/>
            <w:vAlign w:val="center"/>
          </w:tcPr>
          <w:p w14:paraId="6405E374">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8" w:space="0"/>
              <w:right w:val="single" w:color="auto" w:sz="4" w:space="0"/>
            </w:tcBorders>
            <w:noWrap w:val="0"/>
            <w:vAlign w:val="center"/>
          </w:tcPr>
          <w:p w14:paraId="2EE1468E">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8" w:space="0"/>
              <w:right w:val="single" w:color="auto" w:sz="4" w:space="0"/>
            </w:tcBorders>
            <w:noWrap w:val="0"/>
            <w:vAlign w:val="center"/>
          </w:tcPr>
          <w:p w14:paraId="78CD431C">
            <w:pPr>
              <w:jc w:val="center"/>
              <w:rPr>
                <w:rFonts w:ascii="宋体" w:hAnsi="宋体"/>
                <w:color w:val="auto"/>
                <w:szCs w:val="21"/>
                <w:highlight w:val="none"/>
              </w:rPr>
            </w:pPr>
          </w:p>
        </w:tc>
        <w:tc>
          <w:tcPr>
            <w:tcW w:w="2031" w:type="dxa"/>
            <w:tcBorders>
              <w:top w:val="single" w:color="auto" w:sz="4" w:space="0"/>
              <w:left w:val="single" w:color="auto" w:sz="4" w:space="0"/>
              <w:bottom w:val="single" w:color="auto" w:sz="8" w:space="0"/>
              <w:right w:val="single" w:color="auto" w:sz="4" w:space="0"/>
            </w:tcBorders>
            <w:noWrap w:val="0"/>
            <w:vAlign w:val="center"/>
          </w:tcPr>
          <w:p w14:paraId="774C2FBA">
            <w:pPr>
              <w:jc w:val="center"/>
              <w:rPr>
                <w:rFonts w:ascii="宋体" w:hAnsi="宋体"/>
                <w:color w:val="auto"/>
                <w:szCs w:val="21"/>
                <w:highlight w:val="none"/>
              </w:rPr>
            </w:pPr>
          </w:p>
        </w:tc>
        <w:tc>
          <w:tcPr>
            <w:tcW w:w="2032" w:type="dxa"/>
            <w:tcBorders>
              <w:top w:val="single" w:color="auto" w:sz="4" w:space="0"/>
              <w:left w:val="single" w:color="auto" w:sz="4" w:space="0"/>
              <w:bottom w:val="single" w:color="auto" w:sz="8" w:space="0"/>
              <w:right w:val="single" w:color="auto" w:sz="8" w:space="0"/>
            </w:tcBorders>
            <w:noWrap w:val="0"/>
            <w:vAlign w:val="center"/>
          </w:tcPr>
          <w:p w14:paraId="61DDADD1">
            <w:pPr>
              <w:jc w:val="center"/>
              <w:rPr>
                <w:rFonts w:ascii="宋体" w:hAnsi="宋体"/>
                <w:color w:val="auto"/>
                <w:szCs w:val="21"/>
                <w:highlight w:val="none"/>
              </w:rPr>
            </w:pPr>
          </w:p>
        </w:tc>
      </w:tr>
    </w:tbl>
    <w:p w14:paraId="3747DD3F">
      <w:pPr>
        <w:spacing w:line="400" w:lineRule="exact"/>
        <w:ind w:left="630" w:hanging="630" w:hangingChars="300"/>
        <w:rPr>
          <w:rFonts w:ascii="宋体" w:hAnsi="宋体"/>
          <w:color w:val="auto"/>
          <w:szCs w:val="21"/>
          <w:highlight w:val="none"/>
        </w:rPr>
      </w:pPr>
      <w:r>
        <w:rPr>
          <w:rFonts w:hint="eastAsia" w:ascii="宋体" w:hAnsi="宋体"/>
          <w:color w:val="auto"/>
          <w:szCs w:val="21"/>
          <w:highlight w:val="none"/>
        </w:rPr>
        <w:t>备注：“目前状况”应说明已使用年限、是否完好以及目前是否正在使用，“来源”分为“自有”和“市场租赁”两种情况，正在使用中的设备应在“备注”中注明何时能够投入本项目。本招标项目（标段）投标人资质条件、能力和信誉中要求的主要施工机械设备，投标人应提供相关证明材料，如</w:t>
      </w:r>
      <w:r>
        <w:rPr>
          <w:rFonts w:hint="eastAsia"/>
          <w:color w:val="auto"/>
          <w:szCs w:val="21"/>
          <w:highlight w:val="none"/>
        </w:rPr>
        <w:t>自有设备的原始发票扫描件、折旧政策、停放地点和使用状况等的说明文件，租赁设备的租赁意向书或带条件生效的租赁合同扫描件。</w:t>
      </w:r>
    </w:p>
    <w:p w14:paraId="4CD9B100">
      <w:pPr>
        <w:widowControl/>
        <w:jc w:val="left"/>
        <w:rPr>
          <w:rFonts w:eastAsia="黑体" w:cs="宋体"/>
          <w:color w:val="auto"/>
          <w:sz w:val="24"/>
          <w:highlight w:val="none"/>
        </w:rPr>
        <w:sectPr>
          <w:pgSz w:w="16840" w:h="11907" w:orient="landscape"/>
          <w:pgMar w:top="1474" w:right="1701" w:bottom="1531" w:left="1588" w:header="851" w:footer="992" w:gutter="0"/>
          <w:pgNumType w:fmt="decimal"/>
          <w:cols w:space="720" w:num="1"/>
        </w:sectPr>
      </w:pPr>
    </w:p>
    <w:p w14:paraId="39F3CB8F">
      <w:pPr>
        <w:pStyle w:val="33"/>
        <w:jc w:val="center"/>
        <w:rPr>
          <w:rFonts w:hint="eastAsia" w:ascii="Times New Roman" w:hAnsi="Times New Roman"/>
          <w:color w:val="auto"/>
          <w:szCs w:val="24"/>
          <w:highlight w:val="none"/>
        </w:rPr>
      </w:pPr>
      <w:bookmarkStart w:id="2482" w:name="_Toc14003"/>
      <w:bookmarkStart w:id="2483" w:name="_Toc28532437"/>
      <w:r>
        <w:rPr>
          <w:rFonts w:hint="eastAsia"/>
          <w:color w:val="auto"/>
          <w:szCs w:val="24"/>
          <w:highlight w:val="none"/>
        </w:rPr>
        <w:t>（二）近</w:t>
      </w:r>
      <w:r>
        <w:rPr>
          <w:color w:val="auto"/>
          <w:szCs w:val="24"/>
          <w:highlight w:val="none"/>
        </w:rPr>
        <w:t>3</w:t>
      </w:r>
      <w:r>
        <w:rPr>
          <w:rFonts w:hint="eastAsia"/>
          <w:color w:val="auto"/>
          <w:szCs w:val="24"/>
          <w:highlight w:val="none"/>
        </w:rPr>
        <w:t>年财务状况</w:t>
      </w:r>
      <w:bookmarkEnd w:id="2482"/>
      <w:bookmarkEnd w:id="2483"/>
    </w:p>
    <w:p w14:paraId="2855A9B9">
      <w:pPr>
        <w:pStyle w:val="33"/>
        <w:jc w:val="center"/>
        <w:rPr>
          <w:color w:val="auto"/>
          <w:szCs w:val="24"/>
          <w:highlight w:val="none"/>
        </w:rPr>
      </w:pPr>
      <w:bookmarkStart w:id="2484" w:name="_Toc28532438"/>
      <w:bookmarkStart w:id="2485" w:name="_Toc3124"/>
      <w:r>
        <w:rPr>
          <w:color w:val="auto"/>
          <w:szCs w:val="24"/>
          <w:highlight w:val="none"/>
        </w:rPr>
        <w:t>2-1</w:t>
      </w:r>
      <w:r>
        <w:rPr>
          <w:rFonts w:hint="eastAsia"/>
          <w:color w:val="auto"/>
          <w:szCs w:val="24"/>
          <w:highlight w:val="none"/>
        </w:rPr>
        <w:t>近</w:t>
      </w:r>
      <w:r>
        <w:rPr>
          <w:color w:val="auto"/>
          <w:szCs w:val="24"/>
          <w:highlight w:val="none"/>
        </w:rPr>
        <w:t>3</w:t>
      </w:r>
      <w:r>
        <w:rPr>
          <w:rFonts w:hint="eastAsia"/>
          <w:color w:val="auto"/>
          <w:szCs w:val="24"/>
          <w:highlight w:val="none"/>
        </w:rPr>
        <w:t>年财务状况表</w:t>
      </w:r>
      <w:bookmarkEnd w:id="2484"/>
      <w:bookmarkEnd w:id="2485"/>
    </w:p>
    <w:tbl>
      <w:tblPr>
        <w:tblStyle w:val="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4"/>
        <w:gridCol w:w="815"/>
        <w:gridCol w:w="1539"/>
        <w:gridCol w:w="1539"/>
        <w:gridCol w:w="1539"/>
        <w:gridCol w:w="1539"/>
      </w:tblGrid>
      <w:tr w14:paraId="4084A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6AF9B55A">
            <w:pPr>
              <w:jc w:val="center"/>
              <w:rPr>
                <w:rFonts w:ascii="宋体" w:hAnsi="宋体"/>
                <w:color w:val="auto"/>
                <w:szCs w:val="21"/>
                <w:highlight w:val="none"/>
              </w:rPr>
            </w:pPr>
            <w:r>
              <w:rPr>
                <w:rFonts w:hint="eastAsia" w:ascii="宋体" w:hAnsi="宋体"/>
                <w:color w:val="auto"/>
                <w:szCs w:val="21"/>
                <w:highlight w:val="none"/>
              </w:rPr>
              <w:t>名称</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11E2DF27">
            <w:pPr>
              <w:jc w:val="center"/>
              <w:rPr>
                <w:rFonts w:ascii="宋体" w:hAnsi="宋体"/>
                <w:color w:val="auto"/>
                <w:szCs w:val="21"/>
                <w:highlight w:val="none"/>
              </w:rPr>
            </w:pPr>
            <w:r>
              <w:rPr>
                <w:rFonts w:hint="eastAsia" w:ascii="宋体" w:hAnsi="宋体"/>
                <w:color w:val="auto"/>
                <w:szCs w:val="21"/>
                <w:highlight w:val="none"/>
              </w:rPr>
              <w:t>单位</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6DC3920">
            <w:pPr>
              <w:jc w:val="center"/>
              <w:rPr>
                <w:rFonts w:ascii="宋体" w:hAnsi="宋体"/>
                <w:color w:val="auto"/>
                <w:szCs w:val="21"/>
                <w:highlight w:val="none"/>
              </w:rPr>
            </w:pPr>
            <w:r>
              <w:rPr>
                <w:rFonts w:hint="eastAsia" w:ascii="宋体" w:hAnsi="宋体"/>
                <w:color w:val="auto"/>
                <w:szCs w:val="21"/>
                <w:highlight w:val="none"/>
              </w:rPr>
              <w:t>　</w:t>
            </w:r>
            <w:r>
              <w:rPr>
                <w:rFonts w:hint="eastAsia" w:ascii="宋体" w:hAnsi="宋体"/>
                <w:color w:val="auto"/>
                <w:szCs w:val="21"/>
                <w:highlight w:val="none"/>
                <w:u w:val="single"/>
              </w:rPr>
              <w:t>　　　</w:t>
            </w:r>
            <w:r>
              <w:rPr>
                <w:rFonts w:hint="eastAsia" w:ascii="宋体" w:hAnsi="宋体"/>
                <w:color w:val="auto"/>
                <w:szCs w:val="21"/>
                <w:highlight w:val="none"/>
              </w:rPr>
              <w:t>年</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8726B4C">
            <w:pPr>
              <w:jc w:val="center"/>
              <w:rPr>
                <w:rFonts w:ascii="宋体" w:hAnsi="宋体"/>
                <w:color w:val="auto"/>
                <w:szCs w:val="21"/>
                <w:highlight w:val="none"/>
              </w:rPr>
            </w:pPr>
            <w:r>
              <w:rPr>
                <w:rFonts w:hint="eastAsia" w:ascii="宋体" w:hAnsi="宋体"/>
                <w:color w:val="auto"/>
                <w:szCs w:val="21"/>
                <w:highlight w:val="none"/>
              </w:rPr>
              <w:t>　</w:t>
            </w:r>
            <w:r>
              <w:rPr>
                <w:rFonts w:hint="eastAsia" w:ascii="宋体" w:hAnsi="宋体"/>
                <w:color w:val="auto"/>
                <w:szCs w:val="21"/>
                <w:highlight w:val="none"/>
                <w:u w:val="single"/>
              </w:rPr>
              <w:t>　　　</w:t>
            </w:r>
            <w:r>
              <w:rPr>
                <w:rFonts w:hint="eastAsia" w:ascii="宋体" w:hAnsi="宋体"/>
                <w:color w:val="auto"/>
                <w:szCs w:val="21"/>
                <w:highlight w:val="none"/>
              </w:rPr>
              <w:t>年</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8C80E8D">
            <w:pPr>
              <w:jc w:val="center"/>
              <w:rPr>
                <w:rFonts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rPr>
              <w:t>年</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E87B7FE">
            <w:pPr>
              <w:jc w:val="center"/>
              <w:rPr>
                <w:rFonts w:ascii="宋体" w:hAnsi="宋体"/>
                <w:color w:val="auto"/>
                <w:szCs w:val="21"/>
                <w:highlight w:val="none"/>
              </w:rPr>
            </w:pPr>
            <w:r>
              <w:rPr>
                <w:rFonts w:hint="eastAsia" w:ascii="宋体" w:hAnsi="宋体"/>
                <w:color w:val="auto"/>
                <w:szCs w:val="21"/>
                <w:highlight w:val="none"/>
              </w:rPr>
              <w:t>近3年平均值　</w:t>
            </w:r>
          </w:p>
        </w:tc>
      </w:tr>
      <w:tr w14:paraId="20BF2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08E6EABF">
            <w:pPr>
              <w:rPr>
                <w:rFonts w:ascii="宋体" w:hAnsi="宋体"/>
                <w:color w:val="auto"/>
                <w:szCs w:val="21"/>
                <w:highlight w:val="none"/>
              </w:rPr>
            </w:pPr>
            <w:r>
              <w:rPr>
                <w:rFonts w:hint="eastAsia" w:ascii="宋体" w:hAnsi="宋体"/>
                <w:color w:val="auto"/>
                <w:szCs w:val="21"/>
                <w:highlight w:val="none"/>
              </w:rPr>
              <w:t>一．注册资金</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56039D87">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DCA599D">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4BFEEE9">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BCF3D40">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C891226">
            <w:pPr>
              <w:jc w:val="center"/>
              <w:rPr>
                <w:rFonts w:ascii="宋体" w:hAnsi="宋体"/>
                <w:color w:val="auto"/>
                <w:szCs w:val="21"/>
                <w:highlight w:val="none"/>
              </w:rPr>
            </w:pPr>
            <w:r>
              <w:rPr>
                <w:rFonts w:hint="eastAsia" w:ascii="宋体" w:hAnsi="宋体"/>
                <w:color w:val="auto"/>
                <w:szCs w:val="21"/>
                <w:highlight w:val="none"/>
              </w:rPr>
              <w:t>-</w:t>
            </w:r>
          </w:p>
        </w:tc>
      </w:tr>
      <w:tr w14:paraId="34F7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5008C041">
            <w:pPr>
              <w:rPr>
                <w:rFonts w:ascii="宋体" w:hAnsi="宋体"/>
                <w:color w:val="auto"/>
                <w:szCs w:val="21"/>
                <w:highlight w:val="none"/>
              </w:rPr>
            </w:pPr>
            <w:r>
              <w:rPr>
                <w:rFonts w:hint="eastAsia" w:ascii="宋体" w:hAnsi="宋体"/>
                <w:color w:val="auto"/>
                <w:szCs w:val="21"/>
                <w:highlight w:val="none"/>
              </w:rPr>
              <w:t>二．净资产</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6A9DCEB7">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BE59F83">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15E97CA">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932A5F5">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0974AE9">
            <w:pPr>
              <w:jc w:val="center"/>
              <w:rPr>
                <w:rFonts w:ascii="宋体" w:hAnsi="宋体"/>
                <w:color w:val="auto"/>
                <w:szCs w:val="21"/>
                <w:highlight w:val="none"/>
              </w:rPr>
            </w:pPr>
            <w:r>
              <w:rPr>
                <w:rFonts w:hint="eastAsia" w:ascii="宋体" w:hAnsi="宋体"/>
                <w:color w:val="auto"/>
                <w:szCs w:val="21"/>
                <w:highlight w:val="none"/>
              </w:rPr>
              <w:t>-</w:t>
            </w:r>
          </w:p>
        </w:tc>
      </w:tr>
      <w:tr w14:paraId="52BCF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4CEBE454">
            <w:pPr>
              <w:rPr>
                <w:rFonts w:ascii="宋体" w:hAnsi="宋体"/>
                <w:color w:val="auto"/>
                <w:szCs w:val="21"/>
                <w:highlight w:val="none"/>
              </w:rPr>
            </w:pPr>
            <w:r>
              <w:rPr>
                <w:rFonts w:hint="eastAsia" w:ascii="宋体" w:hAnsi="宋体"/>
                <w:color w:val="auto"/>
                <w:szCs w:val="21"/>
                <w:highlight w:val="none"/>
              </w:rPr>
              <w:t>三．总资产</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4478B646">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3E71450">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5F42DC1">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18412042">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92D7DE0">
            <w:pPr>
              <w:jc w:val="center"/>
              <w:rPr>
                <w:rFonts w:ascii="宋体" w:hAnsi="宋体"/>
                <w:color w:val="auto"/>
                <w:szCs w:val="21"/>
                <w:highlight w:val="none"/>
              </w:rPr>
            </w:pPr>
          </w:p>
        </w:tc>
      </w:tr>
      <w:tr w14:paraId="13E76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0932E931">
            <w:pPr>
              <w:rPr>
                <w:rFonts w:ascii="宋体" w:hAnsi="宋体"/>
                <w:color w:val="auto"/>
                <w:szCs w:val="21"/>
                <w:highlight w:val="none"/>
              </w:rPr>
            </w:pPr>
            <w:r>
              <w:rPr>
                <w:rFonts w:hint="eastAsia" w:ascii="宋体" w:hAnsi="宋体"/>
                <w:color w:val="auto"/>
                <w:szCs w:val="21"/>
                <w:highlight w:val="none"/>
              </w:rPr>
              <w:t>四．固定资产</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6BAB793E">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E14DC6C">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9838140">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D5D3698">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09806E4">
            <w:pPr>
              <w:jc w:val="center"/>
              <w:rPr>
                <w:rFonts w:ascii="宋体" w:hAnsi="宋体"/>
                <w:color w:val="auto"/>
                <w:szCs w:val="21"/>
                <w:highlight w:val="none"/>
              </w:rPr>
            </w:pPr>
            <w:r>
              <w:rPr>
                <w:rFonts w:hint="eastAsia" w:ascii="宋体" w:hAnsi="宋体"/>
                <w:color w:val="auto"/>
                <w:szCs w:val="21"/>
                <w:highlight w:val="none"/>
              </w:rPr>
              <w:t>-</w:t>
            </w:r>
          </w:p>
        </w:tc>
      </w:tr>
      <w:tr w14:paraId="0C457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62289D5C">
            <w:pPr>
              <w:rPr>
                <w:rFonts w:ascii="宋体" w:hAnsi="宋体"/>
                <w:color w:val="auto"/>
                <w:szCs w:val="21"/>
                <w:highlight w:val="none"/>
              </w:rPr>
            </w:pPr>
            <w:r>
              <w:rPr>
                <w:rFonts w:hint="eastAsia" w:ascii="宋体" w:hAnsi="宋体"/>
                <w:color w:val="auto"/>
                <w:szCs w:val="21"/>
                <w:highlight w:val="none"/>
              </w:rPr>
              <w:t>五．流动资产</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14DDE5FE">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079B37D">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4560C89">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080225B">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B93C300">
            <w:pPr>
              <w:jc w:val="center"/>
              <w:rPr>
                <w:rFonts w:ascii="宋体" w:hAnsi="宋体"/>
                <w:color w:val="auto"/>
                <w:szCs w:val="21"/>
                <w:highlight w:val="none"/>
              </w:rPr>
            </w:pPr>
          </w:p>
        </w:tc>
      </w:tr>
      <w:tr w14:paraId="6EA3A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4100A689">
            <w:pPr>
              <w:rPr>
                <w:rFonts w:ascii="宋体" w:hAnsi="宋体"/>
                <w:color w:val="auto"/>
                <w:szCs w:val="21"/>
                <w:highlight w:val="none"/>
              </w:rPr>
            </w:pPr>
            <w:r>
              <w:rPr>
                <w:rFonts w:hint="eastAsia" w:ascii="宋体" w:hAnsi="宋体"/>
                <w:color w:val="auto"/>
                <w:szCs w:val="21"/>
                <w:highlight w:val="none"/>
              </w:rPr>
              <w:t>六．流动负债</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508BFBB1">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6D7657C">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47B9A27">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169369B">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4B6E442">
            <w:pPr>
              <w:jc w:val="center"/>
              <w:rPr>
                <w:rFonts w:ascii="宋体" w:hAnsi="宋体"/>
                <w:color w:val="auto"/>
                <w:szCs w:val="21"/>
                <w:highlight w:val="none"/>
              </w:rPr>
            </w:pPr>
          </w:p>
        </w:tc>
      </w:tr>
      <w:tr w14:paraId="542E8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58CFD7B5">
            <w:pPr>
              <w:rPr>
                <w:rFonts w:ascii="宋体" w:hAnsi="宋体"/>
                <w:color w:val="auto"/>
                <w:szCs w:val="21"/>
                <w:highlight w:val="none"/>
              </w:rPr>
            </w:pPr>
            <w:r>
              <w:rPr>
                <w:rFonts w:hint="eastAsia" w:ascii="宋体" w:hAnsi="宋体"/>
                <w:color w:val="auto"/>
                <w:szCs w:val="21"/>
                <w:highlight w:val="none"/>
              </w:rPr>
              <w:t>七．负债合计</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788EB6C7">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39B33E0">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AEED633">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E25D442">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52ECD28">
            <w:pPr>
              <w:jc w:val="center"/>
              <w:rPr>
                <w:rFonts w:ascii="宋体" w:hAnsi="宋体"/>
                <w:color w:val="auto"/>
                <w:szCs w:val="21"/>
                <w:highlight w:val="none"/>
              </w:rPr>
            </w:pPr>
          </w:p>
        </w:tc>
      </w:tr>
      <w:tr w14:paraId="31A7C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50387C91">
            <w:pPr>
              <w:rPr>
                <w:rFonts w:ascii="宋体" w:hAnsi="宋体"/>
                <w:color w:val="auto"/>
                <w:szCs w:val="21"/>
                <w:highlight w:val="none"/>
              </w:rPr>
            </w:pPr>
            <w:r>
              <w:rPr>
                <w:rFonts w:hint="eastAsia" w:ascii="宋体" w:hAnsi="宋体"/>
                <w:color w:val="auto"/>
                <w:szCs w:val="21"/>
                <w:highlight w:val="none"/>
              </w:rPr>
              <w:t>八．营业收入</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4B74C9B3">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7A916D8">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F53292A">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D5F2B33">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8F7720F">
            <w:pPr>
              <w:jc w:val="center"/>
              <w:rPr>
                <w:rFonts w:ascii="宋体" w:hAnsi="宋体"/>
                <w:color w:val="auto"/>
                <w:szCs w:val="21"/>
                <w:highlight w:val="none"/>
              </w:rPr>
            </w:pPr>
          </w:p>
        </w:tc>
      </w:tr>
      <w:tr w14:paraId="5992C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17DF142D">
            <w:pPr>
              <w:rPr>
                <w:rFonts w:ascii="宋体" w:hAnsi="宋体"/>
                <w:color w:val="auto"/>
                <w:szCs w:val="21"/>
                <w:highlight w:val="none"/>
              </w:rPr>
            </w:pPr>
            <w:r>
              <w:rPr>
                <w:rFonts w:hint="eastAsia" w:ascii="宋体" w:hAnsi="宋体"/>
                <w:color w:val="auto"/>
                <w:szCs w:val="21"/>
                <w:highlight w:val="none"/>
              </w:rPr>
              <w:t>九．净利润</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5A7286ED">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5D8AB00">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29234BB">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9D382F8">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7CCF432">
            <w:pPr>
              <w:jc w:val="center"/>
              <w:rPr>
                <w:rFonts w:ascii="宋体" w:hAnsi="宋体"/>
                <w:color w:val="auto"/>
                <w:szCs w:val="21"/>
                <w:highlight w:val="none"/>
              </w:rPr>
            </w:pPr>
            <w:r>
              <w:rPr>
                <w:rFonts w:hint="eastAsia" w:ascii="宋体" w:hAnsi="宋体"/>
                <w:color w:val="auto"/>
                <w:szCs w:val="21"/>
                <w:highlight w:val="none"/>
              </w:rPr>
              <w:t>-</w:t>
            </w:r>
          </w:p>
        </w:tc>
      </w:tr>
      <w:tr w14:paraId="0CA6B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66A93D3B">
            <w:pPr>
              <w:rPr>
                <w:rFonts w:ascii="宋体" w:hAnsi="宋体"/>
                <w:color w:val="auto"/>
                <w:szCs w:val="21"/>
                <w:highlight w:val="none"/>
              </w:rPr>
            </w:pPr>
            <w:r>
              <w:rPr>
                <w:rFonts w:hint="eastAsia" w:ascii="宋体" w:hAnsi="宋体"/>
                <w:color w:val="auto"/>
                <w:szCs w:val="21"/>
                <w:highlight w:val="none"/>
              </w:rPr>
              <w:t>十．现金流量净额</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4A2C3EC0">
            <w:pPr>
              <w:jc w:val="center"/>
              <w:rPr>
                <w:rFonts w:ascii="宋体" w:hAnsi="宋体"/>
                <w:color w:val="auto"/>
                <w:szCs w:val="21"/>
                <w:highlight w:val="none"/>
              </w:rPr>
            </w:pPr>
            <w:r>
              <w:rPr>
                <w:rFonts w:hint="eastAsia" w:ascii="宋体" w:hAnsi="宋体"/>
                <w:color w:val="auto"/>
                <w:szCs w:val="21"/>
                <w:highlight w:val="none"/>
              </w:rPr>
              <w:t>万元</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B0253AC">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FBD6D2A">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65A64D9">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BD8D596">
            <w:pPr>
              <w:jc w:val="center"/>
              <w:rPr>
                <w:rFonts w:ascii="宋体" w:hAnsi="宋体"/>
                <w:color w:val="auto"/>
                <w:szCs w:val="21"/>
                <w:highlight w:val="none"/>
              </w:rPr>
            </w:pPr>
            <w:r>
              <w:rPr>
                <w:rFonts w:hint="eastAsia" w:ascii="宋体" w:hAnsi="宋体"/>
                <w:color w:val="auto"/>
                <w:szCs w:val="21"/>
                <w:highlight w:val="none"/>
              </w:rPr>
              <w:t>-</w:t>
            </w:r>
          </w:p>
        </w:tc>
      </w:tr>
      <w:tr w14:paraId="75B36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0561D44C">
            <w:pPr>
              <w:rPr>
                <w:rFonts w:ascii="宋体" w:hAnsi="宋体"/>
                <w:color w:val="auto"/>
                <w:szCs w:val="21"/>
                <w:highlight w:val="none"/>
              </w:rPr>
            </w:pPr>
            <w:r>
              <w:rPr>
                <w:rFonts w:hint="eastAsia" w:ascii="宋体" w:hAnsi="宋体"/>
                <w:color w:val="auto"/>
                <w:szCs w:val="21"/>
                <w:highlight w:val="none"/>
              </w:rPr>
              <w:t>十一．主要财务指标</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16F4EA85">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5F33762">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BD6DDE6">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1052413">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63B6116">
            <w:pPr>
              <w:jc w:val="center"/>
              <w:rPr>
                <w:rFonts w:ascii="宋体" w:hAnsi="宋体"/>
                <w:color w:val="auto"/>
                <w:szCs w:val="21"/>
                <w:highlight w:val="none"/>
              </w:rPr>
            </w:pPr>
            <w:r>
              <w:rPr>
                <w:rFonts w:hint="eastAsia" w:ascii="宋体" w:hAnsi="宋体"/>
                <w:color w:val="auto"/>
                <w:szCs w:val="21"/>
                <w:highlight w:val="none"/>
              </w:rPr>
              <w:t>-</w:t>
            </w:r>
          </w:p>
        </w:tc>
      </w:tr>
      <w:tr w14:paraId="162B0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774C2A80">
            <w:pPr>
              <w:rPr>
                <w:rFonts w:ascii="宋体" w:hAnsi="宋体"/>
                <w:color w:val="auto"/>
                <w:szCs w:val="21"/>
                <w:highlight w:val="none"/>
              </w:rPr>
            </w:pPr>
            <w:r>
              <w:rPr>
                <w:rFonts w:hint="eastAsia" w:ascii="宋体" w:hAnsi="宋体"/>
                <w:color w:val="auto"/>
                <w:szCs w:val="21"/>
                <w:highlight w:val="none"/>
              </w:rPr>
              <w:t>1．净资产收益率</w:t>
            </w:r>
          </w:p>
        </w:tc>
        <w:tc>
          <w:tcPr>
            <w:tcW w:w="815" w:type="dxa"/>
            <w:tcBorders>
              <w:top w:val="single" w:color="000000" w:sz="4" w:space="0"/>
              <w:left w:val="single" w:color="000000" w:sz="4" w:space="0"/>
              <w:bottom w:val="single" w:color="000000" w:sz="4" w:space="0"/>
              <w:right w:val="single" w:color="000000" w:sz="4" w:space="0"/>
            </w:tcBorders>
            <w:noWrap w:val="0"/>
            <w:vAlign w:val="top"/>
          </w:tcPr>
          <w:p w14:paraId="39D50C58">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13AE5B74">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2CD58B5">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D2AC39A">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A6E865E">
            <w:pPr>
              <w:jc w:val="center"/>
              <w:rPr>
                <w:rFonts w:ascii="宋体" w:hAnsi="宋体"/>
                <w:color w:val="auto"/>
                <w:szCs w:val="21"/>
                <w:highlight w:val="none"/>
              </w:rPr>
            </w:pPr>
          </w:p>
        </w:tc>
      </w:tr>
      <w:tr w14:paraId="25183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65F0F304">
            <w:pPr>
              <w:rPr>
                <w:rFonts w:ascii="宋体" w:hAnsi="宋体"/>
                <w:color w:val="auto"/>
                <w:szCs w:val="21"/>
                <w:highlight w:val="none"/>
              </w:rPr>
            </w:pPr>
            <w:r>
              <w:rPr>
                <w:rFonts w:hint="eastAsia" w:ascii="宋体" w:hAnsi="宋体"/>
                <w:color w:val="auto"/>
                <w:szCs w:val="21"/>
                <w:highlight w:val="none"/>
              </w:rPr>
              <w:t>2．总资产报酬率</w:t>
            </w:r>
          </w:p>
        </w:tc>
        <w:tc>
          <w:tcPr>
            <w:tcW w:w="815" w:type="dxa"/>
            <w:tcBorders>
              <w:top w:val="single" w:color="000000" w:sz="4" w:space="0"/>
              <w:left w:val="single" w:color="000000" w:sz="4" w:space="0"/>
              <w:bottom w:val="single" w:color="000000" w:sz="4" w:space="0"/>
              <w:right w:val="single" w:color="000000" w:sz="4" w:space="0"/>
            </w:tcBorders>
            <w:noWrap w:val="0"/>
            <w:vAlign w:val="top"/>
          </w:tcPr>
          <w:p w14:paraId="4DDF19C9">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109E9DC">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8500894">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5AE15DB">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108B887D">
            <w:pPr>
              <w:jc w:val="center"/>
              <w:rPr>
                <w:rFonts w:ascii="宋体" w:hAnsi="宋体"/>
                <w:color w:val="auto"/>
                <w:szCs w:val="21"/>
                <w:highlight w:val="none"/>
              </w:rPr>
            </w:pPr>
          </w:p>
        </w:tc>
      </w:tr>
      <w:tr w14:paraId="48A4B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65819519">
            <w:pPr>
              <w:rPr>
                <w:rFonts w:ascii="宋体" w:hAnsi="宋体"/>
                <w:color w:val="auto"/>
                <w:szCs w:val="21"/>
                <w:highlight w:val="none"/>
              </w:rPr>
            </w:pPr>
            <w:r>
              <w:rPr>
                <w:rFonts w:hint="eastAsia" w:ascii="宋体" w:hAnsi="宋体"/>
                <w:color w:val="auto"/>
                <w:szCs w:val="21"/>
                <w:highlight w:val="none"/>
              </w:rPr>
              <w:t>3．主营业务利润率</w:t>
            </w:r>
          </w:p>
        </w:tc>
        <w:tc>
          <w:tcPr>
            <w:tcW w:w="815" w:type="dxa"/>
            <w:tcBorders>
              <w:top w:val="single" w:color="000000" w:sz="4" w:space="0"/>
              <w:left w:val="single" w:color="000000" w:sz="4" w:space="0"/>
              <w:bottom w:val="single" w:color="000000" w:sz="4" w:space="0"/>
              <w:right w:val="single" w:color="000000" w:sz="4" w:space="0"/>
            </w:tcBorders>
            <w:noWrap w:val="0"/>
            <w:vAlign w:val="top"/>
          </w:tcPr>
          <w:p w14:paraId="6058D7FE">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80DD194">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1388D5B">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266A133">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7CC9D7D">
            <w:pPr>
              <w:jc w:val="center"/>
              <w:rPr>
                <w:rFonts w:ascii="宋体" w:hAnsi="宋体"/>
                <w:color w:val="auto"/>
                <w:szCs w:val="21"/>
                <w:highlight w:val="none"/>
              </w:rPr>
            </w:pPr>
            <w:r>
              <w:rPr>
                <w:rFonts w:hint="eastAsia" w:ascii="宋体" w:hAnsi="宋体"/>
                <w:color w:val="auto"/>
                <w:szCs w:val="21"/>
                <w:highlight w:val="none"/>
              </w:rPr>
              <w:t>-</w:t>
            </w:r>
          </w:p>
        </w:tc>
      </w:tr>
      <w:tr w14:paraId="18E40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6331B73F">
            <w:pPr>
              <w:rPr>
                <w:rFonts w:ascii="宋体" w:hAnsi="宋体"/>
                <w:color w:val="auto"/>
                <w:szCs w:val="21"/>
                <w:highlight w:val="none"/>
              </w:rPr>
            </w:pPr>
            <w:r>
              <w:rPr>
                <w:rFonts w:hint="eastAsia" w:ascii="宋体" w:hAnsi="宋体"/>
                <w:color w:val="auto"/>
                <w:szCs w:val="21"/>
                <w:highlight w:val="none"/>
              </w:rPr>
              <w:t>4．资产负债率</w:t>
            </w:r>
          </w:p>
        </w:tc>
        <w:tc>
          <w:tcPr>
            <w:tcW w:w="815" w:type="dxa"/>
            <w:tcBorders>
              <w:top w:val="single" w:color="000000" w:sz="4" w:space="0"/>
              <w:left w:val="single" w:color="000000" w:sz="4" w:space="0"/>
              <w:bottom w:val="single" w:color="000000" w:sz="4" w:space="0"/>
              <w:right w:val="single" w:color="000000" w:sz="4" w:space="0"/>
            </w:tcBorders>
            <w:noWrap w:val="0"/>
            <w:vAlign w:val="top"/>
          </w:tcPr>
          <w:p w14:paraId="1DBE8BCB">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DA1741C">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1BB7114B">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F50C087">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D480CA9">
            <w:pPr>
              <w:jc w:val="center"/>
              <w:rPr>
                <w:rFonts w:ascii="宋体" w:hAnsi="宋体"/>
                <w:color w:val="auto"/>
                <w:szCs w:val="21"/>
                <w:highlight w:val="none"/>
              </w:rPr>
            </w:pPr>
          </w:p>
        </w:tc>
      </w:tr>
      <w:tr w14:paraId="2D673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7D2116AC">
            <w:pPr>
              <w:rPr>
                <w:rFonts w:ascii="宋体" w:hAnsi="宋体"/>
                <w:color w:val="auto"/>
                <w:szCs w:val="21"/>
                <w:highlight w:val="none"/>
              </w:rPr>
            </w:pPr>
            <w:r>
              <w:rPr>
                <w:rFonts w:hint="eastAsia" w:ascii="宋体" w:hAnsi="宋体"/>
                <w:color w:val="auto"/>
                <w:szCs w:val="21"/>
                <w:highlight w:val="none"/>
              </w:rPr>
              <w:t>5．流动比率</w:t>
            </w:r>
          </w:p>
        </w:tc>
        <w:tc>
          <w:tcPr>
            <w:tcW w:w="815" w:type="dxa"/>
            <w:tcBorders>
              <w:top w:val="single" w:color="000000" w:sz="4" w:space="0"/>
              <w:left w:val="single" w:color="000000" w:sz="4" w:space="0"/>
              <w:bottom w:val="single" w:color="000000" w:sz="4" w:space="0"/>
              <w:right w:val="single" w:color="000000" w:sz="4" w:space="0"/>
            </w:tcBorders>
            <w:noWrap w:val="0"/>
            <w:vAlign w:val="top"/>
          </w:tcPr>
          <w:p w14:paraId="64B95117">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0C59E33">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103BA00">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62DC3B5">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1306E6B4">
            <w:pPr>
              <w:jc w:val="center"/>
              <w:rPr>
                <w:rFonts w:ascii="宋体" w:hAnsi="宋体"/>
                <w:color w:val="auto"/>
                <w:szCs w:val="21"/>
                <w:highlight w:val="none"/>
              </w:rPr>
            </w:pPr>
          </w:p>
        </w:tc>
      </w:tr>
      <w:tr w14:paraId="5BF5E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tcBorders>
              <w:top w:val="single" w:color="000000" w:sz="4" w:space="0"/>
              <w:left w:val="single" w:color="000000" w:sz="4" w:space="0"/>
              <w:bottom w:val="single" w:color="000000" w:sz="4" w:space="0"/>
              <w:right w:val="single" w:color="000000" w:sz="4" w:space="0"/>
            </w:tcBorders>
            <w:noWrap w:val="0"/>
            <w:vAlign w:val="center"/>
          </w:tcPr>
          <w:p w14:paraId="0F0AE9D9">
            <w:pPr>
              <w:rPr>
                <w:rFonts w:ascii="宋体" w:hAnsi="宋体"/>
                <w:color w:val="auto"/>
                <w:szCs w:val="21"/>
                <w:highlight w:val="none"/>
              </w:rPr>
            </w:pPr>
            <w:r>
              <w:rPr>
                <w:rFonts w:hint="eastAsia" w:ascii="宋体" w:hAnsi="宋体"/>
                <w:color w:val="auto"/>
                <w:szCs w:val="21"/>
                <w:highlight w:val="none"/>
              </w:rPr>
              <w:t>6．速动比率</w:t>
            </w:r>
          </w:p>
        </w:tc>
        <w:tc>
          <w:tcPr>
            <w:tcW w:w="815" w:type="dxa"/>
            <w:tcBorders>
              <w:top w:val="single" w:color="000000" w:sz="4" w:space="0"/>
              <w:left w:val="single" w:color="000000" w:sz="4" w:space="0"/>
              <w:bottom w:val="single" w:color="000000" w:sz="4" w:space="0"/>
              <w:right w:val="single" w:color="000000" w:sz="4" w:space="0"/>
            </w:tcBorders>
            <w:noWrap w:val="0"/>
            <w:vAlign w:val="top"/>
          </w:tcPr>
          <w:p w14:paraId="434C6E95">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1EB4520">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E5EB8AC">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8ED6F7A">
            <w:pPr>
              <w:jc w:val="center"/>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8C0927B">
            <w:pPr>
              <w:jc w:val="center"/>
              <w:rPr>
                <w:rFonts w:ascii="宋体" w:hAnsi="宋体"/>
                <w:color w:val="auto"/>
                <w:szCs w:val="21"/>
                <w:highlight w:val="none"/>
              </w:rPr>
            </w:pPr>
          </w:p>
        </w:tc>
      </w:tr>
    </w:tbl>
    <w:p w14:paraId="285B69D5">
      <w:pPr>
        <w:autoSpaceDE w:val="0"/>
        <w:autoSpaceDN w:val="0"/>
        <w:adjustRightInd w:val="0"/>
        <w:snapToGrid w:val="0"/>
        <w:spacing w:line="325" w:lineRule="exact"/>
        <w:ind w:left="945" w:hanging="945" w:hangingChars="450"/>
        <w:rPr>
          <w:rFonts w:ascii="宋体" w:hAnsi="Times New Roman" w:cs="宋体"/>
          <w:color w:val="auto"/>
          <w:kern w:val="0"/>
          <w:szCs w:val="21"/>
          <w:highlight w:val="none"/>
        </w:rPr>
      </w:pPr>
      <w:r>
        <w:rPr>
          <w:rFonts w:hint="eastAsia" w:ascii="黑体" w:hAnsi="宋体" w:eastAsia="黑体"/>
          <w:color w:val="auto"/>
          <w:szCs w:val="21"/>
          <w:highlight w:val="none"/>
        </w:rPr>
        <w:t>备注：</w:t>
      </w:r>
      <w:r>
        <w:rPr>
          <w:rFonts w:hint="eastAsia" w:ascii="宋体" w:cs="宋体"/>
          <w:color w:val="auto"/>
          <w:kern w:val="0"/>
          <w:szCs w:val="21"/>
          <w:highlight w:val="none"/>
        </w:rPr>
        <w:t>1</w:t>
      </w:r>
      <w:r>
        <w:rPr>
          <w:rFonts w:hint="eastAsia" w:ascii="宋体" w:hAnsi="宋体"/>
          <w:color w:val="auto"/>
          <w:szCs w:val="21"/>
          <w:highlight w:val="none"/>
        </w:rPr>
        <w:t>．</w:t>
      </w:r>
      <w:r>
        <w:rPr>
          <w:rFonts w:hint="eastAsia" w:ascii="宋体" w:cs="宋体"/>
          <w:color w:val="auto"/>
          <w:kern w:val="0"/>
          <w:szCs w:val="21"/>
          <w:highlight w:val="none"/>
        </w:rPr>
        <w:t>本表后应附近3年经会计师事务所或审计机构审计的财务会计报表，包括资产负债表、现金流量表、利润表和财务情况说明书的扫描件（本部分资料附在“财务会计报表”中）。</w:t>
      </w:r>
    </w:p>
    <w:p w14:paraId="0694784A">
      <w:pPr>
        <w:spacing w:line="400" w:lineRule="atLeast"/>
        <w:ind w:left="945" w:leftChars="450"/>
        <w:rPr>
          <w:rFonts w:hint="eastAsia" w:ascii="Times New Roman"/>
          <w:color w:val="auto"/>
          <w:szCs w:val="21"/>
          <w:highlight w:val="none"/>
        </w:rPr>
      </w:pPr>
      <w:r>
        <w:rPr>
          <w:rFonts w:hint="eastAsia"/>
          <w:color w:val="auto"/>
          <w:szCs w:val="21"/>
          <w:highlight w:val="none"/>
        </w:rPr>
        <w:t>投标截止日如在</w:t>
      </w:r>
      <w:r>
        <w:rPr>
          <w:color w:val="auto"/>
          <w:szCs w:val="21"/>
          <w:highlight w:val="none"/>
        </w:rPr>
        <w:t>6</w:t>
      </w:r>
      <w:r>
        <w:rPr>
          <w:rFonts w:hint="eastAsia"/>
          <w:color w:val="auto"/>
          <w:szCs w:val="21"/>
          <w:highlight w:val="none"/>
        </w:rPr>
        <w:t>月</w:t>
      </w:r>
      <w:r>
        <w:rPr>
          <w:color w:val="auto"/>
          <w:szCs w:val="21"/>
          <w:highlight w:val="none"/>
        </w:rPr>
        <w:t>30</w:t>
      </w:r>
      <w:r>
        <w:rPr>
          <w:rFonts w:hint="eastAsia"/>
          <w:color w:val="auto"/>
          <w:szCs w:val="21"/>
          <w:highlight w:val="none"/>
        </w:rPr>
        <w:t>日以前，则近</w:t>
      </w:r>
      <w:r>
        <w:rPr>
          <w:color w:val="auto"/>
          <w:szCs w:val="21"/>
          <w:highlight w:val="none"/>
        </w:rPr>
        <w:t>3</w:t>
      </w:r>
      <w:r>
        <w:rPr>
          <w:rFonts w:hint="eastAsia"/>
          <w:color w:val="auto"/>
          <w:szCs w:val="21"/>
          <w:highlight w:val="none"/>
        </w:rPr>
        <w:t>年是指上上个年度往前推算的</w:t>
      </w:r>
      <w:r>
        <w:rPr>
          <w:color w:val="auto"/>
          <w:szCs w:val="21"/>
          <w:highlight w:val="none"/>
        </w:rPr>
        <w:t>3</w:t>
      </w:r>
      <w:r>
        <w:rPr>
          <w:rFonts w:hint="eastAsia"/>
          <w:color w:val="auto"/>
          <w:szCs w:val="21"/>
          <w:highlight w:val="none"/>
        </w:rPr>
        <w:t>年，例如投标截止日为</w:t>
      </w:r>
      <w:r>
        <w:rPr>
          <w:color w:val="auto"/>
          <w:szCs w:val="21"/>
          <w:highlight w:val="none"/>
        </w:rPr>
        <w:t>2014</w:t>
      </w:r>
      <w:r>
        <w:rPr>
          <w:rFonts w:hint="eastAsia"/>
          <w:color w:val="auto"/>
          <w:szCs w:val="21"/>
          <w:highlight w:val="none"/>
        </w:rPr>
        <w:t>年</w:t>
      </w:r>
      <w:r>
        <w:rPr>
          <w:color w:val="auto"/>
          <w:szCs w:val="21"/>
          <w:highlight w:val="none"/>
        </w:rPr>
        <w:t>5</w:t>
      </w:r>
      <w:r>
        <w:rPr>
          <w:rFonts w:hint="eastAsia"/>
          <w:color w:val="auto"/>
          <w:szCs w:val="21"/>
          <w:highlight w:val="none"/>
        </w:rPr>
        <w:t>月</w:t>
      </w:r>
      <w:r>
        <w:rPr>
          <w:color w:val="auto"/>
          <w:szCs w:val="21"/>
          <w:highlight w:val="none"/>
        </w:rPr>
        <w:t>30</w:t>
      </w:r>
      <w:r>
        <w:rPr>
          <w:rFonts w:hint="eastAsia"/>
          <w:color w:val="auto"/>
          <w:szCs w:val="21"/>
          <w:highlight w:val="none"/>
        </w:rPr>
        <w:t>日，近</w:t>
      </w:r>
      <w:r>
        <w:rPr>
          <w:color w:val="auto"/>
          <w:szCs w:val="21"/>
          <w:highlight w:val="none"/>
        </w:rPr>
        <w:t>3</w:t>
      </w:r>
      <w:r>
        <w:rPr>
          <w:rFonts w:hint="eastAsia"/>
          <w:color w:val="auto"/>
          <w:szCs w:val="21"/>
          <w:highlight w:val="none"/>
        </w:rPr>
        <w:t>年是指</w:t>
      </w:r>
      <w:r>
        <w:rPr>
          <w:color w:val="auto"/>
          <w:szCs w:val="21"/>
          <w:highlight w:val="none"/>
        </w:rPr>
        <w:t>2010</w:t>
      </w:r>
      <w:r>
        <w:rPr>
          <w:rFonts w:hint="eastAsia"/>
          <w:color w:val="auto"/>
          <w:szCs w:val="21"/>
          <w:highlight w:val="none"/>
        </w:rPr>
        <w:t>年度、</w:t>
      </w:r>
      <w:r>
        <w:rPr>
          <w:color w:val="auto"/>
          <w:szCs w:val="21"/>
          <w:highlight w:val="none"/>
        </w:rPr>
        <w:t>2011</w:t>
      </w:r>
      <w:r>
        <w:rPr>
          <w:rFonts w:hint="eastAsia"/>
          <w:color w:val="auto"/>
          <w:szCs w:val="21"/>
          <w:highlight w:val="none"/>
        </w:rPr>
        <w:t>年度、</w:t>
      </w:r>
      <w:r>
        <w:rPr>
          <w:color w:val="auto"/>
          <w:szCs w:val="21"/>
          <w:highlight w:val="none"/>
        </w:rPr>
        <w:t>2012</w:t>
      </w:r>
      <w:r>
        <w:rPr>
          <w:rFonts w:hint="eastAsia"/>
          <w:color w:val="auto"/>
          <w:szCs w:val="21"/>
          <w:highlight w:val="none"/>
        </w:rPr>
        <w:t>年度。</w:t>
      </w:r>
    </w:p>
    <w:p w14:paraId="0D9D52D7">
      <w:pPr>
        <w:autoSpaceDE w:val="0"/>
        <w:autoSpaceDN w:val="0"/>
        <w:adjustRightInd w:val="0"/>
        <w:snapToGrid w:val="0"/>
        <w:spacing w:line="325" w:lineRule="exact"/>
        <w:ind w:left="945" w:leftChars="450"/>
        <w:rPr>
          <w:rFonts w:ascii="宋体" w:cs="宋体"/>
          <w:color w:val="auto"/>
          <w:kern w:val="0"/>
          <w:szCs w:val="21"/>
          <w:highlight w:val="none"/>
        </w:rPr>
      </w:pPr>
      <w:r>
        <w:rPr>
          <w:rFonts w:hint="eastAsia"/>
          <w:color w:val="auto"/>
          <w:szCs w:val="21"/>
          <w:highlight w:val="none"/>
        </w:rPr>
        <w:t>投标截止日如在</w:t>
      </w:r>
      <w:r>
        <w:rPr>
          <w:color w:val="auto"/>
          <w:szCs w:val="21"/>
          <w:highlight w:val="none"/>
        </w:rPr>
        <w:t>6</w:t>
      </w:r>
      <w:r>
        <w:rPr>
          <w:rFonts w:hint="eastAsia"/>
          <w:color w:val="auto"/>
          <w:szCs w:val="21"/>
          <w:highlight w:val="none"/>
        </w:rPr>
        <w:t>月</w:t>
      </w:r>
      <w:r>
        <w:rPr>
          <w:color w:val="auto"/>
          <w:szCs w:val="21"/>
          <w:highlight w:val="none"/>
        </w:rPr>
        <w:t>30</w:t>
      </w:r>
      <w:r>
        <w:rPr>
          <w:rFonts w:hint="eastAsia"/>
          <w:color w:val="auto"/>
          <w:szCs w:val="21"/>
          <w:highlight w:val="none"/>
        </w:rPr>
        <w:t>日以后，则近</w:t>
      </w:r>
      <w:r>
        <w:rPr>
          <w:color w:val="auto"/>
          <w:szCs w:val="21"/>
          <w:highlight w:val="none"/>
        </w:rPr>
        <w:t>3</w:t>
      </w:r>
      <w:r>
        <w:rPr>
          <w:rFonts w:hint="eastAsia"/>
          <w:color w:val="auto"/>
          <w:szCs w:val="21"/>
          <w:highlight w:val="none"/>
        </w:rPr>
        <w:t>年是指上个年度往前推算的</w:t>
      </w:r>
      <w:r>
        <w:rPr>
          <w:color w:val="auto"/>
          <w:szCs w:val="21"/>
          <w:highlight w:val="none"/>
        </w:rPr>
        <w:t>3</w:t>
      </w:r>
      <w:r>
        <w:rPr>
          <w:rFonts w:hint="eastAsia"/>
          <w:color w:val="auto"/>
          <w:szCs w:val="21"/>
          <w:highlight w:val="none"/>
        </w:rPr>
        <w:t>年，例如投标截止日为</w:t>
      </w:r>
      <w:r>
        <w:rPr>
          <w:color w:val="auto"/>
          <w:szCs w:val="21"/>
          <w:highlight w:val="none"/>
        </w:rPr>
        <w:t>2014</w:t>
      </w:r>
      <w:r>
        <w:rPr>
          <w:rFonts w:hint="eastAsia"/>
          <w:color w:val="auto"/>
          <w:szCs w:val="21"/>
          <w:highlight w:val="none"/>
        </w:rPr>
        <w:t>年</w:t>
      </w:r>
      <w:r>
        <w:rPr>
          <w:color w:val="auto"/>
          <w:szCs w:val="21"/>
          <w:highlight w:val="none"/>
        </w:rPr>
        <w:t>7</w:t>
      </w:r>
      <w:r>
        <w:rPr>
          <w:rFonts w:hint="eastAsia"/>
          <w:color w:val="auto"/>
          <w:szCs w:val="21"/>
          <w:highlight w:val="none"/>
        </w:rPr>
        <w:t>月</w:t>
      </w:r>
      <w:r>
        <w:rPr>
          <w:color w:val="auto"/>
          <w:szCs w:val="21"/>
          <w:highlight w:val="none"/>
        </w:rPr>
        <w:t>1</w:t>
      </w:r>
      <w:r>
        <w:rPr>
          <w:rFonts w:hint="eastAsia"/>
          <w:color w:val="auto"/>
          <w:szCs w:val="21"/>
          <w:highlight w:val="none"/>
        </w:rPr>
        <w:t>日，近</w:t>
      </w:r>
      <w:r>
        <w:rPr>
          <w:color w:val="auto"/>
          <w:szCs w:val="21"/>
          <w:highlight w:val="none"/>
        </w:rPr>
        <w:t>3</w:t>
      </w:r>
      <w:r>
        <w:rPr>
          <w:rFonts w:hint="eastAsia"/>
          <w:color w:val="auto"/>
          <w:szCs w:val="21"/>
          <w:highlight w:val="none"/>
        </w:rPr>
        <w:t>年是指</w:t>
      </w:r>
      <w:r>
        <w:rPr>
          <w:color w:val="auto"/>
          <w:szCs w:val="21"/>
          <w:highlight w:val="none"/>
        </w:rPr>
        <w:t>2011</w:t>
      </w:r>
      <w:r>
        <w:rPr>
          <w:rFonts w:hint="eastAsia"/>
          <w:color w:val="auto"/>
          <w:szCs w:val="21"/>
          <w:highlight w:val="none"/>
        </w:rPr>
        <w:t>年度、</w:t>
      </w:r>
      <w:r>
        <w:rPr>
          <w:color w:val="auto"/>
          <w:szCs w:val="21"/>
          <w:highlight w:val="none"/>
        </w:rPr>
        <w:t>2012</w:t>
      </w:r>
      <w:r>
        <w:rPr>
          <w:rFonts w:hint="eastAsia"/>
          <w:color w:val="auto"/>
          <w:szCs w:val="21"/>
          <w:highlight w:val="none"/>
        </w:rPr>
        <w:t>年度、</w:t>
      </w:r>
      <w:r>
        <w:rPr>
          <w:color w:val="auto"/>
          <w:szCs w:val="21"/>
          <w:highlight w:val="none"/>
        </w:rPr>
        <w:t>2013</w:t>
      </w:r>
      <w:r>
        <w:rPr>
          <w:rFonts w:hint="eastAsia"/>
          <w:color w:val="auto"/>
          <w:szCs w:val="21"/>
          <w:highlight w:val="none"/>
        </w:rPr>
        <w:t>年度。</w:t>
      </w:r>
    </w:p>
    <w:p w14:paraId="520B07C3">
      <w:pPr>
        <w:autoSpaceDE w:val="0"/>
        <w:autoSpaceDN w:val="0"/>
        <w:adjustRightInd w:val="0"/>
        <w:snapToGrid w:val="0"/>
        <w:spacing w:line="325" w:lineRule="exact"/>
        <w:ind w:left="945" w:hanging="945" w:hangingChars="450"/>
        <w:rPr>
          <w:rFonts w:hint="eastAsia" w:ascii="宋体" w:cs="宋体"/>
          <w:color w:val="auto"/>
          <w:kern w:val="0"/>
          <w:szCs w:val="21"/>
          <w:highlight w:val="none"/>
        </w:rPr>
      </w:pPr>
      <w:r>
        <w:rPr>
          <w:rFonts w:hint="eastAsia" w:ascii="宋体" w:cs="宋体"/>
          <w:color w:val="auto"/>
          <w:kern w:val="0"/>
          <w:szCs w:val="21"/>
          <w:highlight w:val="none"/>
        </w:rPr>
        <w:t xml:space="preserve">      2</w:t>
      </w:r>
      <w:r>
        <w:rPr>
          <w:rFonts w:hint="eastAsia" w:ascii="宋体" w:hAnsi="宋体"/>
          <w:color w:val="auto"/>
          <w:szCs w:val="21"/>
          <w:highlight w:val="none"/>
        </w:rPr>
        <w:t>．</w:t>
      </w:r>
      <w:r>
        <w:rPr>
          <w:rFonts w:hint="eastAsia" w:ascii="宋体" w:cs="宋体"/>
          <w:color w:val="auto"/>
          <w:kern w:val="0"/>
          <w:szCs w:val="21"/>
          <w:highlight w:val="none"/>
        </w:rPr>
        <w:t>本表所列数据必须与本表各附件中的数据相一致。</w:t>
      </w:r>
      <w:r>
        <w:rPr>
          <w:rFonts w:hint="eastAsia" w:ascii="宋体" w:hAnsi="宋体"/>
          <w:color w:val="auto"/>
          <w:szCs w:val="21"/>
          <w:highlight w:val="none"/>
        </w:rPr>
        <w:t>如果有不一致之处，以不利于投标人的数据为准。</w:t>
      </w:r>
    </w:p>
    <w:p w14:paraId="22958052">
      <w:pPr>
        <w:autoSpaceDE w:val="0"/>
        <w:autoSpaceDN w:val="0"/>
        <w:adjustRightInd w:val="0"/>
        <w:snapToGrid w:val="0"/>
        <w:spacing w:line="325" w:lineRule="exact"/>
        <w:rPr>
          <w:rFonts w:hint="eastAsia" w:ascii="Times New Roman"/>
          <w:b/>
          <w:color w:val="auto"/>
          <w:sz w:val="28"/>
          <w:szCs w:val="28"/>
          <w:highlight w:val="none"/>
        </w:rPr>
      </w:pPr>
      <w:r>
        <w:rPr>
          <w:rFonts w:hint="eastAsia" w:ascii="宋体" w:cs="宋体"/>
          <w:color w:val="auto"/>
          <w:kern w:val="0"/>
          <w:szCs w:val="21"/>
          <w:highlight w:val="none"/>
        </w:rPr>
        <w:t xml:space="preserve">      3</w:t>
      </w:r>
      <w:r>
        <w:rPr>
          <w:rFonts w:hint="eastAsia" w:ascii="宋体" w:hAnsi="宋体"/>
          <w:color w:val="auto"/>
          <w:szCs w:val="21"/>
          <w:highlight w:val="none"/>
        </w:rPr>
        <w:t>．</w:t>
      </w:r>
      <w:r>
        <w:rPr>
          <w:rFonts w:hint="eastAsia" w:ascii="宋体" w:cs="宋体"/>
          <w:color w:val="auto"/>
          <w:kern w:val="0"/>
          <w:szCs w:val="21"/>
          <w:highlight w:val="none"/>
        </w:rPr>
        <w:t>联合体</w:t>
      </w:r>
      <w:r>
        <w:rPr>
          <w:rFonts w:hint="eastAsia"/>
          <w:color w:val="auto"/>
          <w:szCs w:val="21"/>
          <w:highlight w:val="none"/>
        </w:rPr>
        <w:t>投标</w:t>
      </w:r>
      <w:r>
        <w:rPr>
          <w:rFonts w:hint="eastAsia" w:ascii="宋体" w:cs="宋体"/>
          <w:color w:val="auto"/>
          <w:kern w:val="0"/>
          <w:szCs w:val="21"/>
          <w:highlight w:val="none"/>
        </w:rPr>
        <w:t>的，联合体各成员应分别填写。</w:t>
      </w:r>
    </w:p>
    <w:p w14:paraId="3F4C84C1">
      <w:pPr>
        <w:jc w:val="center"/>
        <w:rPr>
          <w:b/>
          <w:color w:val="auto"/>
          <w:sz w:val="28"/>
          <w:szCs w:val="28"/>
          <w:highlight w:val="none"/>
        </w:rPr>
      </w:pPr>
    </w:p>
    <w:p w14:paraId="59AD2A81">
      <w:pPr>
        <w:jc w:val="center"/>
        <w:rPr>
          <w:b/>
          <w:color w:val="auto"/>
          <w:sz w:val="28"/>
          <w:szCs w:val="28"/>
          <w:highlight w:val="none"/>
        </w:rPr>
      </w:pPr>
    </w:p>
    <w:p w14:paraId="2D05477B">
      <w:pPr>
        <w:pStyle w:val="33"/>
        <w:jc w:val="center"/>
        <w:rPr>
          <w:rFonts w:ascii="黑体" w:hAnsi="宋体"/>
          <w:color w:val="auto"/>
          <w:highlight w:val="none"/>
        </w:rPr>
      </w:pPr>
      <w:bookmarkStart w:id="2486" w:name="_Toc11799"/>
      <w:bookmarkStart w:id="2487" w:name="_Toc28532439"/>
      <w:r>
        <w:rPr>
          <w:color w:val="auto"/>
          <w:szCs w:val="24"/>
          <w:highlight w:val="none"/>
        </w:rPr>
        <w:t>2-2</w:t>
      </w:r>
      <w:r>
        <w:rPr>
          <w:rFonts w:hint="eastAsia"/>
          <w:color w:val="auto"/>
          <w:szCs w:val="24"/>
          <w:highlight w:val="none"/>
        </w:rPr>
        <w:t>拟投入的流动资金函</w:t>
      </w:r>
      <w:r>
        <w:rPr>
          <w:color w:val="auto"/>
          <w:szCs w:val="24"/>
          <w:highlight w:val="none"/>
        </w:rPr>
        <w:t>(</w:t>
      </w:r>
      <w:r>
        <w:rPr>
          <w:rFonts w:hint="eastAsia"/>
          <w:color w:val="auto"/>
          <w:szCs w:val="24"/>
          <w:highlight w:val="none"/>
        </w:rPr>
        <w:t>格式</w:t>
      </w:r>
      <w:r>
        <w:rPr>
          <w:color w:val="auto"/>
          <w:szCs w:val="24"/>
          <w:highlight w:val="none"/>
        </w:rPr>
        <w:t>)</w:t>
      </w:r>
      <w:bookmarkEnd w:id="2486"/>
      <w:bookmarkEnd w:id="2487"/>
    </w:p>
    <w:p w14:paraId="74D2687D">
      <w:pPr>
        <w:spacing w:line="400" w:lineRule="exact"/>
        <w:rPr>
          <w:rFonts w:hint="eastAsia" w:ascii="宋体" w:hAnsi="宋体"/>
          <w:color w:val="auto"/>
          <w:szCs w:val="21"/>
          <w:highlight w:val="none"/>
          <w:u w:val="single"/>
        </w:rPr>
      </w:pPr>
    </w:p>
    <w:p w14:paraId="35411651">
      <w:pPr>
        <w:spacing w:line="400" w:lineRule="exact"/>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rPr>
        <w:t>(招标人名称)：</w:t>
      </w:r>
    </w:p>
    <w:p w14:paraId="6C4A2CB7">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我方拟投入</w:t>
      </w:r>
      <w:r>
        <w:rPr>
          <w:rFonts w:hint="eastAsia" w:ascii="宋体" w:hAnsi="宋体"/>
          <w:color w:val="auto"/>
          <w:szCs w:val="21"/>
          <w:highlight w:val="none"/>
          <w:u w:val="single"/>
        </w:rPr>
        <w:t>　　　　　　</w:t>
      </w:r>
      <w:r>
        <w:rPr>
          <w:rFonts w:hint="eastAsia" w:ascii="宋体" w:hAnsi="宋体"/>
          <w:color w:val="auto"/>
          <w:szCs w:val="21"/>
          <w:highlight w:val="none"/>
        </w:rPr>
        <w:t>(项目名称)</w:t>
      </w:r>
      <w:r>
        <w:rPr>
          <w:rFonts w:hint="eastAsia" w:ascii="宋体" w:hAnsi="宋体"/>
          <w:color w:val="auto"/>
          <w:szCs w:val="21"/>
          <w:highlight w:val="none"/>
          <w:u w:val="single"/>
        </w:rPr>
        <w:t>　　　　　</w:t>
      </w:r>
      <w:r>
        <w:rPr>
          <w:rFonts w:hint="eastAsia" w:ascii="宋体" w:hAnsi="宋体"/>
          <w:color w:val="auto"/>
          <w:szCs w:val="21"/>
          <w:highlight w:val="none"/>
        </w:rPr>
        <w:t>(标段名称)的流动资金为</w:t>
      </w:r>
      <w:r>
        <w:rPr>
          <w:rFonts w:hint="eastAsia" w:ascii="宋体" w:hAnsi="宋体"/>
          <w:color w:val="auto"/>
          <w:szCs w:val="21"/>
          <w:highlight w:val="none"/>
          <w:u w:val="single"/>
        </w:rPr>
        <w:t>　　　　</w:t>
      </w:r>
      <w:r>
        <w:rPr>
          <w:rFonts w:hint="eastAsia" w:ascii="宋体" w:hAnsi="宋体"/>
          <w:color w:val="auto"/>
          <w:szCs w:val="21"/>
          <w:highlight w:val="none"/>
        </w:rPr>
        <w:t>万元，资金来源于</w:t>
      </w:r>
      <w:r>
        <w:rPr>
          <w:rFonts w:hint="eastAsia" w:ascii="宋体" w:hAnsi="宋体"/>
          <w:color w:val="auto"/>
          <w:szCs w:val="21"/>
          <w:highlight w:val="none"/>
          <w:u w:val="single"/>
        </w:rPr>
        <w:t>　　　　　　　</w:t>
      </w:r>
      <w:r>
        <w:rPr>
          <w:rFonts w:hint="eastAsia" w:ascii="宋体" w:hAnsi="宋体"/>
          <w:color w:val="auto"/>
          <w:szCs w:val="21"/>
          <w:highlight w:val="none"/>
        </w:rPr>
        <w:t>，资金来源证明文件附后。</w:t>
      </w:r>
    </w:p>
    <w:p w14:paraId="5101D060">
      <w:pPr>
        <w:tabs>
          <w:tab w:val="left" w:pos="2670"/>
        </w:tabs>
        <w:spacing w:line="400" w:lineRule="exact"/>
        <w:ind w:firstLine="420" w:firstLineChars="200"/>
        <w:rPr>
          <w:rFonts w:hint="eastAsia" w:ascii="宋体" w:hAnsi="宋体"/>
          <w:color w:val="auto"/>
          <w:szCs w:val="21"/>
          <w:highlight w:val="none"/>
        </w:rPr>
      </w:pPr>
      <w:r>
        <w:rPr>
          <w:rFonts w:hint="eastAsia"/>
          <w:color w:val="auto"/>
          <w:szCs w:val="21"/>
          <w:highlight w:val="none"/>
        </w:rPr>
        <w:t>我方可使用的银行授信余额和银行存款共计</w:t>
      </w:r>
      <w:r>
        <w:rPr>
          <w:color w:val="auto"/>
          <w:szCs w:val="21"/>
          <w:highlight w:val="none"/>
          <w:u w:val="single"/>
        </w:rPr>
        <w:t xml:space="preserve">            </w:t>
      </w:r>
      <w:r>
        <w:rPr>
          <w:rFonts w:hint="eastAsia"/>
          <w:color w:val="auto"/>
          <w:szCs w:val="21"/>
          <w:highlight w:val="none"/>
        </w:rPr>
        <w:t>万元。</w:t>
      </w:r>
    </w:p>
    <w:p w14:paraId="0E204C20">
      <w:pPr>
        <w:spacing w:line="400" w:lineRule="exact"/>
        <w:ind w:firstLine="420" w:firstLineChars="200"/>
        <w:rPr>
          <w:rFonts w:hint="eastAsia" w:ascii="宋体" w:hAnsi="宋体"/>
          <w:color w:val="auto"/>
          <w:szCs w:val="21"/>
          <w:highlight w:val="none"/>
        </w:rPr>
      </w:pPr>
    </w:p>
    <w:p w14:paraId="76405C7A">
      <w:pPr>
        <w:spacing w:line="400" w:lineRule="exact"/>
        <w:ind w:firstLine="420" w:firstLineChars="200"/>
        <w:rPr>
          <w:rFonts w:hint="eastAsia" w:ascii="宋体" w:hAnsi="宋体"/>
          <w:color w:val="auto"/>
          <w:szCs w:val="21"/>
          <w:highlight w:val="none"/>
        </w:rPr>
      </w:pPr>
    </w:p>
    <w:p w14:paraId="4B021232">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投标人：</w:t>
      </w:r>
      <w:r>
        <w:rPr>
          <w:rFonts w:hint="eastAsia" w:ascii="宋体" w:hAnsi="宋体"/>
          <w:color w:val="auto"/>
          <w:szCs w:val="21"/>
          <w:highlight w:val="none"/>
          <w:u w:val="single"/>
        </w:rPr>
        <w:t>　　　　　　　　</w:t>
      </w:r>
      <w:r>
        <w:rPr>
          <w:rFonts w:hint="eastAsia" w:ascii="宋体" w:hAnsi="宋体"/>
          <w:color w:val="auto"/>
          <w:szCs w:val="21"/>
          <w:highlight w:val="none"/>
        </w:rPr>
        <w:t>(盖单位章)</w:t>
      </w:r>
    </w:p>
    <w:p w14:paraId="3A0F5CBA">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w:t>
      </w:r>
      <w:r>
        <w:rPr>
          <w:rFonts w:hint="eastAsia" w:ascii="宋体" w:hAnsi="宋体"/>
          <w:color w:val="auto"/>
          <w:szCs w:val="21"/>
          <w:highlight w:val="none"/>
          <w:u w:val="single"/>
        </w:rPr>
        <w:t>　　　　　</w:t>
      </w:r>
      <w:r>
        <w:rPr>
          <w:rFonts w:hint="eastAsia" w:ascii="宋体" w:hAnsi="宋体"/>
          <w:color w:val="auto"/>
          <w:szCs w:val="21"/>
          <w:highlight w:val="none"/>
        </w:rPr>
        <w:t>年</w:t>
      </w:r>
      <w:r>
        <w:rPr>
          <w:rFonts w:hint="eastAsia" w:ascii="宋体" w:hAnsi="宋体"/>
          <w:color w:val="auto"/>
          <w:szCs w:val="21"/>
          <w:highlight w:val="none"/>
          <w:u w:val="single"/>
        </w:rPr>
        <w:t>　　</w:t>
      </w:r>
      <w:r>
        <w:rPr>
          <w:rFonts w:hint="eastAsia" w:ascii="宋体" w:hAnsi="宋体"/>
          <w:color w:val="auto"/>
          <w:szCs w:val="21"/>
          <w:highlight w:val="none"/>
        </w:rPr>
        <w:t>月</w:t>
      </w:r>
      <w:r>
        <w:rPr>
          <w:rFonts w:hint="eastAsia" w:ascii="宋体" w:hAnsi="宋体"/>
          <w:color w:val="auto"/>
          <w:szCs w:val="21"/>
          <w:highlight w:val="none"/>
          <w:u w:val="single"/>
        </w:rPr>
        <w:t>　　</w:t>
      </w:r>
      <w:r>
        <w:rPr>
          <w:rFonts w:hint="eastAsia" w:ascii="宋体" w:hAnsi="宋体"/>
          <w:color w:val="auto"/>
          <w:szCs w:val="21"/>
          <w:highlight w:val="none"/>
        </w:rPr>
        <w:t>日</w:t>
      </w:r>
    </w:p>
    <w:p w14:paraId="5F5393CE">
      <w:pPr>
        <w:rPr>
          <w:rFonts w:hint="eastAsia" w:ascii="Times New Roman" w:hAnsi="Times New Roman"/>
          <w:color w:val="auto"/>
          <w:szCs w:val="24"/>
          <w:highlight w:val="none"/>
        </w:rPr>
      </w:pPr>
      <w:r>
        <w:rPr>
          <w:color w:val="auto"/>
          <w:highlight w:val="none"/>
        </w:rPr>
        <w:t xml:space="preserve"> </w:t>
      </w:r>
    </w:p>
    <w:p w14:paraId="5EEEBE82">
      <w:pPr>
        <w:rPr>
          <w:color w:val="auto"/>
          <w:highlight w:val="none"/>
        </w:rPr>
      </w:pPr>
    </w:p>
    <w:p w14:paraId="428E470A">
      <w:pPr>
        <w:rPr>
          <w:color w:val="auto"/>
          <w:highlight w:val="none"/>
        </w:rPr>
      </w:pPr>
    </w:p>
    <w:p w14:paraId="1D47E740">
      <w:pPr>
        <w:rPr>
          <w:color w:val="auto"/>
          <w:highlight w:val="none"/>
        </w:rPr>
      </w:pPr>
    </w:p>
    <w:p w14:paraId="50E2F51B">
      <w:pPr>
        <w:rPr>
          <w:color w:val="auto"/>
          <w:highlight w:val="none"/>
        </w:rPr>
      </w:pPr>
    </w:p>
    <w:p w14:paraId="6C3F7105">
      <w:pPr>
        <w:rPr>
          <w:color w:val="auto"/>
          <w:highlight w:val="none"/>
        </w:rPr>
      </w:pPr>
    </w:p>
    <w:p w14:paraId="6C9FACB0">
      <w:pPr>
        <w:rPr>
          <w:color w:val="auto"/>
          <w:highlight w:val="none"/>
        </w:rPr>
      </w:pPr>
    </w:p>
    <w:p w14:paraId="0B1D4B31">
      <w:pPr>
        <w:rPr>
          <w:color w:val="auto"/>
          <w:highlight w:val="none"/>
        </w:rPr>
      </w:pPr>
    </w:p>
    <w:p w14:paraId="4F63F1D2">
      <w:pPr>
        <w:rPr>
          <w:color w:val="auto"/>
          <w:highlight w:val="none"/>
        </w:rPr>
      </w:pPr>
    </w:p>
    <w:p w14:paraId="1FDAFE93">
      <w:pPr>
        <w:rPr>
          <w:color w:val="auto"/>
          <w:highlight w:val="none"/>
        </w:rPr>
      </w:pPr>
    </w:p>
    <w:p w14:paraId="3D41E689">
      <w:pPr>
        <w:rPr>
          <w:color w:val="auto"/>
          <w:highlight w:val="none"/>
        </w:rPr>
      </w:pPr>
    </w:p>
    <w:p w14:paraId="74DA87CA">
      <w:pPr>
        <w:rPr>
          <w:color w:val="auto"/>
          <w:highlight w:val="none"/>
        </w:rPr>
      </w:pPr>
    </w:p>
    <w:p w14:paraId="500B30DA">
      <w:pPr>
        <w:rPr>
          <w:color w:val="auto"/>
          <w:highlight w:val="none"/>
        </w:rPr>
      </w:pPr>
    </w:p>
    <w:p w14:paraId="5D79D8F7">
      <w:pPr>
        <w:rPr>
          <w:color w:val="auto"/>
          <w:highlight w:val="none"/>
        </w:rPr>
      </w:pPr>
    </w:p>
    <w:p w14:paraId="285F9456">
      <w:pPr>
        <w:rPr>
          <w:color w:val="auto"/>
          <w:highlight w:val="none"/>
        </w:rPr>
      </w:pPr>
    </w:p>
    <w:p w14:paraId="2552D79C">
      <w:pPr>
        <w:rPr>
          <w:color w:val="auto"/>
          <w:highlight w:val="none"/>
        </w:rPr>
      </w:pPr>
    </w:p>
    <w:p w14:paraId="64A61D84">
      <w:pPr>
        <w:rPr>
          <w:color w:val="auto"/>
          <w:highlight w:val="none"/>
        </w:rPr>
      </w:pPr>
    </w:p>
    <w:p w14:paraId="59462C00">
      <w:pPr>
        <w:rPr>
          <w:color w:val="auto"/>
          <w:highlight w:val="none"/>
        </w:rPr>
      </w:pPr>
    </w:p>
    <w:p w14:paraId="7A2642FA">
      <w:pPr>
        <w:rPr>
          <w:color w:val="auto"/>
          <w:highlight w:val="none"/>
        </w:rPr>
      </w:pPr>
    </w:p>
    <w:p w14:paraId="433AE5B4">
      <w:pPr>
        <w:rPr>
          <w:color w:val="auto"/>
          <w:highlight w:val="none"/>
        </w:rPr>
      </w:pPr>
    </w:p>
    <w:p w14:paraId="521D04D7">
      <w:pPr>
        <w:rPr>
          <w:color w:val="auto"/>
          <w:highlight w:val="none"/>
        </w:rPr>
      </w:pPr>
    </w:p>
    <w:p w14:paraId="155AB4B2">
      <w:pPr>
        <w:ind w:left="945" w:hanging="945" w:hangingChars="450"/>
        <w:rPr>
          <w:rFonts w:ascii="宋体" w:hAnsi="宋体"/>
          <w:color w:val="auto"/>
          <w:highlight w:val="none"/>
        </w:rPr>
      </w:pPr>
      <w:r>
        <w:rPr>
          <w:rFonts w:hint="eastAsia" w:ascii="宋体" w:hAnsi="宋体"/>
          <w:color w:val="auto"/>
          <w:highlight w:val="none"/>
        </w:rPr>
        <w:t>备注：1</w:t>
      </w:r>
      <w:r>
        <w:rPr>
          <w:rFonts w:hint="eastAsia" w:ascii="宋体" w:hAnsi="宋体"/>
          <w:color w:val="auto"/>
          <w:szCs w:val="21"/>
          <w:highlight w:val="none"/>
        </w:rPr>
        <w:t>．</w:t>
      </w:r>
      <w:r>
        <w:rPr>
          <w:rFonts w:hint="eastAsia" w:ascii="宋体" w:hAnsi="宋体"/>
          <w:color w:val="auto"/>
          <w:highlight w:val="none"/>
        </w:rPr>
        <w:t>如招标人为避免</w:t>
      </w:r>
      <w:r>
        <w:rPr>
          <w:rFonts w:hint="eastAsia" w:ascii="宋体" w:hAnsi="宋体"/>
          <w:color w:val="auto"/>
          <w:szCs w:val="21"/>
          <w:highlight w:val="none"/>
        </w:rPr>
        <w:t>投标</w:t>
      </w:r>
      <w:r>
        <w:rPr>
          <w:rFonts w:hint="eastAsia" w:ascii="宋体" w:hAnsi="宋体"/>
          <w:color w:val="auto"/>
          <w:highlight w:val="none"/>
        </w:rPr>
        <w:t>人中标后因流动资金不足影响工程施工，而要求</w:t>
      </w:r>
      <w:r>
        <w:rPr>
          <w:rFonts w:hint="eastAsia" w:ascii="宋体" w:hAnsi="宋体"/>
          <w:color w:val="auto"/>
          <w:szCs w:val="21"/>
          <w:highlight w:val="none"/>
        </w:rPr>
        <w:t>投标</w:t>
      </w:r>
      <w:r>
        <w:rPr>
          <w:rFonts w:hint="eastAsia" w:ascii="宋体" w:hAnsi="宋体"/>
          <w:color w:val="auto"/>
          <w:highlight w:val="none"/>
        </w:rPr>
        <w:t>人具有一定的流动资金的，</w:t>
      </w:r>
      <w:r>
        <w:rPr>
          <w:rFonts w:hint="eastAsia" w:ascii="宋体" w:hAnsi="宋体"/>
          <w:color w:val="auto"/>
          <w:szCs w:val="21"/>
          <w:highlight w:val="none"/>
        </w:rPr>
        <w:t>投标</w:t>
      </w:r>
      <w:r>
        <w:rPr>
          <w:rFonts w:hint="eastAsia" w:ascii="宋体" w:hAnsi="宋体"/>
          <w:color w:val="auto"/>
          <w:highlight w:val="none"/>
        </w:rPr>
        <w:t>人应当填写此表。</w:t>
      </w:r>
    </w:p>
    <w:p w14:paraId="5BA068A0">
      <w:pPr>
        <w:ind w:left="945" w:leftChars="100" w:hanging="735" w:hangingChars="350"/>
        <w:rPr>
          <w:rFonts w:hint="eastAsia" w:ascii="宋体" w:hAnsi="宋体"/>
          <w:color w:val="auto"/>
          <w:highlight w:val="none"/>
        </w:rPr>
      </w:pPr>
      <w:r>
        <w:rPr>
          <w:rFonts w:hint="eastAsia" w:ascii="宋体" w:hAnsi="宋体"/>
          <w:color w:val="auto"/>
          <w:highlight w:val="none"/>
        </w:rPr>
        <w:t xml:space="preserve">    2</w:t>
      </w:r>
      <w:r>
        <w:rPr>
          <w:rFonts w:hint="eastAsia" w:ascii="宋体" w:hAnsi="宋体"/>
          <w:color w:val="auto"/>
          <w:szCs w:val="21"/>
          <w:highlight w:val="none"/>
        </w:rPr>
        <w:t>．</w:t>
      </w:r>
      <w:r>
        <w:rPr>
          <w:rFonts w:hint="eastAsia" w:ascii="宋体" w:hAnsi="宋体"/>
          <w:color w:val="auto"/>
          <w:highlight w:val="none"/>
        </w:rPr>
        <w:t>资金来源填写银行存款、银行信贷或其它形式，如</w:t>
      </w:r>
      <w:r>
        <w:rPr>
          <w:rFonts w:hint="eastAsia" w:ascii="宋体" w:hAnsi="宋体"/>
          <w:color w:val="auto"/>
          <w:szCs w:val="21"/>
          <w:highlight w:val="none"/>
        </w:rPr>
        <w:t>银行授信总额度、本年度可使用的银行授信余额等。</w:t>
      </w:r>
    </w:p>
    <w:p w14:paraId="3F6C7E28">
      <w:pPr>
        <w:ind w:left="945" w:hanging="945" w:hangingChars="450"/>
        <w:rPr>
          <w:rFonts w:hint="eastAsia" w:ascii="宋体" w:hAnsi="宋体"/>
          <w:color w:val="auto"/>
          <w:highlight w:val="none"/>
        </w:rPr>
      </w:pPr>
      <w:r>
        <w:rPr>
          <w:rFonts w:hint="eastAsia" w:ascii="宋体" w:hAnsi="宋体"/>
          <w:color w:val="auto"/>
          <w:highlight w:val="none"/>
        </w:rPr>
        <w:t>　  　3</w:t>
      </w:r>
      <w:r>
        <w:rPr>
          <w:rFonts w:hint="eastAsia" w:ascii="宋体" w:hAnsi="宋体"/>
          <w:color w:val="auto"/>
          <w:szCs w:val="21"/>
          <w:highlight w:val="none"/>
        </w:rPr>
        <w:t>．</w:t>
      </w:r>
      <w:r>
        <w:rPr>
          <w:rFonts w:hint="eastAsia" w:ascii="宋体" w:hAnsi="宋体" w:cs="宋体"/>
          <w:color w:val="auto"/>
          <w:kern w:val="0"/>
          <w:szCs w:val="21"/>
          <w:highlight w:val="none"/>
        </w:rPr>
        <w:t>本表后附</w:t>
      </w:r>
      <w:r>
        <w:rPr>
          <w:rFonts w:hint="eastAsia" w:ascii="宋体" w:hAnsi="宋体"/>
          <w:color w:val="auto"/>
          <w:highlight w:val="none"/>
        </w:rPr>
        <w:t>相关</w:t>
      </w:r>
      <w:r>
        <w:rPr>
          <w:rFonts w:hint="eastAsia" w:ascii="宋体" w:hAnsi="宋体"/>
          <w:color w:val="auto"/>
          <w:szCs w:val="21"/>
          <w:highlight w:val="none"/>
        </w:rPr>
        <w:t>资金来源证明文件</w:t>
      </w:r>
      <w:r>
        <w:rPr>
          <w:rFonts w:hint="eastAsia" w:ascii="宋体" w:hAnsi="宋体"/>
          <w:color w:val="auto"/>
          <w:highlight w:val="none"/>
        </w:rPr>
        <w:t>扫描件，银行存款证明、银行信贷证明应采用相关银行出具的格式。</w:t>
      </w:r>
    </w:p>
    <w:p w14:paraId="67C98BDE">
      <w:pPr>
        <w:spacing w:after="240" w:afterLines="100" w:line="400" w:lineRule="exact"/>
        <w:rPr>
          <w:rFonts w:hint="eastAsia" w:ascii="宋体" w:hAnsi="宋体"/>
          <w:color w:val="auto"/>
          <w:szCs w:val="21"/>
          <w:highlight w:val="none"/>
        </w:rPr>
      </w:pPr>
      <w:r>
        <w:rPr>
          <w:rFonts w:hint="eastAsia" w:ascii="宋体" w:hAnsi="宋体"/>
          <w:color w:val="auto"/>
          <w:highlight w:val="none"/>
        </w:rPr>
        <w:t>　  　4</w:t>
      </w:r>
      <w:r>
        <w:rPr>
          <w:rFonts w:hint="eastAsia" w:ascii="宋体" w:hAnsi="宋体"/>
          <w:color w:val="auto"/>
          <w:szCs w:val="21"/>
          <w:highlight w:val="none"/>
        </w:rPr>
        <w:t>．招标人也可根据招标项目具体情况要求说明是否拥有有效期内的银行AAA资信证明。</w:t>
      </w:r>
    </w:p>
    <w:p w14:paraId="7BC3C432">
      <w:pPr>
        <w:spacing w:line="440" w:lineRule="exact"/>
        <w:ind w:left="630" w:hanging="630" w:hangingChars="300"/>
        <w:rPr>
          <w:rFonts w:hint="eastAsia" w:ascii="宋体" w:hAnsi="宋体"/>
          <w:color w:val="auto"/>
          <w:szCs w:val="21"/>
          <w:highlight w:val="none"/>
        </w:rPr>
      </w:pPr>
    </w:p>
    <w:p w14:paraId="6E09A921">
      <w:pPr>
        <w:spacing w:line="440" w:lineRule="exact"/>
        <w:ind w:left="630" w:hanging="630" w:hangingChars="300"/>
        <w:rPr>
          <w:rFonts w:hint="eastAsia" w:ascii="宋体" w:hAnsi="宋体"/>
          <w:color w:val="auto"/>
          <w:szCs w:val="21"/>
          <w:highlight w:val="none"/>
        </w:rPr>
      </w:pPr>
    </w:p>
    <w:p w14:paraId="45052F6A">
      <w:pPr>
        <w:spacing w:line="440" w:lineRule="exact"/>
        <w:ind w:left="630" w:hanging="630" w:hangingChars="300"/>
        <w:rPr>
          <w:rFonts w:hint="eastAsia" w:ascii="宋体" w:hAnsi="宋体"/>
          <w:color w:val="auto"/>
          <w:szCs w:val="21"/>
          <w:highlight w:val="none"/>
        </w:rPr>
      </w:pPr>
    </w:p>
    <w:p w14:paraId="57866DB2">
      <w:pPr>
        <w:pStyle w:val="33"/>
        <w:jc w:val="center"/>
        <w:rPr>
          <w:rFonts w:hint="eastAsia" w:ascii="黑体" w:hAnsi="宋体"/>
          <w:color w:val="auto"/>
          <w:highlight w:val="none"/>
        </w:rPr>
      </w:pPr>
      <w:bookmarkStart w:id="2488" w:name="_Toc31020"/>
      <w:bookmarkStart w:id="2489" w:name="_Toc28532440"/>
      <w:r>
        <w:rPr>
          <w:rFonts w:hint="eastAsia"/>
          <w:color w:val="auto"/>
          <w:szCs w:val="24"/>
          <w:highlight w:val="none"/>
        </w:rPr>
        <w:t>（三）近</w:t>
      </w:r>
      <w:r>
        <w:rPr>
          <w:color w:val="auto"/>
          <w:szCs w:val="24"/>
          <w:highlight w:val="none"/>
        </w:rPr>
        <w:t>5</w:t>
      </w:r>
      <w:r>
        <w:rPr>
          <w:rFonts w:hint="eastAsia"/>
          <w:color w:val="auto"/>
          <w:szCs w:val="24"/>
          <w:highlight w:val="none"/>
        </w:rPr>
        <w:t>年完成的类似项目情况</w:t>
      </w:r>
      <w:bookmarkEnd w:id="2488"/>
      <w:bookmarkEnd w:id="2489"/>
    </w:p>
    <w:p w14:paraId="200D7106">
      <w:pPr>
        <w:spacing w:line="440" w:lineRule="exact"/>
        <w:ind w:left="718" w:leftChars="342" w:firstLine="2040" w:firstLineChars="850"/>
        <w:rPr>
          <w:rFonts w:hint="eastAsia" w:ascii="黑体" w:hAnsi="宋体" w:eastAsia="黑体"/>
          <w:color w:val="auto"/>
          <w:sz w:val="24"/>
          <w:highlight w:val="none"/>
        </w:rPr>
      </w:pPr>
    </w:p>
    <w:p w14:paraId="7F01BC1A">
      <w:pPr>
        <w:pStyle w:val="33"/>
        <w:jc w:val="center"/>
        <w:rPr>
          <w:rFonts w:hint="eastAsia" w:ascii="Times New Roman" w:hAnsi="Times New Roman"/>
          <w:color w:val="auto"/>
          <w:szCs w:val="24"/>
          <w:highlight w:val="none"/>
        </w:rPr>
      </w:pPr>
      <w:bookmarkStart w:id="2490" w:name="_Toc32220"/>
      <w:bookmarkStart w:id="2491" w:name="_Toc28532441"/>
      <w:r>
        <w:rPr>
          <w:color w:val="auto"/>
          <w:szCs w:val="24"/>
          <w:highlight w:val="none"/>
        </w:rPr>
        <w:t xml:space="preserve">3-1 </w:t>
      </w:r>
      <w:r>
        <w:rPr>
          <w:rFonts w:hint="eastAsia"/>
          <w:color w:val="auto"/>
          <w:szCs w:val="24"/>
          <w:highlight w:val="none"/>
        </w:rPr>
        <w:t>近</w:t>
      </w:r>
      <w:r>
        <w:rPr>
          <w:color w:val="auto"/>
          <w:szCs w:val="24"/>
          <w:highlight w:val="none"/>
        </w:rPr>
        <w:t>5</w:t>
      </w:r>
      <w:r>
        <w:rPr>
          <w:rFonts w:hint="eastAsia"/>
          <w:color w:val="auto"/>
          <w:szCs w:val="24"/>
          <w:highlight w:val="none"/>
        </w:rPr>
        <w:t>年完成的类似项目汇总表</w:t>
      </w:r>
      <w:bookmarkEnd w:id="2490"/>
      <w:bookmarkEnd w:id="2491"/>
    </w:p>
    <w:p w14:paraId="6A0DB5F9">
      <w:pPr>
        <w:spacing w:line="440" w:lineRule="exact"/>
        <w:rPr>
          <w:rFonts w:ascii="黑体" w:hAnsi="宋体" w:eastAsia="黑体"/>
          <w:color w:val="auto"/>
          <w:sz w:val="24"/>
          <w:szCs w:val="24"/>
          <w:highlight w:val="none"/>
        </w:rPr>
      </w:pPr>
    </w:p>
    <w:tbl>
      <w:tblPr>
        <w:tblStyle w:val="15"/>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7A2B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noWrap w:val="0"/>
            <w:vAlign w:val="top"/>
          </w:tcPr>
          <w:p w14:paraId="66E4D828">
            <w:pPr>
              <w:topLinePunct/>
              <w:spacing w:line="400" w:lineRule="atLeast"/>
              <w:jc w:val="center"/>
              <w:rPr>
                <w:color w:val="auto"/>
                <w:szCs w:val="21"/>
                <w:highlight w:val="none"/>
              </w:rPr>
            </w:pPr>
            <w:r>
              <w:rPr>
                <w:rFonts w:hint="eastAsia"/>
                <w:color w:val="auto"/>
                <w:szCs w:val="21"/>
                <w:highlight w:val="none"/>
              </w:rPr>
              <w:t>序号</w:t>
            </w:r>
          </w:p>
        </w:tc>
        <w:tc>
          <w:tcPr>
            <w:tcW w:w="1846" w:type="dxa"/>
            <w:tcBorders>
              <w:top w:val="single" w:color="auto" w:sz="4" w:space="0"/>
              <w:left w:val="single" w:color="auto" w:sz="4" w:space="0"/>
              <w:bottom w:val="single" w:color="auto" w:sz="4" w:space="0"/>
              <w:right w:val="single" w:color="auto" w:sz="4" w:space="0"/>
            </w:tcBorders>
            <w:noWrap w:val="0"/>
            <w:vAlign w:val="top"/>
          </w:tcPr>
          <w:p w14:paraId="3EB7B4F1">
            <w:pPr>
              <w:topLinePunct/>
              <w:spacing w:line="400" w:lineRule="atLeast"/>
              <w:jc w:val="center"/>
              <w:rPr>
                <w:color w:val="auto"/>
                <w:szCs w:val="21"/>
                <w:highlight w:val="none"/>
              </w:rPr>
            </w:pPr>
            <w:r>
              <w:rPr>
                <w:rFonts w:hint="eastAsia"/>
                <w:color w:val="auto"/>
                <w:szCs w:val="21"/>
                <w:highlight w:val="none"/>
              </w:rPr>
              <w:t>项目名称</w:t>
            </w:r>
          </w:p>
        </w:tc>
        <w:tc>
          <w:tcPr>
            <w:tcW w:w="1394" w:type="dxa"/>
            <w:tcBorders>
              <w:top w:val="single" w:color="auto" w:sz="4" w:space="0"/>
              <w:left w:val="single" w:color="auto" w:sz="4" w:space="0"/>
              <w:bottom w:val="single" w:color="auto" w:sz="4" w:space="0"/>
              <w:right w:val="single" w:color="auto" w:sz="4" w:space="0"/>
            </w:tcBorders>
            <w:noWrap w:val="0"/>
            <w:vAlign w:val="top"/>
          </w:tcPr>
          <w:p w14:paraId="77AC6084">
            <w:pPr>
              <w:topLinePunct/>
              <w:spacing w:line="400" w:lineRule="atLeast"/>
              <w:jc w:val="center"/>
              <w:rPr>
                <w:color w:val="auto"/>
                <w:szCs w:val="21"/>
                <w:highlight w:val="none"/>
              </w:rPr>
            </w:pPr>
            <w:r>
              <w:rPr>
                <w:rFonts w:hint="eastAsia" w:ascii="宋体" w:hAnsi="宋体"/>
                <w:color w:val="auto"/>
                <w:szCs w:val="21"/>
                <w:highlight w:val="none"/>
              </w:rPr>
              <w:t>发包人名称</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2FD5DEAF">
            <w:pPr>
              <w:topLinePunct/>
              <w:spacing w:line="400" w:lineRule="atLeast"/>
              <w:jc w:val="center"/>
              <w:rPr>
                <w:color w:val="auto"/>
                <w:szCs w:val="21"/>
                <w:highlight w:val="none"/>
              </w:rPr>
            </w:pPr>
            <w:r>
              <w:rPr>
                <w:rFonts w:hint="eastAsia"/>
                <w:color w:val="auto"/>
                <w:szCs w:val="21"/>
                <w:highlight w:val="none"/>
              </w:rPr>
              <w:t>工程规模</w:t>
            </w:r>
          </w:p>
        </w:tc>
        <w:tc>
          <w:tcPr>
            <w:tcW w:w="1112" w:type="dxa"/>
            <w:tcBorders>
              <w:top w:val="single" w:color="auto" w:sz="4" w:space="0"/>
              <w:left w:val="single" w:color="auto" w:sz="4" w:space="0"/>
              <w:bottom w:val="single" w:color="auto" w:sz="4" w:space="0"/>
              <w:right w:val="single" w:color="auto" w:sz="4" w:space="0"/>
            </w:tcBorders>
            <w:noWrap w:val="0"/>
            <w:vAlign w:val="top"/>
          </w:tcPr>
          <w:p w14:paraId="45E77054">
            <w:pPr>
              <w:topLinePunct/>
              <w:spacing w:line="400" w:lineRule="atLeast"/>
              <w:jc w:val="center"/>
              <w:rPr>
                <w:color w:val="auto"/>
                <w:szCs w:val="21"/>
                <w:highlight w:val="none"/>
              </w:rPr>
            </w:pPr>
            <w:r>
              <w:rPr>
                <w:rFonts w:hint="eastAsia" w:ascii="宋体" w:hAnsi="宋体"/>
                <w:color w:val="auto"/>
                <w:szCs w:val="21"/>
                <w:highlight w:val="none"/>
              </w:rPr>
              <w:t>合同价格</w:t>
            </w:r>
            <w:r>
              <w:rPr>
                <w:rFonts w:hint="eastAsia"/>
                <w:color w:val="auto"/>
                <w:szCs w:val="21"/>
                <w:highlight w:val="none"/>
              </w:rPr>
              <w:t>（万元）</w:t>
            </w:r>
          </w:p>
        </w:tc>
        <w:tc>
          <w:tcPr>
            <w:tcW w:w="1778" w:type="dxa"/>
            <w:tcBorders>
              <w:top w:val="single" w:color="auto" w:sz="4" w:space="0"/>
              <w:left w:val="single" w:color="auto" w:sz="4" w:space="0"/>
              <w:bottom w:val="single" w:color="auto" w:sz="4" w:space="0"/>
              <w:right w:val="single" w:color="auto" w:sz="4" w:space="0"/>
            </w:tcBorders>
            <w:noWrap w:val="0"/>
            <w:vAlign w:val="top"/>
          </w:tcPr>
          <w:p w14:paraId="3A76A2B1">
            <w:pPr>
              <w:topLinePunct/>
              <w:spacing w:line="400" w:lineRule="atLeast"/>
              <w:jc w:val="center"/>
              <w:rPr>
                <w:color w:val="auto"/>
                <w:szCs w:val="21"/>
                <w:highlight w:val="none"/>
              </w:rPr>
            </w:pPr>
            <w:r>
              <w:rPr>
                <w:rFonts w:hint="eastAsia" w:ascii="宋体" w:hAnsi="宋体"/>
                <w:color w:val="auto"/>
                <w:szCs w:val="21"/>
                <w:highlight w:val="none"/>
              </w:rPr>
              <w:t>开、竣工日期</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42B1F3A1">
            <w:pPr>
              <w:topLinePunct/>
              <w:spacing w:line="400" w:lineRule="atLeast"/>
              <w:jc w:val="center"/>
              <w:rPr>
                <w:color w:val="auto"/>
                <w:szCs w:val="21"/>
                <w:highlight w:val="none"/>
              </w:rPr>
            </w:pPr>
            <w:r>
              <w:rPr>
                <w:rFonts w:hint="eastAsia" w:ascii="宋体" w:hAnsi="宋体"/>
                <w:color w:val="auto"/>
                <w:szCs w:val="21"/>
                <w:highlight w:val="none"/>
              </w:rPr>
              <w:t>项目经理</w:t>
            </w:r>
          </w:p>
        </w:tc>
      </w:tr>
      <w:tr w14:paraId="7987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E71E022">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76EF880">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2B32C3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9902905">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D41B0ED">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0186A1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FA71D57">
            <w:pPr>
              <w:topLinePunct/>
              <w:spacing w:line="400" w:lineRule="atLeast"/>
              <w:jc w:val="center"/>
              <w:rPr>
                <w:color w:val="auto"/>
                <w:szCs w:val="21"/>
                <w:highlight w:val="none"/>
              </w:rPr>
            </w:pPr>
          </w:p>
        </w:tc>
      </w:tr>
      <w:tr w14:paraId="1B0B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766250AB">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02EEDF95">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849E58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46295F7">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84190C7">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DBAEFD4">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38E8C82">
            <w:pPr>
              <w:topLinePunct/>
              <w:spacing w:line="400" w:lineRule="atLeast"/>
              <w:jc w:val="center"/>
              <w:rPr>
                <w:color w:val="auto"/>
                <w:szCs w:val="21"/>
                <w:highlight w:val="none"/>
              </w:rPr>
            </w:pPr>
          </w:p>
        </w:tc>
      </w:tr>
      <w:tr w14:paraId="6FD30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46089A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067F57ED">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0474D75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BBBBEF1">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1C8CA533">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E55690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BDD2883">
            <w:pPr>
              <w:topLinePunct/>
              <w:spacing w:line="400" w:lineRule="atLeast"/>
              <w:jc w:val="center"/>
              <w:rPr>
                <w:color w:val="auto"/>
                <w:szCs w:val="21"/>
                <w:highlight w:val="none"/>
              </w:rPr>
            </w:pPr>
          </w:p>
        </w:tc>
      </w:tr>
      <w:tr w14:paraId="4EDE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79F6D3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F235072">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3E1D28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4549654">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A324CF9">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D2C2E2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7D44AE7">
            <w:pPr>
              <w:topLinePunct/>
              <w:spacing w:line="400" w:lineRule="atLeast"/>
              <w:jc w:val="center"/>
              <w:rPr>
                <w:color w:val="auto"/>
                <w:szCs w:val="21"/>
                <w:highlight w:val="none"/>
              </w:rPr>
            </w:pPr>
          </w:p>
        </w:tc>
      </w:tr>
      <w:tr w14:paraId="55A4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CBB3D6E">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34D66C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990F83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34CB30C">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54A7B80">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B29797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E0C2C8F">
            <w:pPr>
              <w:topLinePunct/>
              <w:spacing w:line="400" w:lineRule="atLeast"/>
              <w:jc w:val="center"/>
              <w:rPr>
                <w:color w:val="auto"/>
                <w:szCs w:val="21"/>
                <w:highlight w:val="none"/>
              </w:rPr>
            </w:pPr>
          </w:p>
        </w:tc>
      </w:tr>
      <w:tr w14:paraId="1A96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3578894">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0267B89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E0E7D7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1091D01">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CA7F27A">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B00B66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4A61CB7">
            <w:pPr>
              <w:topLinePunct/>
              <w:spacing w:line="400" w:lineRule="atLeast"/>
              <w:jc w:val="center"/>
              <w:rPr>
                <w:color w:val="auto"/>
                <w:szCs w:val="21"/>
                <w:highlight w:val="none"/>
              </w:rPr>
            </w:pPr>
          </w:p>
        </w:tc>
      </w:tr>
      <w:tr w14:paraId="6606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BE3629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675113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BE7C7F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6D9E0BA">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1446C97">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BE98962">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CC6EC8D">
            <w:pPr>
              <w:topLinePunct/>
              <w:spacing w:line="400" w:lineRule="atLeast"/>
              <w:jc w:val="center"/>
              <w:rPr>
                <w:color w:val="auto"/>
                <w:szCs w:val="21"/>
                <w:highlight w:val="none"/>
              </w:rPr>
            </w:pPr>
          </w:p>
        </w:tc>
      </w:tr>
      <w:tr w14:paraId="0087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B8EC19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5201B17F">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C3B3671">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49FBF3F">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AD1191B">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06C64D91">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DDC2BCC">
            <w:pPr>
              <w:topLinePunct/>
              <w:spacing w:line="400" w:lineRule="atLeast"/>
              <w:jc w:val="center"/>
              <w:rPr>
                <w:color w:val="auto"/>
                <w:szCs w:val="21"/>
                <w:highlight w:val="none"/>
              </w:rPr>
            </w:pPr>
          </w:p>
        </w:tc>
      </w:tr>
      <w:tr w14:paraId="367B1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1D01B3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39B03D5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38FE7D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A84FB11">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4CC0D1D">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CCB9F3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EA045CE">
            <w:pPr>
              <w:topLinePunct/>
              <w:spacing w:line="400" w:lineRule="atLeast"/>
              <w:jc w:val="center"/>
              <w:rPr>
                <w:color w:val="auto"/>
                <w:szCs w:val="21"/>
                <w:highlight w:val="none"/>
              </w:rPr>
            </w:pPr>
          </w:p>
        </w:tc>
      </w:tr>
      <w:tr w14:paraId="3A128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B8F4473">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6B11959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1BF4517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ED1CE74">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1021985A">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7D1D8ACF">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4996091">
            <w:pPr>
              <w:topLinePunct/>
              <w:spacing w:line="400" w:lineRule="atLeast"/>
              <w:jc w:val="center"/>
              <w:rPr>
                <w:color w:val="auto"/>
                <w:szCs w:val="21"/>
                <w:highlight w:val="none"/>
              </w:rPr>
            </w:pPr>
          </w:p>
        </w:tc>
      </w:tr>
      <w:tr w14:paraId="4979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8F96B0F">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A713D0D">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AC5074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BDF94ED">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82C4F37">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71DBCF14">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1E70475">
            <w:pPr>
              <w:topLinePunct/>
              <w:spacing w:line="400" w:lineRule="atLeast"/>
              <w:jc w:val="center"/>
              <w:rPr>
                <w:color w:val="auto"/>
                <w:szCs w:val="21"/>
                <w:highlight w:val="none"/>
              </w:rPr>
            </w:pPr>
          </w:p>
        </w:tc>
      </w:tr>
      <w:tr w14:paraId="7E4A2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EFC90CA">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18F7A1B">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598F91D">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0C24E42">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551E390C">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090DA87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892A9C1">
            <w:pPr>
              <w:topLinePunct/>
              <w:spacing w:line="400" w:lineRule="atLeast"/>
              <w:jc w:val="center"/>
              <w:rPr>
                <w:color w:val="auto"/>
                <w:szCs w:val="21"/>
                <w:highlight w:val="none"/>
              </w:rPr>
            </w:pPr>
          </w:p>
        </w:tc>
      </w:tr>
      <w:tr w14:paraId="65A19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32A00F1B">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7D5A37F">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0BF337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8217B19">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6A1FABA">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94523D2">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5F3A27F">
            <w:pPr>
              <w:topLinePunct/>
              <w:spacing w:line="400" w:lineRule="atLeast"/>
              <w:jc w:val="center"/>
              <w:rPr>
                <w:color w:val="auto"/>
                <w:szCs w:val="21"/>
                <w:highlight w:val="none"/>
              </w:rPr>
            </w:pPr>
          </w:p>
        </w:tc>
      </w:tr>
      <w:tr w14:paraId="0FF4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C21D1CD">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1E2CF34">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18001D9D">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86B82DD">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709913E">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1B6B82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80970CD">
            <w:pPr>
              <w:topLinePunct/>
              <w:spacing w:line="400" w:lineRule="atLeast"/>
              <w:jc w:val="center"/>
              <w:rPr>
                <w:color w:val="auto"/>
                <w:szCs w:val="21"/>
                <w:highlight w:val="none"/>
              </w:rPr>
            </w:pPr>
          </w:p>
        </w:tc>
      </w:tr>
      <w:tr w14:paraId="3C2FB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152F72DD">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11CA203">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290B3C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DFB10ED">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14365FA">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0595C1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DB5625B">
            <w:pPr>
              <w:topLinePunct/>
              <w:spacing w:line="400" w:lineRule="atLeast"/>
              <w:jc w:val="center"/>
              <w:rPr>
                <w:color w:val="auto"/>
                <w:szCs w:val="21"/>
                <w:highlight w:val="none"/>
              </w:rPr>
            </w:pPr>
          </w:p>
        </w:tc>
      </w:tr>
      <w:tr w14:paraId="51FB6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0A976D4">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1E7C478">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A98AA8D">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1152090">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4AF7D93">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1588A7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73567CB">
            <w:pPr>
              <w:topLinePunct/>
              <w:spacing w:line="400" w:lineRule="atLeast"/>
              <w:jc w:val="center"/>
              <w:rPr>
                <w:color w:val="auto"/>
                <w:szCs w:val="21"/>
                <w:highlight w:val="none"/>
              </w:rPr>
            </w:pPr>
          </w:p>
        </w:tc>
      </w:tr>
    </w:tbl>
    <w:p w14:paraId="7A88B878">
      <w:pPr>
        <w:spacing w:line="440" w:lineRule="exact"/>
        <w:ind w:left="720" w:hanging="720" w:hangingChars="300"/>
        <w:rPr>
          <w:rFonts w:hint="eastAsia" w:ascii="黑体" w:hAnsi="宋体" w:eastAsia="黑体"/>
          <w:color w:val="auto"/>
          <w:sz w:val="24"/>
          <w:highlight w:val="none"/>
        </w:rPr>
      </w:pPr>
    </w:p>
    <w:p w14:paraId="03CABCC3">
      <w:pPr>
        <w:spacing w:line="440" w:lineRule="exact"/>
        <w:ind w:left="720" w:hanging="720" w:hangingChars="300"/>
        <w:rPr>
          <w:rFonts w:hint="eastAsia" w:ascii="黑体" w:hAnsi="宋体" w:eastAsia="黑体"/>
          <w:color w:val="auto"/>
          <w:sz w:val="24"/>
          <w:highlight w:val="none"/>
        </w:rPr>
      </w:pPr>
    </w:p>
    <w:p w14:paraId="4923B999">
      <w:pPr>
        <w:spacing w:line="440" w:lineRule="exact"/>
        <w:ind w:left="720" w:hanging="720" w:hangingChars="300"/>
        <w:rPr>
          <w:rFonts w:hint="eastAsia" w:ascii="黑体" w:hAnsi="宋体" w:eastAsia="黑体"/>
          <w:color w:val="auto"/>
          <w:sz w:val="24"/>
          <w:highlight w:val="none"/>
        </w:rPr>
      </w:pPr>
    </w:p>
    <w:p w14:paraId="1F0CE950">
      <w:pPr>
        <w:spacing w:line="440" w:lineRule="exact"/>
        <w:ind w:left="720" w:hanging="720" w:hangingChars="300"/>
        <w:rPr>
          <w:rFonts w:hint="eastAsia" w:ascii="黑体" w:hAnsi="宋体" w:eastAsia="黑体"/>
          <w:color w:val="auto"/>
          <w:sz w:val="24"/>
          <w:highlight w:val="none"/>
        </w:rPr>
      </w:pPr>
    </w:p>
    <w:p w14:paraId="5D75488F">
      <w:pPr>
        <w:spacing w:line="440" w:lineRule="exact"/>
        <w:ind w:left="720" w:hanging="720" w:hangingChars="300"/>
        <w:rPr>
          <w:rFonts w:hint="eastAsia" w:ascii="黑体" w:hAnsi="宋体" w:eastAsia="黑体"/>
          <w:color w:val="auto"/>
          <w:sz w:val="24"/>
          <w:highlight w:val="none"/>
        </w:rPr>
      </w:pPr>
    </w:p>
    <w:p w14:paraId="39B56F62">
      <w:pPr>
        <w:pStyle w:val="33"/>
        <w:jc w:val="center"/>
        <w:rPr>
          <w:rFonts w:hint="eastAsia" w:ascii="Times New Roman" w:hAnsi="Times New Roman"/>
          <w:color w:val="auto"/>
          <w:szCs w:val="24"/>
          <w:highlight w:val="none"/>
        </w:rPr>
      </w:pPr>
      <w:bookmarkStart w:id="2492" w:name="_Toc28532442"/>
      <w:bookmarkStart w:id="2493" w:name="_Toc5487"/>
      <w:r>
        <w:rPr>
          <w:color w:val="auto"/>
          <w:szCs w:val="24"/>
          <w:highlight w:val="none"/>
        </w:rPr>
        <w:t xml:space="preserve">3-2 </w:t>
      </w:r>
      <w:r>
        <w:rPr>
          <w:rFonts w:hint="eastAsia"/>
          <w:color w:val="auto"/>
          <w:szCs w:val="24"/>
          <w:highlight w:val="none"/>
        </w:rPr>
        <w:t>近</w:t>
      </w:r>
      <w:r>
        <w:rPr>
          <w:color w:val="auto"/>
          <w:szCs w:val="24"/>
          <w:highlight w:val="none"/>
        </w:rPr>
        <w:t>5</w:t>
      </w:r>
      <w:r>
        <w:rPr>
          <w:rFonts w:hint="eastAsia"/>
          <w:color w:val="auto"/>
          <w:szCs w:val="24"/>
          <w:highlight w:val="none"/>
        </w:rPr>
        <w:t>年完成的类似项目情况表</w:t>
      </w:r>
      <w:bookmarkEnd w:id="2492"/>
      <w:bookmarkEnd w:id="2493"/>
    </w:p>
    <w:p w14:paraId="739FB9DC">
      <w:pPr>
        <w:spacing w:line="440" w:lineRule="exact"/>
        <w:ind w:left="720" w:hanging="720" w:hangingChars="300"/>
        <w:jc w:val="center"/>
        <w:rPr>
          <w:rFonts w:ascii="黑体" w:hAnsi="宋体" w:eastAsia="黑体"/>
          <w:color w:val="auto"/>
          <w:sz w:val="24"/>
          <w:szCs w:val="24"/>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1"/>
        <w:gridCol w:w="6094"/>
      </w:tblGrid>
      <w:tr w14:paraId="73FC9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053A6C1">
            <w:pPr>
              <w:jc w:val="center"/>
              <w:rPr>
                <w:rFonts w:ascii="宋体" w:hAnsi="宋体"/>
                <w:color w:val="auto"/>
                <w:szCs w:val="21"/>
                <w:highlight w:val="none"/>
              </w:rPr>
            </w:pPr>
            <w:r>
              <w:rPr>
                <w:rFonts w:hint="eastAsia" w:ascii="宋体" w:hAnsi="宋体"/>
                <w:color w:val="auto"/>
                <w:szCs w:val="21"/>
                <w:highlight w:val="none"/>
              </w:rPr>
              <w:t>项目名称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01547184">
            <w:pPr>
              <w:jc w:val="center"/>
              <w:rPr>
                <w:rFonts w:ascii="宋体" w:hAnsi="宋体"/>
                <w:color w:val="auto"/>
                <w:szCs w:val="21"/>
                <w:highlight w:val="none"/>
              </w:rPr>
            </w:pPr>
          </w:p>
        </w:tc>
      </w:tr>
      <w:tr w14:paraId="73B1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13A6B573">
            <w:pPr>
              <w:jc w:val="center"/>
              <w:rPr>
                <w:rFonts w:ascii="宋体" w:hAnsi="宋体"/>
                <w:color w:val="auto"/>
                <w:szCs w:val="21"/>
                <w:highlight w:val="none"/>
              </w:rPr>
            </w:pPr>
            <w:r>
              <w:rPr>
                <w:rFonts w:hint="eastAsia" w:ascii="宋体" w:hAnsi="宋体"/>
                <w:color w:val="auto"/>
                <w:szCs w:val="21"/>
                <w:highlight w:val="none"/>
              </w:rPr>
              <w:t>项目所在地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4D290951">
            <w:pPr>
              <w:jc w:val="center"/>
              <w:rPr>
                <w:rFonts w:ascii="宋体" w:hAnsi="宋体"/>
                <w:color w:val="auto"/>
                <w:szCs w:val="21"/>
                <w:highlight w:val="none"/>
              </w:rPr>
            </w:pPr>
          </w:p>
        </w:tc>
      </w:tr>
      <w:tr w14:paraId="53EF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507BD813">
            <w:pPr>
              <w:jc w:val="center"/>
              <w:rPr>
                <w:rFonts w:ascii="宋体" w:hAnsi="宋体"/>
                <w:color w:val="auto"/>
                <w:szCs w:val="21"/>
                <w:highlight w:val="none"/>
              </w:rPr>
            </w:pPr>
            <w:r>
              <w:rPr>
                <w:rFonts w:hint="eastAsia" w:ascii="宋体" w:hAnsi="宋体"/>
                <w:color w:val="auto"/>
                <w:szCs w:val="21"/>
                <w:highlight w:val="none"/>
              </w:rPr>
              <w:t>发包人名称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504DBFD4">
            <w:pPr>
              <w:jc w:val="center"/>
              <w:rPr>
                <w:rFonts w:ascii="宋体" w:hAnsi="宋体"/>
                <w:color w:val="auto"/>
                <w:szCs w:val="21"/>
                <w:highlight w:val="none"/>
              </w:rPr>
            </w:pPr>
          </w:p>
        </w:tc>
      </w:tr>
      <w:tr w14:paraId="0131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ADAF468">
            <w:pPr>
              <w:jc w:val="center"/>
              <w:rPr>
                <w:rFonts w:ascii="宋体" w:hAnsi="宋体"/>
                <w:color w:val="auto"/>
                <w:szCs w:val="21"/>
                <w:highlight w:val="none"/>
              </w:rPr>
            </w:pPr>
            <w:r>
              <w:rPr>
                <w:rFonts w:hint="eastAsia" w:ascii="宋体" w:hAnsi="宋体"/>
                <w:color w:val="auto"/>
                <w:szCs w:val="21"/>
                <w:highlight w:val="none"/>
              </w:rPr>
              <w:t>发包人地址</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6397CB2D">
            <w:pPr>
              <w:jc w:val="center"/>
              <w:rPr>
                <w:rFonts w:ascii="宋体" w:hAnsi="宋体"/>
                <w:color w:val="auto"/>
                <w:szCs w:val="21"/>
                <w:highlight w:val="none"/>
              </w:rPr>
            </w:pPr>
          </w:p>
        </w:tc>
      </w:tr>
      <w:tr w14:paraId="318E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5354F3DC">
            <w:pPr>
              <w:jc w:val="center"/>
              <w:rPr>
                <w:rFonts w:ascii="宋体" w:hAnsi="宋体"/>
                <w:color w:val="auto"/>
                <w:szCs w:val="21"/>
                <w:highlight w:val="none"/>
              </w:rPr>
            </w:pPr>
            <w:r>
              <w:rPr>
                <w:rFonts w:hint="eastAsia" w:ascii="宋体" w:hAnsi="宋体"/>
                <w:color w:val="auto"/>
                <w:szCs w:val="21"/>
                <w:highlight w:val="none"/>
              </w:rPr>
              <w:t>发包人联系人及电话</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38723CC7">
            <w:pPr>
              <w:jc w:val="center"/>
              <w:rPr>
                <w:rFonts w:ascii="宋体" w:hAnsi="宋体"/>
                <w:color w:val="auto"/>
                <w:szCs w:val="21"/>
                <w:highlight w:val="none"/>
              </w:rPr>
            </w:pPr>
          </w:p>
        </w:tc>
      </w:tr>
      <w:tr w14:paraId="2B59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09F1F0A9">
            <w:pPr>
              <w:jc w:val="center"/>
              <w:rPr>
                <w:rFonts w:ascii="宋体" w:hAnsi="宋体"/>
                <w:color w:val="auto"/>
                <w:szCs w:val="21"/>
                <w:highlight w:val="none"/>
              </w:rPr>
            </w:pPr>
            <w:r>
              <w:rPr>
                <w:rFonts w:hint="eastAsia" w:ascii="宋体" w:hAnsi="宋体"/>
                <w:color w:val="auto"/>
                <w:szCs w:val="21"/>
                <w:highlight w:val="none"/>
              </w:rPr>
              <w:t>合同价格</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8D7789E">
            <w:pPr>
              <w:jc w:val="center"/>
              <w:rPr>
                <w:rFonts w:ascii="宋体" w:hAnsi="宋体"/>
                <w:color w:val="auto"/>
                <w:szCs w:val="21"/>
                <w:highlight w:val="none"/>
              </w:rPr>
            </w:pPr>
          </w:p>
        </w:tc>
      </w:tr>
      <w:tr w14:paraId="174B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6AE2FD4">
            <w:pPr>
              <w:jc w:val="center"/>
              <w:rPr>
                <w:rFonts w:ascii="宋体" w:hAnsi="宋体"/>
                <w:color w:val="auto"/>
                <w:szCs w:val="21"/>
                <w:highlight w:val="none"/>
              </w:rPr>
            </w:pPr>
            <w:r>
              <w:rPr>
                <w:rFonts w:hint="eastAsia" w:ascii="宋体" w:hAnsi="宋体"/>
                <w:color w:val="auto"/>
                <w:szCs w:val="21"/>
                <w:highlight w:val="none"/>
              </w:rPr>
              <w:t>开工日期</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1D7B55AE">
            <w:pPr>
              <w:jc w:val="center"/>
              <w:rPr>
                <w:rFonts w:ascii="宋体" w:hAnsi="宋体"/>
                <w:color w:val="auto"/>
                <w:szCs w:val="21"/>
                <w:highlight w:val="none"/>
              </w:rPr>
            </w:pPr>
          </w:p>
        </w:tc>
      </w:tr>
      <w:tr w14:paraId="79EE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DCF16E0">
            <w:pPr>
              <w:jc w:val="center"/>
              <w:rPr>
                <w:rFonts w:ascii="宋体" w:hAnsi="宋体"/>
                <w:color w:val="auto"/>
                <w:szCs w:val="21"/>
                <w:highlight w:val="none"/>
              </w:rPr>
            </w:pPr>
            <w:r>
              <w:rPr>
                <w:rFonts w:hint="eastAsia" w:ascii="宋体" w:hAnsi="宋体"/>
                <w:color w:val="auto"/>
                <w:szCs w:val="21"/>
                <w:highlight w:val="none"/>
              </w:rPr>
              <w:t>竣工日期</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46B9C9E">
            <w:pPr>
              <w:jc w:val="center"/>
              <w:rPr>
                <w:rFonts w:ascii="宋体" w:hAnsi="宋体"/>
                <w:color w:val="auto"/>
                <w:szCs w:val="21"/>
                <w:highlight w:val="none"/>
              </w:rPr>
            </w:pPr>
          </w:p>
        </w:tc>
      </w:tr>
      <w:tr w14:paraId="1F35D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44CA638">
            <w:pPr>
              <w:jc w:val="center"/>
              <w:rPr>
                <w:rFonts w:ascii="宋体" w:hAnsi="宋体"/>
                <w:color w:val="auto"/>
                <w:szCs w:val="21"/>
                <w:highlight w:val="none"/>
              </w:rPr>
            </w:pPr>
            <w:r>
              <w:rPr>
                <w:rFonts w:hint="eastAsia" w:ascii="宋体" w:hAnsi="宋体"/>
                <w:color w:val="auto"/>
                <w:szCs w:val="21"/>
                <w:highlight w:val="none"/>
              </w:rPr>
              <w:t>承担的工作</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61DBF8B0">
            <w:pPr>
              <w:jc w:val="center"/>
              <w:rPr>
                <w:rFonts w:ascii="宋体" w:hAnsi="宋体"/>
                <w:color w:val="auto"/>
                <w:szCs w:val="21"/>
                <w:highlight w:val="none"/>
              </w:rPr>
            </w:pPr>
          </w:p>
        </w:tc>
      </w:tr>
      <w:tr w14:paraId="51DA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FD5FDF4">
            <w:pPr>
              <w:jc w:val="center"/>
              <w:rPr>
                <w:rFonts w:ascii="宋体" w:hAnsi="宋体"/>
                <w:color w:val="auto"/>
                <w:szCs w:val="21"/>
                <w:highlight w:val="none"/>
              </w:rPr>
            </w:pPr>
            <w:r>
              <w:rPr>
                <w:rFonts w:hint="eastAsia" w:ascii="宋体" w:hAnsi="宋体"/>
                <w:color w:val="auto"/>
                <w:szCs w:val="21"/>
                <w:highlight w:val="none"/>
              </w:rPr>
              <w:t>工程质量</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28762A7">
            <w:pPr>
              <w:jc w:val="center"/>
              <w:rPr>
                <w:rFonts w:ascii="宋体" w:hAnsi="宋体"/>
                <w:color w:val="auto"/>
                <w:szCs w:val="21"/>
                <w:highlight w:val="none"/>
              </w:rPr>
            </w:pPr>
          </w:p>
        </w:tc>
      </w:tr>
      <w:tr w14:paraId="30011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540D489F">
            <w:pPr>
              <w:jc w:val="center"/>
              <w:rPr>
                <w:rFonts w:ascii="宋体" w:hAnsi="宋体"/>
                <w:color w:val="auto"/>
                <w:szCs w:val="21"/>
                <w:highlight w:val="none"/>
              </w:rPr>
            </w:pPr>
            <w:r>
              <w:rPr>
                <w:rFonts w:hint="eastAsia" w:ascii="宋体" w:hAnsi="宋体"/>
                <w:color w:val="auto"/>
                <w:szCs w:val="21"/>
                <w:highlight w:val="none"/>
              </w:rPr>
              <w:t>项目经理</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4CBE6D50">
            <w:pPr>
              <w:jc w:val="center"/>
              <w:rPr>
                <w:rFonts w:ascii="宋体" w:hAnsi="宋体"/>
                <w:color w:val="auto"/>
                <w:szCs w:val="21"/>
                <w:highlight w:val="none"/>
              </w:rPr>
            </w:pPr>
          </w:p>
        </w:tc>
      </w:tr>
      <w:tr w14:paraId="4C69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AAB4FCA">
            <w:pPr>
              <w:jc w:val="center"/>
              <w:rPr>
                <w:rFonts w:ascii="宋体" w:hAnsi="宋体"/>
                <w:color w:val="auto"/>
                <w:szCs w:val="21"/>
                <w:highlight w:val="none"/>
              </w:rPr>
            </w:pPr>
            <w:r>
              <w:rPr>
                <w:rFonts w:hint="eastAsia" w:ascii="宋体" w:hAnsi="宋体"/>
                <w:color w:val="auto"/>
                <w:szCs w:val="21"/>
                <w:highlight w:val="none"/>
              </w:rPr>
              <w:t>技术负责人</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3FB7925C">
            <w:pPr>
              <w:jc w:val="center"/>
              <w:rPr>
                <w:rFonts w:ascii="宋体" w:hAnsi="宋体"/>
                <w:color w:val="auto"/>
                <w:szCs w:val="21"/>
                <w:highlight w:val="none"/>
              </w:rPr>
            </w:pPr>
          </w:p>
        </w:tc>
      </w:tr>
      <w:tr w14:paraId="0ED8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3DBC945F">
            <w:pPr>
              <w:jc w:val="center"/>
              <w:rPr>
                <w:rFonts w:ascii="宋体" w:hAnsi="宋体"/>
                <w:color w:val="auto"/>
                <w:szCs w:val="21"/>
                <w:highlight w:val="none"/>
              </w:rPr>
            </w:pPr>
            <w:r>
              <w:rPr>
                <w:rFonts w:hint="eastAsia" w:ascii="宋体" w:hAnsi="宋体"/>
                <w:color w:val="auto"/>
                <w:szCs w:val="21"/>
                <w:highlight w:val="none"/>
              </w:rPr>
              <w:t>总监理工程师及电话</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71AD6D77">
            <w:pPr>
              <w:jc w:val="center"/>
              <w:rPr>
                <w:rFonts w:ascii="宋体" w:hAnsi="宋体"/>
                <w:color w:val="auto"/>
                <w:szCs w:val="21"/>
                <w:highlight w:val="none"/>
              </w:rPr>
            </w:pPr>
          </w:p>
        </w:tc>
      </w:tr>
      <w:tr w14:paraId="75F2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54924DF">
            <w:pPr>
              <w:jc w:val="center"/>
              <w:rPr>
                <w:rFonts w:ascii="宋体" w:hAnsi="宋体"/>
                <w:color w:val="auto"/>
                <w:szCs w:val="21"/>
                <w:highlight w:val="none"/>
              </w:rPr>
            </w:pPr>
            <w:r>
              <w:rPr>
                <w:rFonts w:hint="eastAsia" w:ascii="宋体" w:hAnsi="宋体"/>
                <w:color w:val="auto"/>
                <w:szCs w:val="21"/>
                <w:highlight w:val="none"/>
              </w:rPr>
              <w:t>项目描述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7A2604BE">
            <w:pPr>
              <w:jc w:val="center"/>
              <w:rPr>
                <w:rFonts w:ascii="宋体" w:hAnsi="宋体"/>
                <w:color w:val="auto"/>
                <w:szCs w:val="21"/>
                <w:highlight w:val="none"/>
              </w:rPr>
            </w:pPr>
          </w:p>
        </w:tc>
      </w:tr>
      <w:tr w14:paraId="744C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392EF727">
            <w:pPr>
              <w:jc w:val="center"/>
              <w:rPr>
                <w:rFonts w:ascii="宋体" w:hAnsi="宋体"/>
                <w:color w:val="auto"/>
                <w:szCs w:val="21"/>
                <w:highlight w:val="none"/>
              </w:rPr>
            </w:pPr>
            <w:r>
              <w:rPr>
                <w:rFonts w:hint="eastAsia" w:ascii="宋体" w:hAnsi="宋体"/>
                <w:color w:val="auto"/>
                <w:szCs w:val="21"/>
                <w:highlight w:val="none"/>
              </w:rPr>
              <w:t>备注</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0FDB6854">
            <w:pPr>
              <w:jc w:val="center"/>
              <w:rPr>
                <w:rFonts w:ascii="宋体" w:hAnsi="宋体"/>
                <w:color w:val="auto"/>
                <w:szCs w:val="21"/>
                <w:highlight w:val="none"/>
              </w:rPr>
            </w:pPr>
          </w:p>
        </w:tc>
      </w:tr>
    </w:tbl>
    <w:p w14:paraId="5E77EC8F">
      <w:pPr>
        <w:ind w:left="945" w:hanging="945" w:hangingChars="450"/>
        <w:rPr>
          <w:rFonts w:hint="eastAsia" w:ascii="宋体" w:hAnsi="宋体"/>
          <w:color w:val="auto"/>
          <w:highlight w:val="none"/>
        </w:rPr>
      </w:pPr>
    </w:p>
    <w:p w14:paraId="7B51EF66">
      <w:pPr>
        <w:ind w:left="945" w:hanging="945" w:hangingChars="450"/>
        <w:rPr>
          <w:rFonts w:hint="eastAsia" w:ascii="宋体" w:hAnsi="宋体"/>
          <w:color w:val="auto"/>
          <w:highlight w:val="none"/>
        </w:rPr>
      </w:pPr>
    </w:p>
    <w:p w14:paraId="1F9C0B48">
      <w:pPr>
        <w:ind w:left="945" w:hanging="945" w:hangingChars="450"/>
        <w:rPr>
          <w:rFonts w:ascii="宋体" w:hAnsi="宋体"/>
          <w:color w:val="auto"/>
          <w:highlight w:val="none"/>
        </w:rPr>
      </w:pPr>
      <w:bookmarkStart w:id="2494" w:name="_Toc28532443"/>
      <w:r>
        <w:rPr>
          <w:rFonts w:hint="eastAsia" w:ascii="宋体" w:hAnsi="宋体"/>
          <w:color w:val="auto"/>
          <w:highlight w:val="none"/>
        </w:rPr>
        <w:t>备注：1．“类似项目”见投标人须知前附表第3.5.1</w:t>
      </w:r>
      <w:r>
        <w:rPr>
          <w:rFonts w:hint="eastAsia"/>
          <w:color w:val="auto"/>
          <w:highlight w:val="none"/>
        </w:rPr>
        <w:t>项</w:t>
      </w:r>
      <w:r>
        <w:rPr>
          <w:rFonts w:hint="eastAsia" w:ascii="宋体" w:hAnsi="宋体"/>
          <w:color w:val="auto"/>
          <w:highlight w:val="none"/>
        </w:rPr>
        <w:t>。</w:t>
      </w:r>
    </w:p>
    <w:p w14:paraId="43301F98">
      <w:pPr>
        <w:ind w:left="945" w:leftChars="300" w:hanging="315" w:hangingChars="150"/>
        <w:rPr>
          <w:rFonts w:hint="eastAsia" w:ascii="宋体" w:hAnsi="宋体"/>
          <w:color w:val="auto"/>
          <w:highlight w:val="none"/>
        </w:rPr>
      </w:pPr>
      <w:r>
        <w:rPr>
          <w:rFonts w:hint="eastAsia" w:ascii="宋体" w:hAnsi="宋体"/>
          <w:color w:val="auto"/>
          <w:highlight w:val="none"/>
        </w:rPr>
        <w:t>2. 近5年是指从投标截止日往前推算5年，例如投标截止日为2014年3月5日，则近5年是指2009年3月5日至2014年3月4日。</w:t>
      </w:r>
    </w:p>
    <w:p w14:paraId="6B1E13D4">
      <w:pPr>
        <w:ind w:left="945" w:leftChars="300" w:hanging="315" w:hangingChars="150"/>
        <w:rPr>
          <w:rFonts w:hint="eastAsia"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rPr>
        <w:t>. 每张表格只填写一个项目，并标明序号。</w:t>
      </w:r>
    </w:p>
    <w:p w14:paraId="1A3DCFCE">
      <w:pPr>
        <w:pStyle w:val="33"/>
        <w:jc w:val="center"/>
        <w:rPr>
          <w:rFonts w:hint="eastAsia"/>
          <w:color w:val="auto"/>
          <w:szCs w:val="24"/>
          <w:highlight w:val="none"/>
        </w:rPr>
      </w:pPr>
      <w:bookmarkStart w:id="2495" w:name="_Toc18923"/>
    </w:p>
    <w:p w14:paraId="0100705C">
      <w:pPr>
        <w:pStyle w:val="33"/>
        <w:jc w:val="center"/>
        <w:rPr>
          <w:rFonts w:hint="eastAsia" w:ascii="黑体" w:hAnsi="宋体"/>
          <w:color w:val="auto"/>
          <w:highlight w:val="none"/>
        </w:rPr>
      </w:pPr>
      <w:r>
        <w:rPr>
          <w:rFonts w:hint="eastAsia"/>
          <w:color w:val="auto"/>
          <w:szCs w:val="24"/>
          <w:highlight w:val="none"/>
        </w:rPr>
        <w:t>（四）正在施工的和新承接的项目情况</w:t>
      </w:r>
      <w:bookmarkEnd w:id="2494"/>
      <w:bookmarkEnd w:id="2495"/>
    </w:p>
    <w:p w14:paraId="69319C43">
      <w:pPr>
        <w:pStyle w:val="33"/>
        <w:jc w:val="center"/>
        <w:rPr>
          <w:rFonts w:hint="eastAsia" w:ascii="Times New Roman" w:hAnsi="Times New Roman"/>
          <w:color w:val="auto"/>
          <w:szCs w:val="24"/>
          <w:highlight w:val="none"/>
        </w:rPr>
      </w:pPr>
      <w:bookmarkStart w:id="2496" w:name="_Toc4107"/>
      <w:bookmarkStart w:id="2497" w:name="_Toc28532444"/>
      <w:r>
        <w:rPr>
          <w:color w:val="auto"/>
          <w:szCs w:val="24"/>
          <w:highlight w:val="none"/>
        </w:rPr>
        <w:t xml:space="preserve">4-1 </w:t>
      </w:r>
      <w:r>
        <w:rPr>
          <w:rFonts w:hint="eastAsia"/>
          <w:color w:val="auto"/>
          <w:szCs w:val="24"/>
          <w:highlight w:val="none"/>
        </w:rPr>
        <w:t>正在施工的和新承接的项目汇总表</w:t>
      </w:r>
      <w:bookmarkEnd w:id="2496"/>
      <w:bookmarkEnd w:id="2497"/>
    </w:p>
    <w:tbl>
      <w:tblPr>
        <w:tblStyle w:val="15"/>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4C6F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noWrap w:val="0"/>
            <w:vAlign w:val="top"/>
          </w:tcPr>
          <w:p w14:paraId="16366117">
            <w:pPr>
              <w:topLinePunct/>
              <w:spacing w:line="400" w:lineRule="atLeast"/>
              <w:jc w:val="center"/>
              <w:rPr>
                <w:color w:val="auto"/>
                <w:szCs w:val="21"/>
                <w:highlight w:val="none"/>
              </w:rPr>
            </w:pPr>
            <w:r>
              <w:rPr>
                <w:rFonts w:hint="eastAsia"/>
                <w:color w:val="auto"/>
                <w:szCs w:val="21"/>
                <w:highlight w:val="none"/>
              </w:rPr>
              <w:t>序号</w:t>
            </w:r>
          </w:p>
        </w:tc>
        <w:tc>
          <w:tcPr>
            <w:tcW w:w="1846" w:type="dxa"/>
            <w:tcBorders>
              <w:top w:val="single" w:color="auto" w:sz="4" w:space="0"/>
              <w:left w:val="single" w:color="auto" w:sz="4" w:space="0"/>
              <w:bottom w:val="single" w:color="auto" w:sz="4" w:space="0"/>
              <w:right w:val="single" w:color="auto" w:sz="4" w:space="0"/>
            </w:tcBorders>
            <w:noWrap w:val="0"/>
            <w:vAlign w:val="top"/>
          </w:tcPr>
          <w:p w14:paraId="62394308">
            <w:pPr>
              <w:topLinePunct/>
              <w:spacing w:line="400" w:lineRule="atLeast"/>
              <w:jc w:val="center"/>
              <w:rPr>
                <w:color w:val="auto"/>
                <w:szCs w:val="21"/>
                <w:highlight w:val="none"/>
              </w:rPr>
            </w:pPr>
            <w:r>
              <w:rPr>
                <w:rFonts w:hint="eastAsia"/>
                <w:color w:val="auto"/>
                <w:szCs w:val="21"/>
                <w:highlight w:val="none"/>
              </w:rPr>
              <w:t>项目名称</w:t>
            </w:r>
          </w:p>
        </w:tc>
        <w:tc>
          <w:tcPr>
            <w:tcW w:w="1394" w:type="dxa"/>
            <w:tcBorders>
              <w:top w:val="single" w:color="auto" w:sz="4" w:space="0"/>
              <w:left w:val="single" w:color="auto" w:sz="4" w:space="0"/>
              <w:bottom w:val="single" w:color="auto" w:sz="4" w:space="0"/>
              <w:right w:val="single" w:color="auto" w:sz="4" w:space="0"/>
            </w:tcBorders>
            <w:noWrap w:val="0"/>
            <w:vAlign w:val="top"/>
          </w:tcPr>
          <w:p w14:paraId="243A6502">
            <w:pPr>
              <w:topLinePunct/>
              <w:spacing w:line="400" w:lineRule="atLeast"/>
              <w:jc w:val="center"/>
              <w:rPr>
                <w:color w:val="auto"/>
                <w:szCs w:val="21"/>
                <w:highlight w:val="none"/>
              </w:rPr>
            </w:pPr>
            <w:r>
              <w:rPr>
                <w:rFonts w:hint="eastAsia" w:ascii="宋体" w:hAnsi="宋体"/>
                <w:color w:val="auto"/>
                <w:szCs w:val="21"/>
                <w:highlight w:val="none"/>
              </w:rPr>
              <w:t>发包人名称</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24C841EE">
            <w:pPr>
              <w:topLinePunct/>
              <w:spacing w:line="400" w:lineRule="atLeast"/>
              <w:jc w:val="center"/>
              <w:rPr>
                <w:color w:val="auto"/>
                <w:szCs w:val="21"/>
                <w:highlight w:val="none"/>
              </w:rPr>
            </w:pPr>
            <w:r>
              <w:rPr>
                <w:rFonts w:hint="eastAsia"/>
                <w:color w:val="auto"/>
                <w:szCs w:val="21"/>
                <w:highlight w:val="none"/>
              </w:rPr>
              <w:t>工程规模</w:t>
            </w:r>
          </w:p>
        </w:tc>
        <w:tc>
          <w:tcPr>
            <w:tcW w:w="1112" w:type="dxa"/>
            <w:tcBorders>
              <w:top w:val="single" w:color="auto" w:sz="4" w:space="0"/>
              <w:left w:val="single" w:color="auto" w:sz="4" w:space="0"/>
              <w:bottom w:val="single" w:color="auto" w:sz="4" w:space="0"/>
              <w:right w:val="single" w:color="auto" w:sz="4" w:space="0"/>
            </w:tcBorders>
            <w:noWrap w:val="0"/>
            <w:vAlign w:val="top"/>
          </w:tcPr>
          <w:p w14:paraId="6D302369">
            <w:pPr>
              <w:topLinePunct/>
              <w:spacing w:line="400" w:lineRule="atLeast"/>
              <w:jc w:val="center"/>
              <w:rPr>
                <w:color w:val="auto"/>
                <w:szCs w:val="21"/>
                <w:highlight w:val="none"/>
              </w:rPr>
            </w:pPr>
            <w:r>
              <w:rPr>
                <w:rFonts w:hint="eastAsia" w:ascii="宋体" w:hAnsi="宋体"/>
                <w:color w:val="auto"/>
                <w:szCs w:val="21"/>
                <w:highlight w:val="none"/>
              </w:rPr>
              <w:t>合同价格</w:t>
            </w:r>
            <w:r>
              <w:rPr>
                <w:rFonts w:hint="eastAsia"/>
                <w:color w:val="auto"/>
                <w:szCs w:val="21"/>
                <w:highlight w:val="none"/>
              </w:rPr>
              <w:t>（万元）</w:t>
            </w:r>
          </w:p>
        </w:tc>
        <w:tc>
          <w:tcPr>
            <w:tcW w:w="1778" w:type="dxa"/>
            <w:tcBorders>
              <w:top w:val="single" w:color="auto" w:sz="4" w:space="0"/>
              <w:left w:val="single" w:color="auto" w:sz="4" w:space="0"/>
              <w:bottom w:val="single" w:color="auto" w:sz="4" w:space="0"/>
              <w:right w:val="single" w:color="auto" w:sz="4" w:space="0"/>
            </w:tcBorders>
            <w:noWrap w:val="0"/>
            <w:vAlign w:val="top"/>
          </w:tcPr>
          <w:p w14:paraId="6AF85BE2">
            <w:pPr>
              <w:topLinePunct/>
              <w:spacing w:line="400" w:lineRule="atLeast"/>
              <w:jc w:val="center"/>
              <w:rPr>
                <w:rFonts w:ascii="宋体" w:hAnsi="宋体"/>
                <w:color w:val="auto"/>
                <w:szCs w:val="21"/>
                <w:highlight w:val="none"/>
              </w:rPr>
            </w:pPr>
            <w:r>
              <w:rPr>
                <w:rFonts w:hint="eastAsia" w:ascii="宋体" w:hAnsi="宋体"/>
                <w:color w:val="auto"/>
                <w:szCs w:val="21"/>
                <w:highlight w:val="none"/>
              </w:rPr>
              <w:t>计划开、竣</w:t>
            </w:r>
          </w:p>
          <w:p w14:paraId="7E21776D">
            <w:pPr>
              <w:topLinePunct/>
              <w:spacing w:line="400" w:lineRule="atLeast"/>
              <w:jc w:val="center"/>
              <w:rPr>
                <w:color w:val="auto"/>
                <w:szCs w:val="21"/>
                <w:highlight w:val="none"/>
              </w:rPr>
            </w:pPr>
            <w:r>
              <w:rPr>
                <w:rFonts w:hint="eastAsia" w:ascii="宋体" w:hAnsi="宋体"/>
                <w:color w:val="auto"/>
                <w:szCs w:val="21"/>
                <w:highlight w:val="none"/>
              </w:rPr>
              <w:t>工日期</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35BC6534">
            <w:pPr>
              <w:topLinePunct/>
              <w:spacing w:line="400" w:lineRule="atLeast"/>
              <w:jc w:val="center"/>
              <w:rPr>
                <w:color w:val="auto"/>
                <w:szCs w:val="21"/>
                <w:highlight w:val="none"/>
              </w:rPr>
            </w:pPr>
            <w:r>
              <w:rPr>
                <w:rFonts w:hint="eastAsia" w:ascii="宋体" w:hAnsi="宋体"/>
                <w:color w:val="auto"/>
                <w:szCs w:val="21"/>
                <w:highlight w:val="none"/>
              </w:rPr>
              <w:t>项目经理</w:t>
            </w:r>
          </w:p>
        </w:tc>
      </w:tr>
      <w:tr w14:paraId="71948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736E60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BAC903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568564D">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9478D4E">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EB458B8">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039296F2">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343D921">
            <w:pPr>
              <w:topLinePunct/>
              <w:spacing w:line="400" w:lineRule="atLeast"/>
              <w:jc w:val="center"/>
              <w:rPr>
                <w:color w:val="auto"/>
                <w:szCs w:val="21"/>
                <w:highlight w:val="none"/>
              </w:rPr>
            </w:pPr>
          </w:p>
        </w:tc>
      </w:tr>
      <w:tr w14:paraId="00CE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78666A6">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631D1E3">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0BB18B2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B3A37BD">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1D5A78D1">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7275AF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568EA2B">
            <w:pPr>
              <w:topLinePunct/>
              <w:spacing w:line="400" w:lineRule="atLeast"/>
              <w:jc w:val="center"/>
              <w:rPr>
                <w:color w:val="auto"/>
                <w:szCs w:val="21"/>
                <w:highlight w:val="none"/>
              </w:rPr>
            </w:pPr>
          </w:p>
        </w:tc>
      </w:tr>
      <w:tr w14:paraId="0CDD5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50DC4B2">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558FBBD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66A1CC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DD414E3">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5AFD68A">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3594DE5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46D4A01">
            <w:pPr>
              <w:topLinePunct/>
              <w:spacing w:line="400" w:lineRule="atLeast"/>
              <w:jc w:val="center"/>
              <w:rPr>
                <w:color w:val="auto"/>
                <w:szCs w:val="21"/>
                <w:highlight w:val="none"/>
              </w:rPr>
            </w:pPr>
          </w:p>
        </w:tc>
      </w:tr>
      <w:tr w14:paraId="0EDF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7972B742">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4AEFB64">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291231F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FA60106">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745282D">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22DB18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CF25D91">
            <w:pPr>
              <w:topLinePunct/>
              <w:spacing w:line="400" w:lineRule="atLeast"/>
              <w:jc w:val="center"/>
              <w:rPr>
                <w:color w:val="auto"/>
                <w:szCs w:val="21"/>
                <w:highlight w:val="none"/>
              </w:rPr>
            </w:pPr>
          </w:p>
        </w:tc>
      </w:tr>
      <w:tr w14:paraId="179B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BF5A553">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E559BCC">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6378BB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F6AF6B3">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F316048">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0783CFD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390B33D">
            <w:pPr>
              <w:topLinePunct/>
              <w:spacing w:line="400" w:lineRule="atLeast"/>
              <w:jc w:val="center"/>
              <w:rPr>
                <w:color w:val="auto"/>
                <w:szCs w:val="21"/>
                <w:highlight w:val="none"/>
              </w:rPr>
            </w:pPr>
          </w:p>
        </w:tc>
      </w:tr>
      <w:tr w14:paraId="46DD8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CE0AC58">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99130AF">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E0A073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2654795">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B50A030">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76E5924F">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EA98073">
            <w:pPr>
              <w:topLinePunct/>
              <w:spacing w:line="400" w:lineRule="atLeast"/>
              <w:jc w:val="center"/>
              <w:rPr>
                <w:color w:val="auto"/>
                <w:szCs w:val="21"/>
                <w:highlight w:val="none"/>
              </w:rPr>
            </w:pPr>
          </w:p>
        </w:tc>
      </w:tr>
      <w:tr w14:paraId="4D6B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6172A6A">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837C66B">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3A6361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71E3C5D">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15972A56">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A26381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2BA5BE1">
            <w:pPr>
              <w:topLinePunct/>
              <w:spacing w:line="400" w:lineRule="atLeast"/>
              <w:jc w:val="center"/>
              <w:rPr>
                <w:color w:val="auto"/>
                <w:szCs w:val="21"/>
                <w:highlight w:val="none"/>
              </w:rPr>
            </w:pPr>
          </w:p>
        </w:tc>
      </w:tr>
      <w:tr w14:paraId="0434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80A429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B2A5CA6">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10B6414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6B8ABCF">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2FFB6DFA">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2049404">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78605AE">
            <w:pPr>
              <w:topLinePunct/>
              <w:spacing w:line="400" w:lineRule="atLeast"/>
              <w:jc w:val="center"/>
              <w:rPr>
                <w:color w:val="auto"/>
                <w:szCs w:val="21"/>
                <w:highlight w:val="none"/>
              </w:rPr>
            </w:pPr>
          </w:p>
        </w:tc>
      </w:tr>
      <w:tr w14:paraId="254B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ED43765">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E258FD2">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E34D5D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AC4D4F0">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41E6616">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3ADD62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C720399">
            <w:pPr>
              <w:topLinePunct/>
              <w:spacing w:line="400" w:lineRule="atLeast"/>
              <w:jc w:val="center"/>
              <w:rPr>
                <w:color w:val="auto"/>
                <w:szCs w:val="21"/>
                <w:highlight w:val="none"/>
              </w:rPr>
            </w:pPr>
          </w:p>
        </w:tc>
      </w:tr>
      <w:tr w14:paraId="033DF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175DFDAE">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8378A6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479308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E9BD8E2">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6903BB9">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D1F83B1">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77B0B8F">
            <w:pPr>
              <w:topLinePunct/>
              <w:spacing w:line="400" w:lineRule="atLeast"/>
              <w:jc w:val="center"/>
              <w:rPr>
                <w:color w:val="auto"/>
                <w:szCs w:val="21"/>
                <w:highlight w:val="none"/>
              </w:rPr>
            </w:pPr>
          </w:p>
        </w:tc>
      </w:tr>
      <w:tr w14:paraId="1D41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25BE77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AACE6E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6487828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D965D5B">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58F9694B">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59A0A2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F084DDB">
            <w:pPr>
              <w:topLinePunct/>
              <w:spacing w:line="400" w:lineRule="atLeast"/>
              <w:jc w:val="center"/>
              <w:rPr>
                <w:color w:val="auto"/>
                <w:szCs w:val="21"/>
                <w:highlight w:val="none"/>
              </w:rPr>
            </w:pPr>
          </w:p>
        </w:tc>
      </w:tr>
      <w:tr w14:paraId="08ED5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19DE7668">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D149CF4">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C16CB1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5052CA8">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5DF30C78">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2385A08">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CF95D96">
            <w:pPr>
              <w:topLinePunct/>
              <w:spacing w:line="400" w:lineRule="atLeast"/>
              <w:jc w:val="center"/>
              <w:rPr>
                <w:color w:val="auto"/>
                <w:szCs w:val="21"/>
                <w:highlight w:val="none"/>
              </w:rPr>
            </w:pPr>
          </w:p>
        </w:tc>
      </w:tr>
      <w:tr w14:paraId="0960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C6783FB">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65F31403">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06D091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54EBADC">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7827BC4">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86DEF3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0B11775">
            <w:pPr>
              <w:topLinePunct/>
              <w:spacing w:line="400" w:lineRule="atLeast"/>
              <w:jc w:val="center"/>
              <w:rPr>
                <w:color w:val="auto"/>
                <w:szCs w:val="21"/>
                <w:highlight w:val="none"/>
              </w:rPr>
            </w:pPr>
          </w:p>
        </w:tc>
      </w:tr>
      <w:tr w14:paraId="774A6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1BAA46CE">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04D8E806">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2E1E0D1">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855F96C">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0148B8C">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DE673D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4D8A711">
            <w:pPr>
              <w:topLinePunct/>
              <w:spacing w:line="400" w:lineRule="atLeast"/>
              <w:jc w:val="center"/>
              <w:rPr>
                <w:color w:val="auto"/>
                <w:szCs w:val="21"/>
                <w:highlight w:val="none"/>
              </w:rPr>
            </w:pPr>
          </w:p>
        </w:tc>
      </w:tr>
      <w:tr w14:paraId="7EE82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771C89D5">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2FB7268">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1F47EB0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27D9CB1">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FFC25CF">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BBE2B7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F76D27E">
            <w:pPr>
              <w:topLinePunct/>
              <w:spacing w:line="400" w:lineRule="atLeast"/>
              <w:jc w:val="center"/>
              <w:rPr>
                <w:color w:val="auto"/>
                <w:szCs w:val="21"/>
                <w:highlight w:val="none"/>
              </w:rPr>
            </w:pPr>
          </w:p>
        </w:tc>
      </w:tr>
      <w:tr w14:paraId="1C4C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9E35BE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5DB4DA3B">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49EC75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3EA8E87">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67CF58A0">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9D03B3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0DB8D7E">
            <w:pPr>
              <w:topLinePunct/>
              <w:spacing w:line="400" w:lineRule="atLeast"/>
              <w:jc w:val="center"/>
              <w:rPr>
                <w:color w:val="auto"/>
                <w:szCs w:val="21"/>
                <w:highlight w:val="none"/>
              </w:rPr>
            </w:pPr>
          </w:p>
        </w:tc>
      </w:tr>
    </w:tbl>
    <w:p w14:paraId="18CF6145">
      <w:pPr>
        <w:spacing w:before="120" w:beforeLines="50" w:after="120" w:afterLines="50" w:line="440" w:lineRule="exact"/>
        <w:rPr>
          <w:rFonts w:ascii="黑体" w:hAnsi="宋体" w:eastAsia="黑体"/>
          <w:color w:val="auto"/>
          <w:sz w:val="24"/>
          <w:szCs w:val="24"/>
          <w:highlight w:val="none"/>
        </w:rPr>
      </w:pPr>
    </w:p>
    <w:p w14:paraId="5B3F5B01">
      <w:pPr>
        <w:spacing w:before="120" w:beforeLines="50" w:after="120" w:afterLines="50" w:line="440" w:lineRule="exact"/>
        <w:rPr>
          <w:rFonts w:hint="eastAsia" w:ascii="黑体" w:hAnsi="宋体" w:eastAsia="黑体"/>
          <w:color w:val="auto"/>
          <w:sz w:val="24"/>
          <w:highlight w:val="none"/>
        </w:rPr>
      </w:pPr>
    </w:p>
    <w:p w14:paraId="3F6F9851">
      <w:pPr>
        <w:spacing w:before="120" w:beforeLines="50" w:after="120" w:afterLines="50" w:line="440" w:lineRule="exact"/>
        <w:rPr>
          <w:rFonts w:hint="eastAsia" w:ascii="黑体" w:hAnsi="宋体" w:eastAsia="黑体"/>
          <w:color w:val="auto"/>
          <w:sz w:val="24"/>
          <w:highlight w:val="none"/>
        </w:rPr>
      </w:pPr>
    </w:p>
    <w:p w14:paraId="7C7911A5">
      <w:pPr>
        <w:spacing w:before="120" w:beforeLines="50" w:after="120" w:afterLines="50" w:line="440" w:lineRule="exact"/>
        <w:rPr>
          <w:rFonts w:hint="eastAsia" w:ascii="黑体" w:hAnsi="宋体" w:eastAsia="黑体"/>
          <w:color w:val="auto"/>
          <w:sz w:val="24"/>
          <w:highlight w:val="none"/>
        </w:rPr>
      </w:pPr>
    </w:p>
    <w:p w14:paraId="41337181">
      <w:pPr>
        <w:spacing w:before="120" w:beforeLines="50" w:after="120" w:afterLines="50" w:line="440" w:lineRule="exact"/>
        <w:jc w:val="center"/>
        <w:rPr>
          <w:rFonts w:hint="eastAsia" w:ascii="黑体" w:hAnsi="宋体" w:eastAsia="黑体"/>
          <w:color w:val="auto"/>
          <w:sz w:val="24"/>
          <w:highlight w:val="none"/>
        </w:rPr>
      </w:pPr>
    </w:p>
    <w:p w14:paraId="415C3CEF">
      <w:pPr>
        <w:pStyle w:val="33"/>
        <w:jc w:val="center"/>
        <w:rPr>
          <w:rFonts w:hint="eastAsia" w:ascii="Times New Roman" w:hAnsi="Times New Roman"/>
          <w:color w:val="auto"/>
          <w:szCs w:val="24"/>
          <w:highlight w:val="none"/>
        </w:rPr>
      </w:pPr>
      <w:bookmarkStart w:id="2498" w:name="_Toc28532445"/>
      <w:bookmarkStart w:id="2499" w:name="_Toc20450"/>
      <w:r>
        <w:rPr>
          <w:color w:val="auto"/>
          <w:szCs w:val="24"/>
          <w:highlight w:val="none"/>
        </w:rPr>
        <w:t xml:space="preserve">4-2 </w:t>
      </w:r>
      <w:r>
        <w:rPr>
          <w:rFonts w:hint="eastAsia"/>
          <w:color w:val="auto"/>
          <w:szCs w:val="24"/>
          <w:highlight w:val="none"/>
        </w:rPr>
        <w:t>正在施工的和新承接的项目情况表</w:t>
      </w:r>
      <w:bookmarkEnd w:id="2498"/>
      <w:bookmarkEnd w:id="2499"/>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6095"/>
      </w:tblGrid>
      <w:tr w14:paraId="27AF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78727422">
            <w:pPr>
              <w:jc w:val="center"/>
              <w:rPr>
                <w:rFonts w:ascii="宋体" w:hAnsi="宋体"/>
                <w:color w:val="auto"/>
                <w:szCs w:val="21"/>
                <w:highlight w:val="none"/>
              </w:rPr>
            </w:pPr>
            <w:r>
              <w:rPr>
                <w:rFonts w:hint="eastAsia" w:ascii="宋体" w:hAnsi="宋体"/>
                <w:color w:val="auto"/>
                <w:szCs w:val="21"/>
                <w:highlight w:val="none"/>
              </w:rPr>
              <w:t>项目名称</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6F155517">
            <w:pPr>
              <w:jc w:val="center"/>
              <w:rPr>
                <w:rFonts w:ascii="宋体" w:hAnsi="宋体"/>
                <w:color w:val="auto"/>
                <w:szCs w:val="21"/>
                <w:highlight w:val="none"/>
              </w:rPr>
            </w:pPr>
          </w:p>
        </w:tc>
      </w:tr>
      <w:tr w14:paraId="24E0E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4CE86455">
            <w:pPr>
              <w:jc w:val="center"/>
              <w:rPr>
                <w:rFonts w:ascii="宋体" w:hAnsi="宋体"/>
                <w:color w:val="auto"/>
                <w:szCs w:val="21"/>
                <w:highlight w:val="none"/>
              </w:rPr>
            </w:pPr>
            <w:r>
              <w:rPr>
                <w:rFonts w:hint="eastAsia" w:ascii="宋体" w:hAnsi="宋体"/>
                <w:color w:val="auto"/>
                <w:szCs w:val="21"/>
                <w:highlight w:val="none"/>
              </w:rPr>
              <w:t>项目所在地</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3B10CE2E">
            <w:pPr>
              <w:jc w:val="center"/>
              <w:rPr>
                <w:rFonts w:ascii="宋体" w:hAnsi="宋体"/>
                <w:color w:val="auto"/>
                <w:szCs w:val="21"/>
                <w:highlight w:val="none"/>
              </w:rPr>
            </w:pPr>
          </w:p>
        </w:tc>
      </w:tr>
      <w:tr w14:paraId="1E1F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6D304BFE">
            <w:pPr>
              <w:jc w:val="center"/>
              <w:rPr>
                <w:rFonts w:ascii="宋体" w:hAnsi="宋体"/>
                <w:color w:val="auto"/>
                <w:szCs w:val="21"/>
                <w:highlight w:val="none"/>
              </w:rPr>
            </w:pPr>
            <w:r>
              <w:rPr>
                <w:rFonts w:hint="eastAsia" w:ascii="宋体" w:hAnsi="宋体"/>
                <w:color w:val="auto"/>
                <w:szCs w:val="21"/>
                <w:highlight w:val="none"/>
              </w:rPr>
              <w:t>发包人名称</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2D0541B5">
            <w:pPr>
              <w:jc w:val="center"/>
              <w:rPr>
                <w:rFonts w:ascii="宋体" w:hAnsi="宋体"/>
                <w:color w:val="auto"/>
                <w:szCs w:val="21"/>
                <w:highlight w:val="none"/>
              </w:rPr>
            </w:pPr>
          </w:p>
        </w:tc>
      </w:tr>
      <w:tr w14:paraId="0CA0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0451BCA7">
            <w:pPr>
              <w:jc w:val="center"/>
              <w:rPr>
                <w:rFonts w:ascii="宋体" w:hAnsi="宋体"/>
                <w:color w:val="auto"/>
                <w:szCs w:val="21"/>
                <w:highlight w:val="none"/>
              </w:rPr>
            </w:pPr>
            <w:r>
              <w:rPr>
                <w:rFonts w:hint="eastAsia" w:ascii="宋体" w:hAnsi="宋体"/>
                <w:color w:val="auto"/>
                <w:szCs w:val="21"/>
                <w:highlight w:val="none"/>
              </w:rPr>
              <w:t>发包人地址</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57FFD6F1">
            <w:pPr>
              <w:jc w:val="center"/>
              <w:rPr>
                <w:rFonts w:ascii="宋体" w:hAnsi="宋体"/>
                <w:color w:val="auto"/>
                <w:szCs w:val="21"/>
                <w:highlight w:val="none"/>
              </w:rPr>
            </w:pPr>
          </w:p>
        </w:tc>
      </w:tr>
      <w:tr w14:paraId="1F6F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33106259">
            <w:pPr>
              <w:jc w:val="center"/>
              <w:rPr>
                <w:rFonts w:ascii="宋体" w:hAnsi="宋体"/>
                <w:color w:val="auto"/>
                <w:szCs w:val="21"/>
                <w:highlight w:val="none"/>
              </w:rPr>
            </w:pPr>
            <w:r>
              <w:rPr>
                <w:rFonts w:hint="eastAsia" w:ascii="宋体" w:hAnsi="宋体"/>
                <w:color w:val="auto"/>
                <w:szCs w:val="21"/>
                <w:highlight w:val="none"/>
              </w:rPr>
              <w:t>发包人电话</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2849BE63">
            <w:pPr>
              <w:jc w:val="center"/>
              <w:rPr>
                <w:rFonts w:ascii="宋体" w:hAnsi="宋体"/>
                <w:color w:val="auto"/>
                <w:szCs w:val="21"/>
                <w:highlight w:val="none"/>
              </w:rPr>
            </w:pPr>
          </w:p>
        </w:tc>
      </w:tr>
      <w:tr w14:paraId="0092D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259F1A52">
            <w:pPr>
              <w:jc w:val="center"/>
              <w:rPr>
                <w:rFonts w:ascii="宋体" w:hAnsi="宋体"/>
                <w:color w:val="auto"/>
                <w:szCs w:val="21"/>
                <w:highlight w:val="none"/>
              </w:rPr>
            </w:pPr>
            <w:r>
              <w:rPr>
                <w:rFonts w:hint="eastAsia" w:ascii="宋体" w:hAnsi="宋体"/>
                <w:color w:val="auto"/>
                <w:szCs w:val="21"/>
                <w:highlight w:val="none"/>
              </w:rPr>
              <w:t>签约合同价</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220BB24D">
            <w:pPr>
              <w:jc w:val="center"/>
              <w:rPr>
                <w:rFonts w:ascii="宋体" w:hAnsi="宋体"/>
                <w:color w:val="auto"/>
                <w:szCs w:val="21"/>
                <w:highlight w:val="none"/>
              </w:rPr>
            </w:pPr>
          </w:p>
        </w:tc>
      </w:tr>
      <w:tr w14:paraId="0F39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2DC50227">
            <w:pPr>
              <w:jc w:val="center"/>
              <w:rPr>
                <w:rFonts w:ascii="宋体" w:hAnsi="宋体"/>
                <w:color w:val="auto"/>
                <w:szCs w:val="21"/>
                <w:highlight w:val="none"/>
              </w:rPr>
            </w:pPr>
            <w:r>
              <w:rPr>
                <w:rFonts w:hint="eastAsia" w:ascii="宋体" w:hAnsi="宋体"/>
                <w:color w:val="auto"/>
                <w:szCs w:val="21"/>
                <w:highlight w:val="none"/>
              </w:rPr>
              <w:t>开工日期</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7DAF8C3A">
            <w:pPr>
              <w:jc w:val="center"/>
              <w:rPr>
                <w:rFonts w:ascii="宋体" w:hAnsi="宋体"/>
                <w:color w:val="auto"/>
                <w:szCs w:val="21"/>
                <w:highlight w:val="none"/>
              </w:rPr>
            </w:pPr>
          </w:p>
        </w:tc>
      </w:tr>
      <w:tr w14:paraId="78586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0CF26FF5">
            <w:pPr>
              <w:jc w:val="center"/>
              <w:rPr>
                <w:rFonts w:ascii="宋体" w:hAnsi="宋体"/>
                <w:color w:val="auto"/>
                <w:szCs w:val="21"/>
                <w:highlight w:val="none"/>
              </w:rPr>
            </w:pPr>
            <w:r>
              <w:rPr>
                <w:rFonts w:hint="eastAsia" w:ascii="宋体" w:hAnsi="宋体"/>
                <w:color w:val="auto"/>
                <w:szCs w:val="21"/>
                <w:highlight w:val="none"/>
              </w:rPr>
              <w:t>计划竣工日期</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21BFC9AE">
            <w:pPr>
              <w:jc w:val="center"/>
              <w:rPr>
                <w:rFonts w:ascii="宋体" w:hAnsi="宋体"/>
                <w:color w:val="auto"/>
                <w:szCs w:val="21"/>
                <w:highlight w:val="none"/>
              </w:rPr>
            </w:pPr>
          </w:p>
        </w:tc>
      </w:tr>
      <w:tr w14:paraId="1666C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56268DDC">
            <w:pPr>
              <w:jc w:val="center"/>
              <w:rPr>
                <w:rFonts w:ascii="宋体" w:hAnsi="宋体"/>
                <w:color w:val="auto"/>
                <w:szCs w:val="21"/>
                <w:highlight w:val="none"/>
              </w:rPr>
            </w:pPr>
            <w:r>
              <w:rPr>
                <w:rFonts w:hint="eastAsia" w:ascii="宋体" w:hAnsi="宋体"/>
                <w:color w:val="auto"/>
                <w:szCs w:val="21"/>
                <w:highlight w:val="none"/>
              </w:rPr>
              <w:t>承担的工作</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1D1E2E50">
            <w:pPr>
              <w:jc w:val="center"/>
              <w:rPr>
                <w:rFonts w:ascii="宋体" w:hAnsi="宋体"/>
                <w:color w:val="auto"/>
                <w:szCs w:val="21"/>
                <w:highlight w:val="none"/>
              </w:rPr>
            </w:pPr>
          </w:p>
        </w:tc>
      </w:tr>
      <w:tr w14:paraId="6954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67483933">
            <w:pPr>
              <w:jc w:val="center"/>
              <w:rPr>
                <w:rFonts w:ascii="宋体" w:hAnsi="宋体"/>
                <w:color w:val="auto"/>
                <w:szCs w:val="21"/>
                <w:highlight w:val="none"/>
              </w:rPr>
            </w:pPr>
            <w:r>
              <w:rPr>
                <w:rFonts w:hint="eastAsia" w:ascii="宋体" w:hAnsi="宋体"/>
                <w:color w:val="auto"/>
                <w:szCs w:val="21"/>
                <w:highlight w:val="none"/>
              </w:rPr>
              <w:t>工程质量</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096F3879">
            <w:pPr>
              <w:jc w:val="center"/>
              <w:rPr>
                <w:rFonts w:ascii="宋体" w:hAnsi="宋体"/>
                <w:color w:val="auto"/>
                <w:szCs w:val="21"/>
                <w:highlight w:val="none"/>
              </w:rPr>
            </w:pPr>
          </w:p>
        </w:tc>
      </w:tr>
      <w:tr w14:paraId="1D95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7DA92F79">
            <w:pPr>
              <w:jc w:val="center"/>
              <w:rPr>
                <w:rFonts w:ascii="宋体" w:hAnsi="宋体"/>
                <w:color w:val="auto"/>
                <w:szCs w:val="21"/>
                <w:highlight w:val="none"/>
              </w:rPr>
            </w:pPr>
            <w:r>
              <w:rPr>
                <w:rFonts w:hint="eastAsia" w:ascii="宋体" w:hAnsi="宋体"/>
                <w:color w:val="auto"/>
                <w:szCs w:val="21"/>
                <w:highlight w:val="none"/>
              </w:rPr>
              <w:t>项目经理</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5AE9EE30">
            <w:pPr>
              <w:jc w:val="center"/>
              <w:rPr>
                <w:rFonts w:ascii="宋体" w:hAnsi="宋体"/>
                <w:color w:val="auto"/>
                <w:szCs w:val="21"/>
                <w:highlight w:val="none"/>
              </w:rPr>
            </w:pPr>
          </w:p>
        </w:tc>
      </w:tr>
      <w:tr w14:paraId="7879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617C2683">
            <w:pPr>
              <w:jc w:val="center"/>
              <w:rPr>
                <w:rFonts w:ascii="宋体" w:hAnsi="宋体"/>
                <w:color w:val="auto"/>
                <w:szCs w:val="21"/>
                <w:highlight w:val="none"/>
              </w:rPr>
            </w:pPr>
            <w:r>
              <w:rPr>
                <w:rFonts w:hint="eastAsia" w:ascii="宋体" w:hAnsi="宋体"/>
                <w:color w:val="auto"/>
                <w:szCs w:val="21"/>
                <w:highlight w:val="none"/>
              </w:rPr>
              <w:t>技术负责人</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1CB882FA">
            <w:pPr>
              <w:jc w:val="center"/>
              <w:rPr>
                <w:rFonts w:ascii="宋体" w:hAnsi="宋体"/>
                <w:color w:val="auto"/>
                <w:szCs w:val="21"/>
                <w:highlight w:val="none"/>
              </w:rPr>
            </w:pPr>
          </w:p>
        </w:tc>
      </w:tr>
      <w:tr w14:paraId="5367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00F733B4">
            <w:pPr>
              <w:jc w:val="center"/>
              <w:rPr>
                <w:rFonts w:ascii="宋体" w:hAnsi="宋体"/>
                <w:color w:val="auto"/>
                <w:szCs w:val="21"/>
                <w:highlight w:val="none"/>
              </w:rPr>
            </w:pPr>
            <w:r>
              <w:rPr>
                <w:rFonts w:hint="eastAsia" w:ascii="宋体" w:hAnsi="宋体"/>
                <w:color w:val="auto"/>
                <w:szCs w:val="21"/>
                <w:highlight w:val="none"/>
              </w:rPr>
              <w:t>总监理工程师及电话</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76E1A9E1">
            <w:pPr>
              <w:jc w:val="center"/>
              <w:rPr>
                <w:rFonts w:ascii="宋体" w:hAnsi="宋体"/>
                <w:color w:val="auto"/>
                <w:szCs w:val="21"/>
                <w:highlight w:val="none"/>
              </w:rPr>
            </w:pPr>
          </w:p>
        </w:tc>
      </w:tr>
      <w:tr w14:paraId="3063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3A3CF65A">
            <w:pPr>
              <w:jc w:val="center"/>
              <w:rPr>
                <w:rFonts w:ascii="宋体" w:hAnsi="宋体"/>
                <w:color w:val="auto"/>
                <w:szCs w:val="21"/>
                <w:highlight w:val="none"/>
              </w:rPr>
            </w:pPr>
            <w:r>
              <w:rPr>
                <w:rFonts w:hint="eastAsia" w:ascii="宋体" w:hAnsi="宋体"/>
                <w:color w:val="auto"/>
                <w:szCs w:val="21"/>
                <w:highlight w:val="none"/>
              </w:rPr>
              <w:t>项目描述</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5C9E5D7B">
            <w:pPr>
              <w:jc w:val="center"/>
              <w:rPr>
                <w:rFonts w:ascii="宋体" w:hAnsi="宋体"/>
                <w:color w:val="auto"/>
                <w:szCs w:val="21"/>
                <w:highlight w:val="none"/>
              </w:rPr>
            </w:pPr>
          </w:p>
        </w:tc>
      </w:tr>
      <w:tr w14:paraId="46EF1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noWrap w:val="0"/>
            <w:vAlign w:val="center"/>
          </w:tcPr>
          <w:p w14:paraId="0F0B1118">
            <w:pPr>
              <w:jc w:val="center"/>
              <w:rPr>
                <w:rFonts w:ascii="宋体" w:hAnsi="宋体"/>
                <w:color w:val="auto"/>
                <w:szCs w:val="21"/>
                <w:highlight w:val="none"/>
              </w:rPr>
            </w:pPr>
            <w:r>
              <w:rPr>
                <w:rFonts w:hint="eastAsia" w:ascii="宋体" w:hAnsi="宋体"/>
                <w:color w:val="auto"/>
                <w:szCs w:val="21"/>
                <w:highlight w:val="none"/>
              </w:rPr>
              <w:t>备注</w:t>
            </w:r>
          </w:p>
        </w:tc>
        <w:tc>
          <w:tcPr>
            <w:tcW w:w="6095" w:type="dxa"/>
            <w:tcBorders>
              <w:top w:val="single" w:color="auto" w:sz="4" w:space="0"/>
              <w:left w:val="single" w:color="auto" w:sz="4" w:space="0"/>
              <w:bottom w:val="single" w:color="auto" w:sz="4" w:space="0"/>
              <w:right w:val="single" w:color="auto" w:sz="4" w:space="0"/>
            </w:tcBorders>
            <w:noWrap w:val="0"/>
            <w:vAlign w:val="center"/>
          </w:tcPr>
          <w:p w14:paraId="0CC954A2">
            <w:pPr>
              <w:jc w:val="center"/>
              <w:rPr>
                <w:rFonts w:ascii="宋体" w:hAnsi="宋体"/>
                <w:color w:val="auto"/>
                <w:szCs w:val="21"/>
                <w:highlight w:val="none"/>
              </w:rPr>
            </w:pPr>
          </w:p>
        </w:tc>
      </w:tr>
    </w:tbl>
    <w:p w14:paraId="27D926B0">
      <w:pPr>
        <w:ind w:left="945" w:hanging="945" w:hangingChars="450"/>
        <w:rPr>
          <w:rFonts w:ascii="宋体" w:hAnsi="宋体"/>
          <w:color w:val="auto"/>
          <w:szCs w:val="24"/>
          <w:highlight w:val="none"/>
        </w:rPr>
      </w:pPr>
    </w:p>
    <w:p w14:paraId="43CD0A0D">
      <w:pPr>
        <w:ind w:left="945" w:hanging="945" w:hangingChars="450"/>
        <w:rPr>
          <w:rFonts w:hint="eastAsia" w:ascii="宋体" w:hAnsi="宋体"/>
          <w:color w:val="auto"/>
          <w:highlight w:val="none"/>
        </w:rPr>
      </w:pPr>
    </w:p>
    <w:p w14:paraId="2C04B796">
      <w:pPr>
        <w:ind w:left="630" w:hanging="630" w:hangingChars="300"/>
        <w:rPr>
          <w:rFonts w:ascii="宋体" w:hAnsi="宋体"/>
          <w:color w:val="auto"/>
          <w:highlight w:val="none"/>
        </w:rPr>
      </w:pPr>
      <w:r>
        <w:rPr>
          <w:rFonts w:hint="eastAsia" w:ascii="宋体" w:hAnsi="宋体"/>
          <w:color w:val="auto"/>
          <w:highlight w:val="none"/>
        </w:rPr>
        <w:t>备注：本表后附中标通知书（如有）、合同协议书、施工许可证（如有）的扫描件。其中招标发包的工程应附中标通知书，</w:t>
      </w:r>
      <w:r>
        <w:rPr>
          <w:rFonts w:hint="eastAsia" w:cs="宋体"/>
          <w:color w:val="auto"/>
          <w:kern w:val="0"/>
          <w:szCs w:val="21"/>
          <w:highlight w:val="none"/>
        </w:rPr>
        <w:t>工程总承包发包、施工总承包发包、独立发包的施工专业承包正在施工的应附</w:t>
      </w:r>
      <w:r>
        <w:rPr>
          <w:rFonts w:hint="eastAsia"/>
          <w:color w:val="auto"/>
          <w:highlight w:val="none"/>
        </w:rPr>
        <w:t>施工许可证</w:t>
      </w:r>
      <w:r>
        <w:rPr>
          <w:rFonts w:hint="eastAsia" w:ascii="宋体" w:hAnsi="宋体"/>
          <w:color w:val="auto"/>
          <w:highlight w:val="none"/>
        </w:rPr>
        <w:t>。每张表格只填写一个项目，并标明序号。</w:t>
      </w:r>
    </w:p>
    <w:p w14:paraId="242243DE">
      <w:pPr>
        <w:pStyle w:val="33"/>
        <w:jc w:val="center"/>
        <w:rPr>
          <w:rFonts w:hint="eastAsia" w:ascii="黑体" w:hAnsi="宋体"/>
          <w:color w:val="auto"/>
          <w:highlight w:val="none"/>
        </w:rPr>
      </w:pPr>
      <w:bookmarkStart w:id="2500" w:name="_Toc28532446"/>
      <w:bookmarkStart w:id="2501" w:name="_Toc6756"/>
      <w:r>
        <w:rPr>
          <w:rFonts w:hint="eastAsia"/>
          <w:color w:val="auto"/>
          <w:szCs w:val="24"/>
          <w:highlight w:val="none"/>
        </w:rPr>
        <w:t>（五）企业信誉情况</w:t>
      </w:r>
      <w:bookmarkEnd w:id="2500"/>
      <w:bookmarkEnd w:id="2501"/>
    </w:p>
    <w:p w14:paraId="7CAAD3D8">
      <w:pPr>
        <w:jc w:val="center"/>
        <w:rPr>
          <w:rFonts w:hint="eastAsia" w:ascii="黑体" w:hAnsi="宋体" w:eastAsia="黑体"/>
          <w:b/>
          <w:color w:val="auto"/>
          <w:sz w:val="24"/>
          <w:highlight w:val="none"/>
        </w:rPr>
      </w:pPr>
    </w:p>
    <w:p w14:paraId="4933176A">
      <w:pPr>
        <w:jc w:val="center"/>
        <w:rPr>
          <w:rFonts w:hint="eastAsia" w:ascii="黑体" w:hAnsi="宋体" w:eastAsia="黑体"/>
          <w:b/>
          <w:color w:val="auto"/>
          <w:sz w:val="24"/>
          <w:highlight w:val="none"/>
        </w:rPr>
      </w:pPr>
    </w:p>
    <w:p w14:paraId="5E8018F8">
      <w:pPr>
        <w:pStyle w:val="33"/>
        <w:jc w:val="center"/>
        <w:rPr>
          <w:rFonts w:hint="eastAsia" w:ascii="Times New Roman" w:hAnsi="Times New Roman"/>
          <w:color w:val="auto"/>
          <w:szCs w:val="24"/>
          <w:highlight w:val="none"/>
        </w:rPr>
      </w:pPr>
      <w:bookmarkStart w:id="2502" w:name="_Toc28532447"/>
      <w:bookmarkStart w:id="2503" w:name="_Toc6842"/>
      <w:r>
        <w:rPr>
          <w:color w:val="auto"/>
          <w:szCs w:val="24"/>
          <w:highlight w:val="none"/>
        </w:rPr>
        <w:t>5-1</w:t>
      </w:r>
      <w:r>
        <w:rPr>
          <w:rFonts w:hint="eastAsia" w:ascii="宋体" w:hAnsi="宋体"/>
          <w:color w:val="auto"/>
          <w:szCs w:val="21"/>
          <w:highlight w:val="none"/>
        </w:rPr>
        <w:t>企业信誉声明</w:t>
      </w:r>
      <w:bookmarkEnd w:id="2502"/>
      <w:bookmarkEnd w:id="2503"/>
    </w:p>
    <w:p w14:paraId="24842148">
      <w:pPr>
        <w:rPr>
          <w:rFonts w:ascii="宋体" w:hAnsi="宋体"/>
          <w:color w:val="auto"/>
          <w:szCs w:val="24"/>
          <w:highlight w:val="none"/>
          <w:u w:val="single"/>
        </w:rPr>
      </w:pPr>
    </w:p>
    <w:p w14:paraId="6E884F85">
      <w:pPr>
        <w:rPr>
          <w:rFonts w:hint="eastAsia" w:ascii="宋体" w:hAnsi="宋体"/>
          <w:color w:val="auto"/>
          <w:highlight w:val="none"/>
          <w:u w:val="single"/>
        </w:rPr>
      </w:pPr>
    </w:p>
    <w:p w14:paraId="170507C8">
      <w:pPr>
        <w:rPr>
          <w:rFonts w:hint="eastAsia" w:ascii="宋体" w:hAnsi="宋体"/>
          <w:color w:val="auto"/>
          <w:highlight w:val="none"/>
          <w:u w:val="single"/>
        </w:rPr>
      </w:pPr>
    </w:p>
    <w:p w14:paraId="00510E02">
      <w:pPr>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（招标人名称）：</w:t>
      </w:r>
    </w:p>
    <w:p w14:paraId="6D52015F">
      <w:pPr>
        <w:rPr>
          <w:rFonts w:hint="eastAsia" w:ascii="宋体" w:hAnsi="宋体"/>
          <w:color w:val="auto"/>
          <w:highlight w:val="none"/>
        </w:rPr>
      </w:pPr>
    </w:p>
    <w:p w14:paraId="0D443C11">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我方在此声明，</w:t>
      </w:r>
      <w:r>
        <w:rPr>
          <w:rFonts w:hint="eastAsia" w:ascii="宋体" w:hAnsi="宋体"/>
          <w:color w:val="auto"/>
          <w:highlight w:val="none"/>
        </w:rPr>
        <w:t>截止本招标项目投标截止时间，我方处于</w:t>
      </w:r>
      <w:r>
        <w:rPr>
          <w:rFonts w:hint="eastAsia" w:ascii="宋体" w:hAnsi="宋体"/>
          <w:color w:val="auto"/>
          <w:szCs w:val="21"/>
          <w:highlight w:val="none"/>
        </w:rPr>
        <w:t>正常的经营状态，不存在下列任何一种情形。</w:t>
      </w:r>
    </w:p>
    <w:p w14:paraId="7F2682D0">
      <w:pPr>
        <w:spacing w:line="400" w:lineRule="exact"/>
        <w:ind w:firstLine="420" w:firstLineChars="200"/>
        <w:rPr>
          <w:rFonts w:hint="eastAsia" w:ascii="Times New Roman" w:hAnsi="Times New Roman"/>
          <w:color w:val="auto"/>
          <w:szCs w:val="24"/>
          <w:highlight w:val="none"/>
        </w:rPr>
      </w:pPr>
      <w:r>
        <w:rPr>
          <w:color w:val="auto"/>
          <w:highlight w:val="none"/>
        </w:rPr>
        <w:t>1.</w:t>
      </w:r>
      <w:r>
        <w:rPr>
          <w:rFonts w:hint="eastAsia"/>
          <w:color w:val="auto"/>
          <w:highlight w:val="none"/>
        </w:rPr>
        <w:t>被依法暂停或取消投标资格；</w:t>
      </w:r>
    </w:p>
    <w:p w14:paraId="52B5822E">
      <w:pPr>
        <w:spacing w:line="400" w:lineRule="exact"/>
        <w:ind w:firstLine="420" w:firstLineChars="200"/>
        <w:rPr>
          <w:color w:val="auto"/>
          <w:highlight w:val="none"/>
        </w:rPr>
      </w:pPr>
      <w:r>
        <w:rPr>
          <w:color w:val="auto"/>
          <w:highlight w:val="none"/>
        </w:rPr>
        <w:t>2.</w:t>
      </w:r>
      <w:r>
        <w:rPr>
          <w:rFonts w:hint="eastAsia"/>
          <w:color w:val="auto"/>
          <w:highlight w:val="none"/>
        </w:rPr>
        <w:t>被责令停产停业、暂扣或者吊销许可证、暂扣或者吊销执照；</w:t>
      </w:r>
      <w:r>
        <w:rPr>
          <w:color w:val="auto"/>
          <w:highlight w:val="none"/>
        </w:rPr>
        <w:t xml:space="preserve"> </w:t>
      </w:r>
    </w:p>
    <w:p w14:paraId="3BE5A5B9">
      <w:pPr>
        <w:spacing w:line="400" w:lineRule="exact"/>
        <w:ind w:firstLine="420" w:firstLineChars="200"/>
        <w:rPr>
          <w:color w:val="auto"/>
          <w:highlight w:val="none"/>
        </w:rPr>
      </w:pPr>
      <w:r>
        <w:rPr>
          <w:color w:val="auto"/>
          <w:highlight w:val="none"/>
        </w:rPr>
        <w:t>3.</w:t>
      </w:r>
      <w:r>
        <w:rPr>
          <w:rFonts w:hint="eastAsia"/>
          <w:color w:val="auto"/>
          <w:highlight w:val="none"/>
        </w:rPr>
        <w:t>进入清算程序，或被宣告破产，或其他丧失履约能力的情形；</w:t>
      </w:r>
    </w:p>
    <w:p w14:paraId="13BA02FE">
      <w:pPr>
        <w:spacing w:line="400" w:lineRule="exact"/>
        <w:ind w:firstLine="420" w:firstLineChars="200"/>
        <w:rPr>
          <w:color w:val="auto"/>
          <w:highlight w:val="none"/>
        </w:rPr>
      </w:pPr>
      <w:r>
        <w:rPr>
          <w:color w:val="auto"/>
          <w:highlight w:val="none"/>
        </w:rPr>
        <w:t>4.</w:t>
      </w:r>
      <w:r>
        <w:rPr>
          <w:rFonts w:hint="eastAsia"/>
          <w:color w:val="auto"/>
          <w:highlight w:val="none"/>
        </w:rPr>
        <w:t>在最近三年内发生重大工程质量问题；</w:t>
      </w:r>
    </w:p>
    <w:p w14:paraId="536B1833">
      <w:pPr>
        <w:spacing w:line="400" w:lineRule="exact"/>
        <w:ind w:firstLine="420" w:firstLineChars="200"/>
        <w:rPr>
          <w:color w:val="auto"/>
          <w:highlight w:val="none"/>
        </w:rPr>
      </w:pPr>
      <w:r>
        <w:rPr>
          <w:color w:val="auto"/>
          <w:highlight w:val="none"/>
        </w:rPr>
        <w:t>5.</w:t>
      </w:r>
      <w:r>
        <w:rPr>
          <w:rFonts w:hint="eastAsia"/>
          <w:color w:val="auto"/>
          <w:highlight w:val="none"/>
        </w:rPr>
        <w:t>在“国家企业信用信息公示系统”（</w:t>
      </w:r>
      <w:r>
        <w:rPr>
          <w:color w:val="auto"/>
          <w:highlight w:val="none"/>
        </w:rPr>
        <w:t xml:space="preserve"> www.gsxt.gov.cn</w:t>
      </w:r>
      <w:r>
        <w:rPr>
          <w:rFonts w:hint="eastAsia"/>
          <w:color w:val="auto"/>
          <w:highlight w:val="none"/>
        </w:rPr>
        <w:t>）被列入严重违法失信企业名单；</w:t>
      </w:r>
    </w:p>
    <w:p w14:paraId="21AE9549">
      <w:pPr>
        <w:spacing w:line="400" w:lineRule="exact"/>
        <w:ind w:firstLine="420" w:firstLineChars="200"/>
        <w:rPr>
          <w:color w:val="auto"/>
          <w:highlight w:val="none"/>
        </w:rPr>
      </w:pPr>
      <w:r>
        <w:rPr>
          <w:color w:val="auto"/>
          <w:highlight w:val="none"/>
        </w:rPr>
        <w:t>6.</w:t>
      </w:r>
      <w:r>
        <w:rPr>
          <w:rFonts w:hint="eastAsia"/>
          <w:color w:val="auto"/>
          <w:highlight w:val="none"/>
        </w:rPr>
        <w:t>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5"/>
          <w:color w:val="auto"/>
          <w:highlight w:val="none"/>
        </w:rPr>
        <w:t>www.creditchina.gov.cn</w:t>
      </w:r>
      <w:r>
        <w:rPr>
          <w:color w:val="auto"/>
          <w:highlight w:val="none"/>
        </w:rPr>
        <w:fldChar w:fldCharType="end"/>
      </w:r>
      <w:r>
        <w:rPr>
          <w:rFonts w:hint="eastAsia"/>
          <w:color w:val="auto"/>
          <w:highlight w:val="none"/>
        </w:rPr>
        <w:t>）或“中国执行信息公开网”（</w:t>
      </w:r>
      <w:r>
        <w:rPr>
          <w:color w:val="auto"/>
          <w:highlight w:val="none"/>
        </w:rPr>
        <w:t>http://zxgk.court.gov.cn/shixin/</w:t>
      </w:r>
      <w:r>
        <w:rPr>
          <w:rFonts w:hint="eastAsia"/>
          <w:color w:val="auto"/>
          <w:highlight w:val="none"/>
        </w:rPr>
        <w:t>）被列入失信被执行人名单；</w:t>
      </w:r>
    </w:p>
    <w:p w14:paraId="4FC6B218">
      <w:pPr>
        <w:spacing w:line="400" w:lineRule="exact"/>
        <w:ind w:firstLine="420" w:firstLineChars="200"/>
        <w:rPr>
          <w:color w:val="auto"/>
          <w:highlight w:val="none"/>
        </w:rPr>
      </w:pPr>
      <w:r>
        <w:rPr>
          <w:color w:val="auto"/>
          <w:highlight w:val="none"/>
        </w:rPr>
        <w:t>7.</w:t>
      </w:r>
      <w:r>
        <w:rPr>
          <w:rFonts w:hint="eastAsia"/>
          <w:color w:val="auto"/>
          <w:highlight w:val="none"/>
        </w:rPr>
        <w:t>在近三年内投标人或其法定代表人、拟委任的项目经理有行贿犯罪行为；</w:t>
      </w:r>
    </w:p>
    <w:p w14:paraId="3D522FE4">
      <w:pPr>
        <w:spacing w:line="440" w:lineRule="exact"/>
        <w:ind w:firstLine="420" w:firstLineChars="200"/>
        <w:rPr>
          <w:color w:val="auto"/>
          <w:highlight w:val="none"/>
        </w:rPr>
      </w:pPr>
      <w:r>
        <w:rPr>
          <w:color w:val="auto"/>
          <w:highlight w:val="none"/>
        </w:rPr>
        <w:t>8.</w:t>
      </w:r>
      <w:r>
        <w:rPr>
          <w:rFonts w:hint="eastAsia"/>
          <w:color w:val="auto"/>
          <w:highlight w:val="none"/>
        </w:rPr>
        <w:t>法律法规或投标人须知前附表第</w:t>
      </w:r>
      <w:r>
        <w:rPr>
          <w:color w:val="auto"/>
          <w:highlight w:val="none"/>
        </w:rPr>
        <w:t>1.4.3</w:t>
      </w:r>
      <w:r>
        <w:rPr>
          <w:rFonts w:hint="eastAsia"/>
          <w:color w:val="auto"/>
          <w:highlight w:val="none"/>
        </w:rPr>
        <w:t>（</w:t>
      </w:r>
      <w:r>
        <w:rPr>
          <w:color w:val="auto"/>
          <w:highlight w:val="none"/>
        </w:rPr>
        <w:t>19</w:t>
      </w:r>
      <w:r>
        <w:rPr>
          <w:rFonts w:hint="eastAsia"/>
          <w:color w:val="auto"/>
          <w:highlight w:val="none"/>
        </w:rPr>
        <w:t>）目规定的其他情形。</w:t>
      </w:r>
    </w:p>
    <w:p w14:paraId="0C353944">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我方</w:t>
      </w:r>
      <w:r>
        <w:rPr>
          <w:rFonts w:hint="eastAsia"/>
          <w:color w:val="auto"/>
          <w:highlight w:val="none"/>
        </w:rPr>
        <w:t>对上述声明的</w:t>
      </w:r>
      <w:r>
        <w:rPr>
          <w:rFonts w:hint="eastAsia" w:ascii="宋体" w:hAnsi="宋体"/>
          <w:color w:val="auto"/>
          <w:szCs w:val="21"/>
          <w:highlight w:val="none"/>
        </w:rPr>
        <w:t>真实性和准确性</w:t>
      </w:r>
      <w:r>
        <w:rPr>
          <w:rFonts w:hint="eastAsia"/>
          <w:color w:val="auto"/>
          <w:highlight w:val="none"/>
        </w:rPr>
        <w:t>负责</w:t>
      </w:r>
      <w:r>
        <w:rPr>
          <w:rFonts w:hint="eastAsia" w:ascii="宋体" w:hAnsi="宋体"/>
          <w:color w:val="auto"/>
          <w:szCs w:val="21"/>
          <w:highlight w:val="none"/>
        </w:rPr>
        <w:t>，并承担相应的法律责任。</w:t>
      </w:r>
    </w:p>
    <w:p w14:paraId="6AE3F0AA">
      <w:pPr>
        <w:spacing w:line="440" w:lineRule="exact"/>
        <w:ind w:firstLine="420" w:firstLineChars="200"/>
        <w:rPr>
          <w:rFonts w:hint="eastAsia" w:ascii="宋体" w:hAnsi="宋体"/>
          <w:color w:val="auto"/>
          <w:szCs w:val="21"/>
          <w:highlight w:val="none"/>
        </w:rPr>
      </w:pPr>
    </w:p>
    <w:p w14:paraId="7223C7D3">
      <w:pPr>
        <w:spacing w:line="440" w:lineRule="exact"/>
        <w:ind w:firstLine="420" w:firstLineChars="200"/>
        <w:rPr>
          <w:rFonts w:hint="eastAsia" w:ascii="宋体" w:hAnsi="宋体"/>
          <w:color w:val="auto"/>
          <w:szCs w:val="21"/>
          <w:highlight w:val="none"/>
        </w:rPr>
      </w:pPr>
    </w:p>
    <w:p w14:paraId="119235D2">
      <w:pPr>
        <w:spacing w:line="440" w:lineRule="exact"/>
        <w:ind w:firstLine="3990" w:firstLineChars="1900"/>
        <w:rPr>
          <w:rFonts w:hint="eastAsia"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15735954">
      <w:pPr>
        <w:spacing w:line="440" w:lineRule="exact"/>
        <w:ind w:firstLine="3990" w:firstLineChars="190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0445F7DB">
      <w:pPr>
        <w:spacing w:line="440" w:lineRule="exact"/>
        <w:ind w:firstLine="420" w:firstLineChars="200"/>
        <w:rPr>
          <w:rFonts w:hint="eastAsia" w:ascii="宋体" w:hAnsi="宋体"/>
          <w:color w:val="auto"/>
          <w:szCs w:val="21"/>
          <w:highlight w:val="none"/>
        </w:rPr>
      </w:pPr>
    </w:p>
    <w:p w14:paraId="3DFB6B2E">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年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4E63ABD4">
      <w:pPr>
        <w:ind w:left="840" w:hanging="840" w:hangingChars="400"/>
        <w:rPr>
          <w:rFonts w:hint="eastAsia" w:ascii="宋体" w:hAnsi="宋体"/>
          <w:color w:val="auto"/>
          <w:highlight w:val="none"/>
        </w:rPr>
      </w:pPr>
    </w:p>
    <w:p w14:paraId="78DBC3FF">
      <w:pPr>
        <w:ind w:left="840" w:hanging="840" w:hangingChars="400"/>
        <w:rPr>
          <w:rFonts w:ascii="宋体" w:hAnsi="宋体"/>
          <w:color w:val="auto"/>
          <w:highlight w:val="none"/>
        </w:rPr>
      </w:pPr>
      <w:r>
        <w:rPr>
          <w:rFonts w:hint="eastAsia" w:ascii="宋体" w:hAnsi="宋体"/>
          <w:color w:val="auto"/>
          <w:highlight w:val="none"/>
        </w:rPr>
        <w:t>备注：1.投标人应针对第二章“投标人须知”第1.4.1项和第1.4.3项的要求，在此对其信誉情况做出说明。如上格式文件所示。</w:t>
      </w:r>
    </w:p>
    <w:p w14:paraId="6D4E27BC">
      <w:pPr>
        <w:rPr>
          <w:rFonts w:hint="eastAsia" w:ascii="宋体" w:hAnsi="宋体"/>
          <w:color w:val="auto"/>
          <w:highlight w:val="none"/>
        </w:rPr>
      </w:pPr>
      <w:r>
        <w:rPr>
          <w:rFonts w:hint="eastAsia" w:ascii="宋体" w:hAnsi="宋体"/>
          <w:color w:val="auto"/>
          <w:highlight w:val="none"/>
        </w:rPr>
        <w:t xml:space="preserve">      2.联合体投标的，联合体各成员单位均应按要求做出说明。</w:t>
      </w:r>
    </w:p>
    <w:p w14:paraId="5C599178">
      <w:pPr>
        <w:spacing w:line="320" w:lineRule="exact"/>
        <w:ind w:left="840" w:leftChars="300" w:hanging="210" w:hangingChars="100"/>
        <w:rPr>
          <w:rFonts w:hint="eastAsia" w:ascii="宋体" w:hAnsi="宋体"/>
          <w:color w:val="auto"/>
          <w:highlight w:val="none"/>
        </w:rPr>
      </w:pPr>
      <w:r>
        <w:rPr>
          <w:rFonts w:cs="宋体"/>
          <w:color w:val="auto"/>
          <w:kern w:val="0"/>
          <w:szCs w:val="21"/>
          <w:highlight w:val="none"/>
        </w:rPr>
        <w:t>3.</w:t>
      </w:r>
      <w:r>
        <w:rPr>
          <w:rFonts w:hint="eastAsia" w:cs="宋体"/>
          <w:color w:val="auto"/>
          <w:kern w:val="0"/>
          <w:szCs w:val="21"/>
          <w:highlight w:val="none"/>
        </w:rPr>
        <w:t>近三年是指从投标截止日往前推算</w:t>
      </w:r>
      <w:r>
        <w:rPr>
          <w:rFonts w:cs="宋体"/>
          <w:color w:val="auto"/>
          <w:kern w:val="0"/>
          <w:szCs w:val="21"/>
          <w:highlight w:val="none"/>
        </w:rPr>
        <w:t>3</w:t>
      </w:r>
      <w:r>
        <w:rPr>
          <w:rFonts w:hint="eastAsia" w:cs="宋体"/>
          <w:color w:val="auto"/>
          <w:kern w:val="0"/>
          <w:szCs w:val="21"/>
          <w:highlight w:val="none"/>
        </w:rPr>
        <w:t>年，例如投标截止日为</w:t>
      </w:r>
      <w:r>
        <w:rPr>
          <w:rFonts w:cs="宋体"/>
          <w:color w:val="auto"/>
          <w:kern w:val="0"/>
          <w:szCs w:val="21"/>
          <w:highlight w:val="none"/>
        </w:rPr>
        <w:t>2014</w:t>
      </w:r>
      <w:r>
        <w:rPr>
          <w:rFonts w:hint="eastAsia" w:cs="宋体"/>
          <w:color w:val="auto"/>
          <w:kern w:val="0"/>
          <w:szCs w:val="21"/>
          <w:highlight w:val="none"/>
        </w:rPr>
        <w:t>年</w:t>
      </w:r>
      <w:r>
        <w:rPr>
          <w:rFonts w:cs="宋体"/>
          <w:color w:val="auto"/>
          <w:kern w:val="0"/>
          <w:szCs w:val="21"/>
          <w:highlight w:val="none"/>
        </w:rPr>
        <w:t>2</w:t>
      </w:r>
      <w:r>
        <w:rPr>
          <w:rFonts w:hint="eastAsia" w:cs="宋体"/>
          <w:color w:val="auto"/>
          <w:kern w:val="0"/>
          <w:szCs w:val="21"/>
          <w:highlight w:val="none"/>
        </w:rPr>
        <w:t>月</w:t>
      </w:r>
      <w:r>
        <w:rPr>
          <w:rFonts w:cs="宋体"/>
          <w:color w:val="auto"/>
          <w:kern w:val="0"/>
          <w:szCs w:val="21"/>
          <w:highlight w:val="none"/>
        </w:rPr>
        <w:t>1</w:t>
      </w:r>
      <w:r>
        <w:rPr>
          <w:rFonts w:hint="eastAsia" w:cs="宋体"/>
          <w:color w:val="auto"/>
          <w:kern w:val="0"/>
          <w:szCs w:val="21"/>
          <w:highlight w:val="none"/>
        </w:rPr>
        <w:t>日，则近</w:t>
      </w:r>
      <w:r>
        <w:rPr>
          <w:rFonts w:cs="宋体"/>
          <w:color w:val="auto"/>
          <w:kern w:val="0"/>
          <w:szCs w:val="21"/>
          <w:highlight w:val="none"/>
        </w:rPr>
        <w:t>3</w:t>
      </w:r>
      <w:r>
        <w:rPr>
          <w:rFonts w:hint="eastAsia" w:cs="宋体"/>
          <w:color w:val="auto"/>
          <w:kern w:val="0"/>
          <w:szCs w:val="21"/>
          <w:highlight w:val="none"/>
        </w:rPr>
        <w:t>年是指</w:t>
      </w:r>
      <w:r>
        <w:rPr>
          <w:rFonts w:cs="宋体"/>
          <w:color w:val="auto"/>
          <w:kern w:val="0"/>
          <w:szCs w:val="21"/>
          <w:highlight w:val="none"/>
        </w:rPr>
        <w:t>2011</w:t>
      </w:r>
      <w:r>
        <w:rPr>
          <w:rFonts w:hint="eastAsia" w:cs="宋体"/>
          <w:color w:val="auto"/>
          <w:kern w:val="0"/>
          <w:szCs w:val="21"/>
          <w:highlight w:val="none"/>
        </w:rPr>
        <w:t>年</w:t>
      </w:r>
      <w:r>
        <w:rPr>
          <w:rFonts w:cs="宋体"/>
          <w:color w:val="auto"/>
          <w:kern w:val="0"/>
          <w:szCs w:val="21"/>
          <w:highlight w:val="none"/>
        </w:rPr>
        <w:t>2</w:t>
      </w:r>
      <w:r>
        <w:rPr>
          <w:rFonts w:hint="eastAsia" w:cs="宋体"/>
          <w:color w:val="auto"/>
          <w:kern w:val="0"/>
          <w:szCs w:val="21"/>
          <w:highlight w:val="none"/>
        </w:rPr>
        <w:t>月</w:t>
      </w:r>
      <w:r>
        <w:rPr>
          <w:rFonts w:cs="宋体"/>
          <w:color w:val="auto"/>
          <w:kern w:val="0"/>
          <w:szCs w:val="21"/>
          <w:highlight w:val="none"/>
        </w:rPr>
        <w:t>1</w:t>
      </w:r>
      <w:r>
        <w:rPr>
          <w:rFonts w:hint="eastAsia" w:cs="宋体"/>
          <w:color w:val="auto"/>
          <w:kern w:val="0"/>
          <w:szCs w:val="21"/>
          <w:highlight w:val="none"/>
        </w:rPr>
        <w:t>日至</w:t>
      </w:r>
      <w:r>
        <w:rPr>
          <w:rFonts w:cs="宋体"/>
          <w:color w:val="auto"/>
          <w:kern w:val="0"/>
          <w:szCs w:val="21"/>
          <w:highlight w:val="none"/>
        </w:rPr>
        <w:t>2014</w:t>
      </w:r>
      <w:r>
        <w:rPr>
          <w:rFonts w:hint="eastAsia" w:cs="宋体"/>
          <w:color w:val="auto"/>
          <w:kern w:val="0"/>
          <w:szCs w:val="21"/>
          <w:highlight w:val="none"/>
        </w:rPr>
        <w:t>年</w:t>
      </w:r>
      <w:r>
        <w:rPr>
          <w:rFonts w:cs="宋体"/>
          <w:color w:val="auto"/>
          <w:kern w:val="0"/>
          <w:szCs w:val="21"/>
          <w:highlight w:val="none"/>
        </w:rPr>
        <w:t>1</w:t>
      </w:r>
      <w:r>
        <w:rPr>
          <w:rFonts w:hint="eastAsia" w:cs="宋体"/>
          <w:color w:val="auto"/>
          <w:kern w:val="0"/>
          <w:szCs w:val="21"/>
          <w:highlight w:val="none"/>
        </w:rPr>
        <w:t>月</w:t>
      </w:r>
      <w:r>
        <w:rPr>
          <w:rFonts w:cs="宋体"/>
          <w:color w:val="auto"/>
          <w:kern w:val="0"/>
          <w:szCs w:val="21"/>
          <w:highlight w:val="none"/>
        </w:rPr>
        <w:t>31</w:t>
      </w:r>
      <w:r>
        <w:rPr>
          <w:rFonts w:hint="eastAsia" w:cs="宋体"/>
          <w:color w:val="auto"/>
          <w:kern w:val="0"/>
          <w:szCs w:val="21"/>
          <w:highlight w:val="none"/>
        </w:rPr>
        <w:t>日。</w:t>
      </w:r>
    </w:p>
    <w:p w14:paraId="4A51AFDA">
      <w:pPr>
        <w:ind w:left="840" w:leftChars="300" w:hanging="210" w:hangingChars="100"/>
        <w:rPr>
          <w:rFonts w:hint="eastAsia" w:ascii="宋体" w:hAnsi="宋体"/>
          <w:color w:val="auto"/>
          <w:highlight w:val="none"/>
        </w:rPr>
      </w:pPr>
      <w:r>
        <w:rPr>
          <w:rFonts w:hint="eastAsia" w:ascii="宋体" w:hAnsi="宋体"/>
          <w:color w:val="auto"/>
          <w:highlight w:val="none"/>
        </w:rPr>
        <w:t>4.招标人和评标委员会在评标过程中，应对各投标人（包括联合体各成员单位）的严重违法失信企业、失信被执行人、行贿犯罪行为等情况进行查询，并将查询结果“截图”附在评标报告中。</w:t>
      </w:r>
    </w:p>
    <w:p w14:paraId="5DE1BD86">
      <w:pPr>
        <w:spacing w:line="440" w:lineRule="exact"/>
        <w:ind w:left="1260" w:leftChars="600"/>
        <w:rPr>
          <w:rFonts w:hint="eastAsia" w:ascii="宋体" w:hAnsi="宋体"/>
          <w:color w:val="auto"/>
          <w:szCs w:val="21"/>
          <w:highlight w:val="none"/>
        </w:rPr>
      </w:pPr>
    </w:p>
    <w:p w14:paraId="5204C457">
      <w:pPr>
        <w:pStyle w:val="33"/>
        <w:jc w:val="center"/>
        <w:outlineLvl w:val="3"/>
        <w:rPr>
          <w:rFonts w:hint="eastAsia" w:ascii="Times New Roman" w:hAnsi="Times New Roman"/>
          <w:color w:val="auto"/>
          <w:highlight w:val="none"/>
        </w:rPr>
      </w:pPr>
      <w:bookmarkStart w:id="2504" w:name="_Toc519484337"/>
      <w:bookmarkStart w:id="2505" w:name="_Toc519264330"/>
      <w:bookmarkStart w:id="2506" w:name="_Toc28532448"/>
      <w:r>
        <w:rPr>
          <w:color w:val="auto"/>
          <w:szCs w:val="24"/>
          <w:highlight w:val="none"/>
        </w:rPr>
        <w:t xml:space="preserve">5-2 </w:t>
      </w:r>
      <w:r>
        <w:rPr>
          <w:rFonts w:hint="eastAsia"/>
          <w:color w:val="auto"/>
          <w:szCs w:val="21"/>
          <w:highlight w:val="none"/>
        </w:rPr>
        <w:t>严重违法失信企业</w:t>
      </w:r>
      <w:r>
        <w:rPr>
          <w:rFonts w:hint="eastAsia"/>
          <w:color w:val="auto"/>
          <w:szCs w:val="24"/>
          <w:highlight w:val="none"/>
        </w:rPr>
        <w:t>查询结果</w:t>
      </w:r>
      <w:bookmarkEnd w:id="2504"/>
      <w:bookmarkEnd w:id="2505"/>
      <w:bookmarkEnd w:id="2506"/>
    </w:p>
    <w:p w14:paraId="7543DF85">
      <w:pPr>
        <w:spacing w:line="400" w:lineRule="atLeast"/>
        <w:ind w:left="840" w:hanging="840" w:hangingChars="400"/>
        <w:rPr>
          <w:color w:val="auto"/>
          <w:szCs w:val="21"/>
          <w:highlight w:val="none"/>
        </w:rPr>
      </w:pP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37A67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0" w:hRule="atLeast"/>
        </w:trPr>
        <w:tc>
          <w:tcPr>
            <w:tcW w:w="5000" w:type="pct"/>
            <w:tcBorders>
              <w:top w:val="single" w:color="auto" w:sz="4" w:space="0"/>
              <w:left w:val="single" w:color="auto" w:sz="4" w:space="0"/>
              <w:bottom w:val="single" w:color="auto" w:sz="4" w:space="0"/>
              <w:right w:val="single" w:color="auto" w:sz="4" w:space="0"/>
            </w:tcBorders>
            <w:noWrap w:val="0"/>
            <w:vAlign w:val="top"/>
          </w:tcPr>
          <w:p w14:paraId="18F5C5E3">
            <w:pPr>
              <w:spacing w:line="400" w:lineRule="atLeast"/>
              <w:ind w:left="630" w:hanging="630" w:hangingChars="300"/>
              <w:rPr>
                <w:color w:val="auto"/>
                <w:szCs w:val="21"/>
                <w:highlight w:val="none"/>
              </w:rPr>
            </w:pPr>
          </w:p>
        </w:tc>
      </w:tr>
    </w:tbl>
    <w:p w14:paraId="3DCB1F6A">
      <w:pPr>
        <w:spacing w:before="240" w:beforeLines="100" w:line="400" w:lineRule="exact"/>
        <w:ind w:left="1050" w:leftChars="100" w:right="210" w:rightChars="100" w:hanging="840" w:hangingChars="400"/>
        <w:rPr>
          <w:rFonts w:ascii="Times New Roman" w:hAnsi="Times New Roman"/>
          <w:color w:val="auto"/>
          <w:szCs w:val="21"/>
          <w:highlight w:val="none"/>
        </w:rPr>
      </w:pPr>
      <w:r>
        <w:rPr>
          <w:rFonts w:hint="eastAsia"/>
          <w:color w:val="auto"/>
          <w:szCs w:val="21"/>
          <w:highlight w:val="none"/>
        </w:rPr>
        <w:t>备注：</w:t>
      </w:r>
      <w:r>
        <w:rPr>
          <w:color w:val="auto"/>
          <w:szCs w:val="21"/>
          <w:highlight w:val="none"/>
        </w:rPr>
        <w:t xml:space="preserve">1. </w:t>
      </w:r>
      <w:r>
        <w:rPr>
          <w:rFonts w:hint="eastAsia"/>
          <w:color w:val="auto"/>
          <w:szCs w:val="21"/>
          <w:highlight w:val="none"/>
        </w:rPr>
        <w:t>投标人自行通过“国家企业信用信息公示系统”（</w:t>
      </w:r>
      <w:r>
        <w:rPr>
          <w:color w:val="auto"/>
          <w:szCs w:val="21"/>
          <w:highlight w:val="none"/>
        </w:rPr>
        <w:fldChar w:fldCharType="begin"/>
      </w:r>
      <w:r>
        <w:rPr>
          <w:color w:val="auto"/>
          <w:szCs w:val="21"/>
          <w:highlight w:val="none"/>
        </w:rPr>
        <w:instrText xml:space="preserve"> </w:instrText>
      </w:r>
      <w:r>
        <w:rPr>
          <w:rFonts w:hint="eastAsia"/>
          <w:color w:val="auto"/>
          <w:szCs w:val="21"/>
          <w:highlight w:val="none"/>
        </w:rPr>
        <w:instrText xml:space="preserve">HYPERLINK "http://www.gsxt.gov.cn）查询本单位是否"</w:instrText>
      </w:r>
      <w:r>
        <w:rPr>
          <w:color w:val="auto"/>
          <w:szCs w:val="21"/>
          <w:highlight w:val="none"/>
        </w:rPr>
        <w:instrText xml:space="preserve"> </w:instrText>
      </w:r>
      <w:r>
        <w:rPr>
          <w:color w:val="auto"/>
          <w:szCs w:val="21"/>
          <w:highlight w:val="none"/>
        </w:rPr>
        <w:fldChar w:fldCharType="separate"/>
      </w:r>
      <w:r>
        <w:rPr>
          <w:rStyle w:val="25"/>
          <w:color w:val="auto"/>
          <w:highlight w:val="none"/>
        </w:rPr>
        <w:t>www.gsxt.gov.cn</w:t>
      </w:r>
      <w:r>
        <w:rPr>
          <w:rStyle w:val="25"/>
          <w:rFonts w:hint="eastAsia"/>
          <w:color w:val="auto"/>
          <w:highlight w:val="none"/>
        </w:rPr>
        <w:t>）查询本单位是否</w:t>
      </w:r>
      <w:r>
        <w:rPr>
          <w:color w:val="auto"/>
          <w:szCs w:val="21"/>
          <w:highlight w:val="none"/>
        </w:rPr>
        <w:fldChar w:fldCharType="end"/>
      </w:r>
      <w:r>
        <w:rPr>
          <w:rFonts w:hint="eastAsia"/>
          <w:color w:val="auto"/>
          <w:szCs w:val="21"/>
          <w:highlight w:val="none"/>
        </w:rPr>
        <w:t>被列为严重违法失信企业，并将查询结果“截图”附在本表中。</w:t>
      </w:r>
    </w:p>
    <w:p w14:paraId="7F2BEFA2">
      <w:pPr>
        <w:spacing w:line="400" w:lineRule="atLeast"/>
        <w:ind w:firstLine="840" w:firstLineChars="400"/>
        <w:rPr>
          <w:color w:val="auto"/>
          <w:szCs w:val="21"/>
          <w:highlight w:val="none"/>
        </w:rPr>
      </w:pPr>
      <w:r>
        <w:rPr>
          <w:color w:val="auto"/>
          <w:szCs w:val="21"/>
          <w:highlight w:val="none"/>
        </w:rPr>
        <w:t xml:space="preserve">2. </w:t>
      </w:r>
      <w:r>
        <w:rPr>
          <w:rFonts w:hint="eastAsia"/>
          <w:color w:val="auto"/>
          <w:szCs w:val="21"/>
          <w:highlight w:val="none"/>
        </w:rPr>
        <w:t>联合体投标的，应当对所有联合体成员进行查询。</w:t>
      </w:r>
    </w:p>
    <w:p w14:paraId="759EAE38">
      <w:pPr>
        <w:spacing w:line="440" w:lineRule="exact"/>
        <w:ind w:left="945" w:leftChars="300" w:hanging="315" w:hangingChars="150"/>
        <w:rPr>
          <w:rFonts w:ascii="宋体" w:hAnsi="宋体"/>
          <w:color w:val="auto"/>
          <w:szCs w:val="21"/>
          <w:highlight w:val="none"/>
        </w:rPr>
      </w:pPr>
    </w:p>
    <w:p w14:paraId="01219302">
      <w:pPr>
        <w:spacing w:line="440" w:lineRule="exact"/>
        <w:ind w:left="945" w:leftChars="300" w:hanging="315" w:hangingChars="150"/>
        <w:rPr>
          <w:rFonts w:hint="eastAsia" w:ascii="宋体" w:hAnsi="宋体"/>
          <w:color w:val="auto"/>
          <w:szCs w:val="21"/>
          <w:highlight w:val="none"/>
        </w:rPr>
      </w:pPr>
    </w:p>
    <w:p w14:paraId="1301A779">
      <w:pPr>
        <w:spacing w:line="440" w:lineRule="exact"/>
        <w:ind w:left="945" w:leftChars="300" w:hanging="315" w:hangingChars="150"/>
        <w:rPr>
          <w:rFonts w:hint="eastAsia" w:ascii="宋体" w:hAnsi="宋体"/>
          <w:color w:val="auto"/>
          <w:szCs w:val="21"/>
          <w:highlight w:val="none"/>
        </w:rPr>
      </w:pPr>
    </w:p>
    <w:p w14:paraId="0ED6864B">
      <w:pPr>
        <w:spacing w:line="440" w:lineRule="exact"/>
        <w:ind w:left="945" w:leftChars="300" w:hanging="315" w:hangingChars="150"/>
        <w:rPr>
          <w:rFonts w:hint="eastAsia" w:ascii="宋体" w:hAnsi="宋体"/>
          <w:color w:val="auto"/>
          <w:szCs w:val="21"/>
          <w:highlight w:val="none"/>
        </w:rPr>
      </w:pPr>
    </w:p>
    <w:p w14:paraId="6C0BE7F4">
      <w:pPr>
        <w:spacing w:line="440" w:lineRule="exact"/>
        <w:ind w:left="945" w:leftChars="300" w:hanging="315" w:hangingChars="150"/>
        <w:rPr>
          <w:rFonts w:hint="eastAsia" w:ascii="宋体" w:hAnsi="宋体"/>
          <w:color w:val="auto"/>
          <w:szCs w:val="21"/>
          <w:highlight w:val="none"/>
        </w:rPr>
      </w:pPr>
    </w:p>
    <w:p w14:paraId="7C8696EA">
      <w:pPr>
        <w:spacing w:line="440" w:lineRule="exact"/>
        <w:ind w:left="945" w:leftChars="300" w:hanging="315" w:hangingChars="150"/>
        <w:rPr>
          <w:rFonts w:hint="eastAsia" w:ascii="宋体" w:hAnsi="宋体"/>
          <w:color w:val="auto"/>
          <w:szCs w:val="21"/>
          <w:highlight w:val="none"/>
        </w:rPr>
      </w:pPr>
    </w:p>
    <w:p w14:paraId="44CED5D0">
      <w:pPr>
        <w:spacing w:line="440" w:lineRule="exact"/>
        <w:ind w:left="945" w:leftChars="300" w:hanging="315" w:hangingChars="150"/>
        <w:rPr>
          <w:rFonts w:hint="eastAsia" w:ascii="宋体" w:hAnsi="宋体"/>
          <w:color w:val="auto"/>
          <w:szCs w:val="21"/>
          <w:highlight w:val="none"/>
        </w:rPr>
      </w:pPr>
    </w:p>
    <w:p w14:paraId="5D902DAA">
      <w:pPr>
        <w:pStyle w:val="33"/>
        <w:jc w:val="center"/>
        <w:rPr>
          <w:rFonts w:hint="eastAsia" w:ascii="Times New Roman" w:hAnsi="Times New Roman"/>
          <w:color w:val="auto"/>
          <w:szCs w:val="24"/>
          <w:highlight w:val="none"/>
        </w:rPr>
      </w:pPr>
      <w:bookmarkStart w:id="2507" w:name="_Toc28532451"/>
      <w:bookmarkStart w:id="2508" w:name="_Toc18722"/>
      <w:r>
        <w:rPr>
          <w:color w:val="auto"/>
          <w:szCs w:val="24"/>
          <w:highlight w:val="none"/>
        </w:rPr>
        <w:t>5-</w:t>
      </w:r>
      <w:r>
        <w:rPr>
          <w:rFonts w:hint="eastAsia"/>
          <w:color w:val="auto"/>
          <w:szCs w:val="24"/>
          <w:highlight w:val="none"/>
        </w:rPr>
        <w:t>2近</w:t>
      </w:r>
      <w:r>
        <w:rPr>
          <w:color w:val="auto"/>
          <w:szCs w:val="24"/>
          <w:highlight w:val="none"/>
        </w:rPr>
        <w:t>3</w:t>
      </w:r>
      <w:r>
        <w:rPr>
          <w:rFonts w:hint="eastAsia"/>
          <w:color w:val="auto"/>
          <w:szCs w:val="24"/>
          <w:highlight w:val="none"/>
        </w:rPr>
        <w:t>年发生的诉讼和仲裁情况</w:t>
      </w:r>
      <w:bookmarkEnd w:id="2507"/>
      <w:bookmarkEnd w:id="2508"/>
    </w:p>
    <w:p w14:paraId="52696497">
      <w:pPr>
        <w:spacing w:before="120" w:beforeLines="50" w:after="240" w:afterLines="100" w:line="440" w:lineRule="exact"/>
        <w:rPr>
          <w:rFonts w:ascii="黑体" w:hAnsi="宋体" w:eastAsia="黑体"/>
          <w:color w:val="auto"/>
          <w:sz w:val="24"/>
          <w:szCs w:val="24"/>
          <w:highlight w:val="none"/>
        </w:rPr>
      </w:pPr>
    </w:p>
    <w:tbl>
      <w:tblPr>
        <w:tblStyle w:val="15"/>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2B2BEE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tcBorders>
              <w:top w:val="single" w:color="auto" w:sz="8" w:space="0"/>
              <w:left w:val="single" w:color="auto" w:sz="8" w:space="0"/>
              <w:bottom w:val="single" w:color="auto" w:sz="4" w:space="0"/>
              <w:right w:val="single" w:color="auto" w:sz="4" w:space="0"/>
            </w:tcBorders>
            <w:noWrap w:val="0"/>
            <w:vAlign w:val="center"/>
          </w:tcPr>
          <w:p w14:paraId="4CA95C3B">
            <w:pPr>
              <w:jc w:val="center"/>
              <w:rPr>
                <w:rFonts w:ascii="宋体" w:hAnsi="宋体"/>
                <w:color w:val="auto"/>
                <w:szCs w:val="21"/>
                <w:highlight w:val="none"/>
              </w:rPr>
            </w:pPr>
            <w:r>
              <w:rPr>
                <w:rFonts w:hint="eastAsia" w:ascii="宋体" w:hAnsi="宋体"/>
                <w:color w:val="auto"/>
                <w:szCs w:val="21"/>
                <w:highlight w:val="none"/>
              </w:rPr>
              <w:t>类别</w:t>
            </w:r>
          </w:p>
        </w:tc>
        <w:tc>
          <w:tcPr>
            <w:tcW w:w="954" w:type="dxa"/>
            <w:tcBorders>
              <w:top w:val="single" w:color="auto" w:sz="8" w:space="0"/>
              <w:left w:val="single" w:color="auto" w:sz="4" w:space="0"/>
              <w:bottom w:val="single" w:color="auto" w:sz="4" w:space="0"/>
              <w:right w:val="single" w:color="auto" w:sz="4" w:space="0"/>
            </w:tcBorders>
            <w:noWrap w:val="0"/>
            <w:vAlign w:val="center"/>
          </w:tcPr>
          <w:p w14:paraId="4BED7731">
            <w:pPr>
              <w:jc w:val="center"/>
              <w:rPr>
                <w:rFonts w:ascii="宋体" w:hAnsi="宋体"/>
                <w:color w:val="auto"/>
                <w:szCs w:val="21"/>
                <w:highlight w:val="none"/>
              </w:rPr>
            </w:pPr>
            <w:r>
              <w:rPr>
                <w:rFonts w:hint="eastAsia" w:ascii="宋体" w:hAnsi="宋体"/>
                <w:color w:val="auto"/>
                <w:szCs w:val="21"/>
                <w:highlight w:val="none"/>
              </w:rPr>
              <w:t>序号</w:t>
            </w:r>
          </w:p>
        </w:tc>
        <w:tc>
          <w:tcPr>
            <w:tcW w:w="1260" w:type="dxa"/>
            <w:tcBorders>
              <w:top w:val="single" w:color="auto" w:sz="8" w:space="0"/>
              <w:left w:val="single" w:color="auto" w:sz="4" w:space="0"/>
              <w:bottom w:val="single" w:color="auto" w:sz="4" w:space="0"/>
              <w:right w:val="single" w:color="auto" w:sz="4" w:space="0"/>
            </w:tcBorders>
            <w:noWrap w:val="0"/>
            <w:vAlign w:val="center"/>
          </w:tcPr>
          <w:p w14:paraId="5C164AF9">
            <w:pPr>
              <w:jc w:val="center"/>
              <w:rPr>
                <w:rFonts w:ascii="宋体" w:hAnsi="宋体"/>
                <w:color w:val="auto"/>
                <w:szCs w:val="21"/>
                <w:highlight w:val="none"/>
              </w:rPr>
            </w:pPr>
            <w:r>
              <w:rPr>
                <w:rFonts w:hint="eastAsia" w:ascii="宋体" w:hAnsi="宋体"/>
                <w:color w:val="auto"/>
                <w:szCs w:val="21"/>
                <w:highlight w:val="none"/>
              </w:rPr>
              <w:t>发生时间</w:t>
            </w:r>
          </w:p>
        </w:tc>
        <w:tc>
          <w:tcPr>
            <w:tcW w:w="3600" w:type="dxa"/>
            <w:tcBorders>
              <w:top w:val="single" w:color="auto" w:sz="8" w:space="0"/>
              <w:left w:val="single" w:color="auto" w:sz="4" w:space="0"/>
              <w:bottom w:val="single" w:color="auto" w:sz="4" w:space="0"/>
              <w:right w:val="single" w:color="auto" w:sz="4" w:space="0"/>
            </w:tcBorders>
            <w:noWrap w:val="0"/>
            <w:vAlign w:val="center"/>
          </w:tcPr>
          <w:p w14:paraId="22ACBC2D">
            <w:pPr>
              <w:jc w:val="center"/>
              <w:rPr>
                <w:rFonts w:ascii="宋体" w:hAnsi="宋体"/>
                <w:color w:val="auto"/>
                <w:szCs w:val="21"/>
                <w:highlight w:val="none"/>
              </w:rPr>
            </w:pPr>
            <w:r>
              <w:rPr>
                <w:rFonts w:hint="eastAsia" w:ascii="宋体" w:hAnsi="宋体"/>
                <w:color w:val="auto"/>
                <w:szCs w:val="21"/>
                <w:highlight w:val="none"/>
              </w:rPr>
              <w:t>情况简介</w:t>
            </w:r>
          </w:p>
        </w:tc>
        <w:tc>
          <w:tcPr>
            <w:tcW w:w="1952" w:type="dxa"/>
            <w:tcBorders>
              <w:top w:val="single" w:color="auto" w:sz="8" w:space="0"/>
              <w:left w:val="single" w:color="auto" w:sz="4" w:space="0"/>
              <w:bottom w:val="single" w:color="auto" w:sz="4" w:space="0"/>
              <w:right w:val="single" w:color="auto" w:sz="8" w:space="0"/>
            </w:tcBorders>
            <w:noWrap w:val="0"/>
            <w:vAlign w:val="center"/>
          </w:tcPr>
          <w:p w14:paraId="21F2F2DD">
            <w:pPr>
              <w:jc w:val="center"/>
              <w:rPr>
                <w:rFonts w:ascii="宋体" w:hAnsi="宋体"/>
                <w:color w:val="auto"/>
                <w:szCs w:val="21"/>
                <w:highlight w:val="none"/>
              </w:rPr>
            </w:pPr>
            <w:r>
              <w:rPr>
                <w:rFonts w:hint="eastAsia" w:ascii="宋体" w:hAnsi="宋体"/>
                <w:color w:val="auto"/>
                <w:szCs w:val="21"/>
                <w:highlight w:val="none"/>
              </w:rPr>
              <w:t>证明材料索引</w:t>
            </w:r>
          </w:p>
        </w:tc>
      </w:tr>
      <w:tr w14:paraId="669684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tcBorders>
              <w:top w:val="single" w:color="auto" w:sz="4" w:space="0"/>
              <w:left w:val="single" w:color="auto" w:sz="8" w:space="0"/>
              <w:bottom w:val="single" w:color="auto" w:sz="4" w:space="0"/>
              <w:right w:val="single" w:color="auto" w:sz="4" w:space="0"/>
            </w:tcBorders>
            <w:noWrap w:val="0"/>
            <w:vAlign w:val="center"/>
          </w:tcPr>
          <w:p w14:paraId="72FEAFED">
            <w:pPr>
              <w:spacing w:line="240" w:lineRule="exact"/>
              <w:jc w:val="center"/>
              <w:rPr>
                <w:rFonts w:ascii="宋体" w:hAnsi="宋体"/>
                <w:color w:val="auto"/>
                <w:szCs w:val="21"/>
                <w:highlight w:val="none"/>
              </w:rPr>
            </w:pPr>
            <w:r>
              <w:rPr>
                <w:rFonts w:hint="eastAsia" w:ascii="宋体" w:hAnsi="宋体"/>
                <w:color w:val="auto"/>
                <w:szCs w:val="21"/>
                <w:highlight w:val="none"/>
              </w:rPr>
              <w:t>诉</w:t>
            </w:r>
          </w:p>
          <w:p w14:paraId="7EFD470E">
            <w:pPr>
              <w:spacing w:line="240" w:lineRule="exact"/>
              <w:jc w:val="center"/>
              <w:rPr>
                <w:rFonts w:hint="eastAsia" w:ascii="宋体" w:hAnsi="宋体"/>
                <w:color w:val="auto"/>
                <w:szCs w:val="21"/>
                <w:highlight w:val="none"/>
              </w:rPr>
            </w:pPr>
            <w:r>
              <w:rPr>
                <w:rFonts w:hint="eastAsia" w:ascii="宋体" w:hAnsi="宋体"/>
                <w:color w:val="auto"/>
                <w:szCs w:val="21"/>
                <w:highlight w:val="none"/>
              </w:rPr>
              <w:t>讼</w:t>
            </w:r>
          </w:p>
          <w:p w14:paraId="47BF50A2">
            <w:pPr>
              <w:spacing w:line="240" w:lineRule="exact"/>
              <w:jc w:val="center"/>
              <w:rPr>
                <w:rFonts w:hint="eastAsia" w:ascii="宋体" w:hAnsi="宋体"/>
                <w:color w:val="auto"/>
                <w:szCs w:val="21"/>
                <w:highlight w:val="none"/>
              </w:rPr>
            </w:pPr>
            <w:r>
              <w:rPr>
                <w:rFonts w:hint="eastAsia" w:ascii="宋体" w:hAnsi="宋体"/>
                <w:color w:val="auto"/>
                <w:szCs w:val="21"/>
                <w:highlight w:val="none"/>
              </w:rPr>
              <w:t>情</w:t>
            </w:r>
          </w:p>
          <w:p w14:paraId="3E44B2EE">
            <w:pPr>
              <w:spacing w:line="240" w:lineRule="exact"/>
              <w:jc w:val="center"/>
              <w:rPr>
                <w:rFonts w:ascii="宋体" w:hAnsi="宋体"/>
                <w:color w:val="auto"/>
                <w:szCs w:val="21"/>
                <w:highlight w:val="none"/>
              </w:rPr>
            </w:pPr>
            <w:r>
              <w:rPr>
                <w:rFonts w:hint="eastAsia" w:ascii="宋体" w:hAnsi="宋体"/>
                <w:color w:val="auto"/>
                <w:szCs w:val="21"/>
                <w:highlight w:val="none"/>
              </w:rPr>
              <w:t>况</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05460143">
            <w:pPr>
              <w:jc w:val="center"/>
              <w:rPr>
                <w:rFonts w:ascii="宋体" w:hAnsi="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D3030D">
            <w:pPr>
              <w:jc w:val="center"/>
              <w:rPr>
                <w:rFonts w:ascii="宋体" w:hAnsi="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7D436C46">
            <w:pPr>
              <w:jc w:val="center"/>
              <w:rPr>
                <w:rFonts w:ascii="宋体" w:hAnsi="宋体"/>
                <w:color w:val="auto"/>
                <w:szCs w:val="21"/>
                <w:highlight w:val="none"/>
              </w:rPr>
            </w:pPr>
          </w:p>
        </w:tc>
        <w:tc>
          <w:tcPr>
            <w:tcW w:w="1952" w:type="dxa"/>
            <w:tcBorders>
              <w:top w:val="single" w:color="auto" w:sz="4" w:space="0"/>
              <w:left w:val="single" w:color="auto" w:sz="4" w:space="0"/>
              <w:bottom w:val="single" w:color="auto" w:sz="4" w:space="0"/>
              <w:right w:val="single" w:color="auto" w:sz="8" w:space="0"/>
            </w:tcBorders>
            <w:noWrap w:val="0"/>
            <w:vAlign w:val="center"/>
          </w:tcPr>
          <w:p w14:paraId="754799B8">
            <w:pPr>
              <w:jc w:val="center"/>
              <w:rPr>
                <w:rFonts w:ascii="宋体" w:hAnsi="宋体"/>
                <w:color w:val="auto"/>
                <w:szCs w:val="21"/>
                <w:highlight w:val="none"/>
              </w:rPr>
            </w:pPr>
          </w:p>
        </w:tc>
      </w:tr>
      <w:tr w14:paraId="301C53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0" w:type="auto"/>
            <w:vMerge w:val="continue"/>
            <w:tcBorders>
              <w:top w:val="single" w:color="auto" w:sz="4" w:space="0"/>
              <w:left w:val="single" w:color="auto" w:sz="8" w:space="0"/>
              <w:bottom w:val="single" w:color="auto" w:sz="4" w:space="0"/>
              <w:right w:val="single" w:color="auto" w:sz="4" w:space="0"/>
            </w:tcBorders>
            <w:noWrap w:val="0"/>
            <w:vAlign w:val="center"/>
          </w:tcPr>
          <w:p w14:paraId="796E3D76">
            <w:pPr>
              <w:widowControl/>
              <w:jc w:val="left"/>
              <w:rPr>
                <w:rFonts w:ascii="宋体" w:hAnsi="宋体"/>
                <w:color w:val="auto"/>
                <w:szCs w:val="21"/>
                <w:highlight w:val="none"/>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04BF7954">
            <w:pPr>
              <w:jc w:val="center"/>
              <w:rPr>
                <w:rFonts w:ascii="宋体" w:hAnsi="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A0BA1D2">
            <w:pPr>
              <w:jc w:val="center"/>
              <w:rPr>
                <w:rFonts w:ascii="宋体" w:hAnsi="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49C6BFA9">
            <w:pPr>
              <w:jc w:val="center"/>
              <w:rPr>
                <w:rFonts w:ascii="宋体" w:hAnsi="宋体"/>
                <w:color w:val="auto"/>
                <w:szCs w:val="21"/>
                <w:highlight w:val="none"/>
              </w:rPr>
            </w:pPr>
          </w:p>
        </w:tc>
        <w:tc>
          <w:tcPr>
            <w:tcW w:w="1952" w:type="dxa"/>
            <w:tcBorders>
              <w:top w:val="single" w:color="auto" w:sz="4" w:space="0"/>
              <w:left w:val="single" w:color="auto" w:sz="4" w:space="0"/>
              <w:bottom w:val="single" w:color="auto" w:sz="4" w:space="0"/>
              <w:right w:val="single" w:color="auto" w:sz="8" w:space="0"/>
            </w:tcBorders>
            <w:noWrap w:val="0"/>
            <w:vAlign w:val="center"/>
          </w:tcPr>
          <w:p w14:paraId="233D22AD">
            <w:pPr>
              <w:jc w:val="center"/>
              <w:rPr>
                <w:rFonts w:ascii="宋体" w:hAnsi="宋体"/>
                <w:color w:val="auto"/>
                <w:szCs w:val="21"/>
                <w:highlight w:val="none"/>
              </w:rPr>
            </w:pPr>
          </w:p>
        </w:tc>
      </w:tr>
      <w:tr w14:paraId="06EBD8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0" w:type="auto"/>
            <w:vMerge w:val="continue"/>
            <w:tcBorders>
              <w:top w:val="single" w:color="auto" w:sz="4" w:space="0"/>
              <w:left w:val="single" w:color="auto" w:sz="8" w:space="0"/>
              <w:bottom w:val="single" w:color="auto" w:sz="4" w:space="0"/>
              <w:right w:val="single" w:color="auto" w:sz="4" w:space="0"/>
            </w:tcBorders>
            <w:noWrap w:val="0"/>
            <w:vAlign w:val="center"/>
          </w:tcPr>
          <w:p w14:paraId="17394C18">
            <w:pPr>
              <w:widowControl/>
              <w:jc w:val="left"/>
              <w:rPr>
                <w:rFonts w:ascii="宋体" w:hAnsi="宋体"/>
                <w:color w:val="auto"/>
                <w:szCs w:val="21"/>
                <w:highlight w:val="none"/>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52B4B272">
            <w:pPr>
              <w:jc w:val="center"/>
              <w:rPr>
                <w:rFonts w:ascii="宋体" w:hAnsi="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09980C6">
            <w:pPr>
              <w:jc w:val="center"/>
              <w:rPr>
                <w:rFonts w:ascii="宋体" w:hAnsi="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403F6E51">
            <w:pPr>
              <w:jc w:val="center"/>
              <w:rPr>
                <w:rFonts w:ascii="宋体" w:hAnsi="宋体"/>
                <w:color w:val="auto"/>
                <w:szCs w:val="21"/>
                <w:highlight w:val="none"/>
              </w:rPr>
            </w:pPr>
          </w:p>
        </w:tc>
        <w:tc>
          <w:tcPr>
            <w:tcW w:w="1952" w:type="dxa"/>
            <w:tcBorders>
              <w:top w:val="single" w:color="auto" w:sz="4" w:space="0"/>
              <w:left w:val="single" w:color="auto" w:sz="4" w:space="0"/>
              <w:bottom w:val="single" w:color="auto" w:sz="4" w:space="0"/>
              <w:right w:val="single" w:color="auto" w:sz="8" w:space="0"/>
            </w:tcBorders>
            <w:noWrap w:val="0"/>
            <w:vAlign w:val="center"/>
          </w:tcPr>
          <w:p w14:paraId="443A3418">
            <w:pPr>
              <w:jc w:val="center"/>
              <w:rPr>
                <w:rFonts w:ascii="宋体" w:hAnsi="宋体"/>
                <w:color w:val="auto"/>
                <w:szCs w:val="21"/>
                <w:highlight w:val="none"/>
              </w:rPr>
            </w:pPr>
          </w:p>
        </w:tc>
      </w:tr>
      <w:tr w14:paraId="35B509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tcBorders>
              <w:top w:val="single" w:color="auto" w:sz="4" w:space="0"/>
              <w:left w:val="single" w:color="auto" w:sz="8" w:space="0"/>
              <w:bottom w:val="single" w:color="auto" w:sz="8" w:space="0"/>
              <w:right w:val="single" w:color="auto" w:sz="4" w:space="0"/>
            </w:tcBorders>
            <w:noWrap w:val="0"/>
            <w:vAlign w:val="center"/>
          </w:tcPr>
          <w:p w14:paraId="76910A1E">
            <w:pPr>
              <w:spacing w:line="240" w:lineRule="exact"/>
              <w:jc w:val="center"/>
              <w:rPr>
                <w:rFonts w:ascii="宋体" w:hAnsi="宋体"/>
                <w:color w:val="auto"/>
                <w:szCs w:val="21"/>
                <w:highlight w:val="none"/>
              </w:rPr>
            </w:pPr>
            <w:r>
              <w:rPr>
                <w:rFonts w:hint="eastAsia" w:ascii="宋体" w:hAnsi="宋体"/>
                <w:color w:val="auto"/>
                <w:szCs w:val="21"/>
                <w:highlight w:val="none"/>
              </w:rPr>
              <w:t>仲</w:t>
            </w:r>
          </w:p>
          <w:p w14:paraId="1DC09884">
            <w:pPr>
              <w:spacing w:line="240" w:lineRule="exact"/>
              <w:jc w:val="center"/>
              <w:rPr>
                <w:rFonts w:hint="eastAsia" w:ascii="宋体" w:hAnsi="宋体"/>
                <w:color w:val="auto"/>
                <w:szCs w:val="21"/>
                <w:highlight w:val="none"/>
              </w:rPr>
            </w:pPr>
            <w:r>
              <w:rPr>
                <w:rFonts w:hint="eastAsia" w:ascii="宋体" w:hAnsi="宋体"/>
                <w:color w:val="auto"/>
                <w:szCs w:val="21"/>
                <w:highlight w:val="none"/>
              </w:rPr>
              <w:t>裁</w:t>
            </w:r>
          </w:p>
          <w:p w14:paraId="4CEFFB42">
            <w:pPr>
              <w:spacing w:line="240" w:lineRule="exact"/>
              <w:jc w:val="center"/>
              <w:rPr>
                <w:rFonts w:hint="eastAsia" w:ascii="宋体" w:hAnsi="宋体"/>
                <w:color w:val="auto"/>
                <w:szCs w:val="21"/>
                <w:highlight w:val="none"/>
              </w:rPr>
            </w:pPr>
            <w:r>
              <w:rPr>
                <w:rFonts w:hint="eastAsia" w:ascii="宋体" w:hAnsi="宋体"/>
                <w:color w:val="auto"/>
                <w:szCs w:val="21"/>
                <w:highlight w:val="none"/>
              </w:rPr>
              <w:t>情</w:t>
            </w:r>
          </w:p>
          <w:p w14:paraId="7A527BE1">
            <w:pPr>
              <w:spacing w:line="240" w:lineRule="exact"/>
              <w:jc w:val="center"/>
              <w:rPr>
                <w:rFonts w:ascii="宋体" w:hAnsi="宋体"/>
                <w:color w:val="auto"/>
                <w:szCs w:val="21"/>
                <w:highlight w:val="none"/>
              </w:rPr>
            </w:pPr>
            <w:r>
              <w:rPr>
                <w:rFonts w:hint="eastAsia" w:ascii="宋体" w:hAnsi="宋体"/>
                <w:color w:val="auto"/>
                <w:szCs w:val="21"/>
                <w:highlight w:val="none"/>
              </w:rPr>
              <w:t>况</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43788C74">
            <w:pPr>
              <w:jc w:val="center"/>
              <w:rPr>
                <w:rFonts w:ascii="宋体" w:hAnsi="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033344D">
            <w:pPr>
              <w:jc w:val="center"/>
              <w:rPr>
                <w:rFonts w:ascii="宋体" w:hAnsi="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3DA8C3D3">
            <w:pPr>
              <w:jc w:val="center"/>
              <w:rPr>
                <w:rFonts w:ascii="宋体" w:hAnsi="宋体"/>
                <w:color w:val="auto"/>
                <w:szCs w:val="21"/>
                <w:highlight w:val="none"/>
              </w:rPr>
            </w:pPr>
          </w:p>
        </w:tc>
        <w:tc>
          <w:tcPr>
            <w:tcW w:w="1952" w:type="dxa"/>
            <w:tcBorders>
              <w:top w:val="single" w:color="auto" w:sz="4" w:space="0"/>
              <w:left w:val="single" w:color="auto" w:sz="4" w:space="0"/>
              <w:bottom w:val="single" w:color="auto" w:sz="4" w:space="0"/>
              <w:right w:val="single" w:color="auto" w:sz="8" w:space="0"/>
            </w:tcBorders>
            <w:noWrap w:val="0"/>
            <w:vAlign w:val="center"/>
          </w:tcPr>
          <w:p w14:paraId="1C7D6C08">
            <w:pPr>
              <w:jc w:val="center"/>
              <w:rPr>
                <w:rFonts w:ascii="宋体" w:hAnsi="宋体"/>
                <w:color w:val="auto"/>
                <w:szCs w:val="21"/>
                <w:highlight w:val="none"/>
              </w:rPr>
            </w:pPr>
          </w:p>
        </w:tc>
      </w:tr>
      <w:tr w14:paraId="119E0C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0" w:type="auto"/>
            <w:vMerge w:val="continue"/>
            <w:tcBorders>
              <w:top w:val="single" w:color="auto" w:sz="4" w:space="0"/>
              <w:left w:val="single" w:color="auto" w:sz="8" w:space="0"/>
              <w:bottom w:val="single" w:color="auto" w:sz="8" w:space="0"/>
              <w:right w:val="single" w:color="auto" w:sz="4" w:space="0"/>
            </w:tcBorders>
            <w:noWrap w:val="0"/>
            <w:vAlign w:val="center"/>
          </w:tcPr>
          <w:p w14:paraId="49ADFF1C">
            <w:pPr>
              <w:widowControl/>
              <w:jc w:val="left"/>
              <w:rPr>
                <w:rFonts w:ascii="宋体" w:hAnsi="宋体"/>
                <w:color w:val="auto"/>
                <w:szCs w:val="21"/>
                <w:highlight w:val="none"/>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61DE342A">
            <w:pPr>
              <w:jc w:val="center"/>
              <w:rPr>
                <w:rFonts w:ascii="宋体" w:hAnsi="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22B13">
            <w:pPr>
              <w:jc w:val="center"/>
              <w:rPr>
                <w:rFonts w:ascii="宋体" w:hAnsi="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0"/>
            <w:vAlign w:val="center"/>
          </w:tcPr>
          <w:p w14:paraId="5356BB6F">
            <w:pPr>
              <w:jc w:val="center"/>
              <w:rPr>
                <w:rFonts w:ascii="宋体" w:hAnsi="宋体"/>
                <w:color w:val="auto"/>
                <w:szCs w:val="21"/>
                <w:highlight w:val="none"/>
              </w:rPr>
            </w:pPr>
          </w:p>
        </w:tc>
        <w:tc>
          <w:tcPr>
            <w:tcW w:w="1952" w:type="dxa"/>
            <w:tcBorders>
              <w:top w:val="single" w:color="auto" w:sz="4" w:space="0"/>
              <w:left w:val="single" w:color="auto" w:sz="4" w:space="0"/>
              <w:bottom w:val="single" w:color="auto" w:sz="4" w:space="0"/>
              <w:right w:val="single" w:color="auto" w:sz="8" w:space="0"/>
            </w:tcBorders>
            <w:noWrap w:val="0"/>
            <w:vAlign w:val="center"/>
          </w:tcPr>
          <w:p w14:paraId="205EF709">
            <w:pPr>
              <w:jc w:val="center"/>
              <w:rPr>
                <w:rFonts w:ascii="宋体" w:hAnsi="宋体"/>
                <w:color w:val="auto"/>
                <w:szCs w:val="21"/>
                <w:highlight w:val="none"/>
              </w:rPr>
            </w:pPr>
          </w:p>
        </w:tc>
      </w:tr>
      <w:tr w14:paraId="154E13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0" w:type="auto"/>
            <w:vMerge w:val="continue"/>
            <w:tcBorders>
              <w:top w:val="single" w:color="auto" w:sz="4" w:space="0"/>
              <w:left w:val="single" w:color="auto" w:sz="8" w:space="0"/>
              <w:bottom w:val="single" w:color="auto" w:sz="8" w:space="0"/>
              <w:right w:val="single" w:color="auto" w:sz="4" w:space="0"/>
            </w:tcBorders>
            <w:noWrap w:val="0"/>
            <w:vAlign w:val="center"/>
          </w:tcPr>
          <w:p w14:paraId="48C8C071">
            <w:pPr>
              <w:widowControl/>
              <w:jc w:val="left"/>
              <w:rPr>
                <w:rFonts w:ascii="宋体" w:hAnsi="宋体"/>
                <w:color w:val="auto"/>
                <w:szCs w:val="21"/>
                <w:highlight w:val="none"/>
              </w:rPr>
            </w:pPr>
          </w:p>
        </w:tc>
        <w:tc>
          <w:tcPr>
            <w:tcW w:w="954" w:type="dxa"/>
            <w:tcBorders>
              <w:top w:val="single" w:color="auto" w:sz="4" w:space="0"/>
              <w:left w:val="single" w:color="auto" w:sz="4" w:space="0"/>
              <w:bottom w:val="single" w:color="auto" w:sz="8" w:space="0"/>
              <w:right w:val="single" w:color="auto" w:sz="4" w:space="0"/>
            </w:tcBorders>
            <w:noWrap w:val="0"/>
            <w:vAlign w:val="center"/>
          </w:tcPr>
          <w:p w14:paraId="19BD5E36">
            <w:pPr>
              <w:jc w:val="center"/>
              <w:rPr>
                <w:rFonts w:ascii="宋体" w:hAnsi="宋体"/>
                <w:color w:val="auto"/>
                <w:szCs w:val="21"/>
                <w:highlight w:val="none"/>
              </w:rPr>
            </w:pPr>
          </w:p>
        </w:tc>
        <w:tc>
          <w:tcPr>
            <w:tcW w:w="1260" w:type="dxa"/>
            <w:tcBorders>
              <w:top w:val="single" w:color="auto" w:sz="4" w:space="0"/>
              <w:left w:val="single" w:color="auto" w:sz="4" w:space="0"/>
              <w:bottom w:val="single" w:color="auto" w:sz="8" w:space="0"/>
              <w:right w:val="single" w:color="auto" w:sz="4" w:space="0"/>
            </w:tcBorders>
            <w:noWrap w:val="0"/>
            <w:vAlign w:val="center"/>
          </w:tcPr>
          <w:p w14:paraId="7B6C2F90">
            <w:pPr>
              <w:jc w:val="center"/>
              <w:rPr>
                <w:rFonts w:ascii="宋体" w:hAnsi="宋体"/>
                <w:color w:val="auto"/>
                <w:szCs w:val="21"/>
                <w:highlight w:val="none"/>
              </w:rPr>
            </w:pPr>
          </w:p>
        </w:tc>
        <w:tc>
          <w:tcPr>
            <w:tcW w:w="3600" w:type="dxa"/>
            <w:tcBorders>
              <w:top w:val="single" w:color="auto" w:sz="4" w:space="0"/>
              <w:left w:val="single" w:color="auto" w:sz="4" w:space="0"/>
              <w:bottom w:val="single" w:color="auto" w:sz="8" w:space="0"/>
              <w:right w:val="single" w:color="auto" w:sz="4" w:space="0"/>
            </w:tcBorders>
            <w:noWrap w:val="0"/>
            <w:vAlign w:val="center"/>
          </w:tcPr>
          <w:p w14:paraId="3440FF63">
            <w:pPr>
              <w:jc w:val="center"/>
              <w:rPr>
                <w:rFonts w:ascii="宋体" w:hAnsi="宋体"/>
                <w:color w:val="auto"/>
                <w:szCs w:val="21"/>
                <w:highlight w:val="none"/>
              </w:rPr>
            </w:pPr>
          </w:p>
        </w:tc>
        <w:tc>
          <w:tcPr>
            <w:tcW w:w="1952" w:type="dxa"/>
            <w:tcBorders>
              <w:top w:val="single" w:color="auto" w:sz="4" w:space="0"/>
              <w:left w:val="single" w:color="auto" w:sz="4" w:space="0"/>
              <w:bottom w:val="single" w:color="auto" w:sz="8" w:space="0"/>
              <w:right w:val="single" w:color="auto" w:sz="8" w:space="0"/>
            </w:tcBorders>
            <w:noWrap w:val="0"/>
            <w:vAlign w:val="center"/>
          </w:tcPr>
          <w:p w14:paraId="1F78A6F8">
            <w:pPr>
              <w:jc w:val="center"/>
              <w:rPr>
                <w:rFonts w:ascii="宋体" w:hAnsi="宋体"/>
                <w:color w:val="auto"/>
                <w:szCs w:val="21"/>
                <w:highlight w:val="none"/>
              </w:rPr>
            </w:pPr>
          </w:p>
        </w:tc>
      </w:tr>
    </w:tbl>
    <w:p w14:paraId="41365A22">
      <w:pPr>
        <w:spacing w:line="400" w:lineRule="exact"/>
        <w:ind w:left="840" w:hanging="840" w:hangingChars="400"/>
        <w:rPr>
          <w:rFonts w:ascii="宋体" w:hAnsi="宋体"/>
          <w:color w:val="auto"/>
          <w:szCs w:val="21"/>
          <w:highlight w:val="none"/>
        </w:rPr>
      </w:pPr>
      <w:r>
        <w:rPr>
          <w:rFonts w:hint="eastAsia" w:ascii="宋体" w:hAnsi="宋体"/>
          <w:color w:val="auto"/>
          <w:szCs w:val="21"/>
          <w:highlight w:val="none"/>
        </w:rPr>
        <w:t>备注：</w:t>
      </w:r>
      <w:r>
        <w:rPr>
          <w:color w:val="auto"/>
          <w:szCs w:val="21"/>
          <w:highlight w:val="none"/>
        </w:rPr>
        <w:t xml:space="preserve">1. </w:t>
      </w:r>
      <w:r>
        <w:rPr>
          <w:rFonts w:hint="eastAsia"/>
          <w:color w:val="auto"/>
          <w:szCs w:val="21"/>
          <w:highlight w:val="none"/>
        </w:rPr>
        <w:t>招标文件将近</w:t>
      </w:r>
      <w:r>
        <w:rPr>
          <w:color w:val="auto"/>
          <w:szCs w:val="21"/>
          <w:highlight w:val="none"/>
        </w:rPr>
        <w:t>3</w:t>
      </w:r>
      <w:r>
        <w:rPr>
          <w:rFonts w:hint="eastAsia"/>
          <w:color w:val="auto"/>
          <w:szCs w:val="21"/>
          <w:highlight w:val="none"/>
        </w:rPr>
        <w:t>年发生的</w:t>
      </w:r>
      <w:r>
        <w:rPr>
          <w:rFonts w:hint="eastAsia" w:ascii="宋体" w:hAnsi="宋体"/>
          <w:color w:val="auto"/>
          <w:szCs w:val="21"/>
          <w:highlight w:val="none"/>
        </w:rPr>
        <w:t>诉讼和仲裁情况作为资格条件或评分项的，投标人</w:t>
      </w:r>
      <w:r>
        <w:rPr>
          <w:rFonts w:hint="eastAsia"/>
          <w:color w:val="auto"/>
          <w:szCs w:val="21"/>
          <w:highlight w:val="none"/>
        </w:rPr>
        <w:t>应当如实填报</w:t>
      </w:r>
      <w:r>
        <w:rPr>
          <w:rFonts w:hint="eastAsia" w:ascii="宋体" w:hAnsi="宋体"/>
          <w:color w:val="auto"/>
          <w:szCs w:val="21"/>
          <w:highlight w:val="none"/>
        </w:rPr>
        <w:t>相关情况。</w:t>
      </w:r>
    </w:p>
    <w:p w14:paraId="6BF0CB4A">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2.</w:t>
      </w:r>
      <w:r>
        <w:rPr>
          <w:rFonts w:hint="eastAsia"/>
          <w:color w:val="auto"/>
          <w:szCs w:val="21"/>
          <w:highlight w:val="none"/>
        </w:rPr>
        <w:t>近</w:t>
      </w:r>
      <w:r>
        <w:rPr>
          <w:color w:val="auto"/>
          <w:szCs w:val="21"/>
          <w:highlight w:val="none"/>
        </w:rPr>
        <w:t>3</w:t>
      </w:r>
      <w:r>
        <w:rPr>
          <w:rFonts w:hint="eastAsia"/>
          <w:color w:val="auto"/>
          <w:szCs w:val="21"/>
          <w:highlight w:val="none"/>
        </w:rPr>
        <w:t>年是指从</w:t>
      </w:r>
      <w:r>
        <w:rPr>
          <w:rFonts w:hint="eastAsia" w:ascii="宋体" w:hAnsi="宋体"/>
          <w:color w:val="auto"/>
          <w:szCs w:val="21"/>
          <w:highlight w:val="none"/>
        </w:rPr>
        <w:t>投标截止日</w:t>
      </w:r>
      <w:r>
        <w:rPr>
          <w:rFonts w:hint="eastAsia"/>
          <w:color w:val="auto"/>
          <w:szCs w:val="21"/>
          <w:highlight w:val="none"/>
        </w:rPr>
        <w:t>往前推算</w:t>
      </w:r>
      <w:r>
        <w:rPr>
          <w:color w:val="auto"/>
          <w:szCs w:val="21"/>
          <w:highlight w:val="none"/>
        </w:rPr>
        <w:t>3</w:t>
      </w:r>
      <w:r>
        <w:rPr>
          <w:rFonts w:hint="eastAsia"/>
          <w:color w:val="auto"/>
          <w:szCs w:val="21"/>
          <w:highlight w:val="none"/>
        </w:rPr>
        <w:t>年</w:t>
      </w:r>
      <w:r>
        <w:rPr>
          <w:rFonts w:hint="eastAsia" w:ascii="宋体" w:hAnsi="宋体"/>
          <w:color w:val="auto"/>
          <w:szCs w:val="21"/>
          <w:highlight w:val="none"/>
        </w:rPr>
        <w:t>，例如投标截止日为2014年3月5日，则近3年是指2011年3月5日至2014年3月4日。</w:t>
      </w:r>
    </w:p>
    <w:p w14:paraId="182F49F7">
      <w:pPr>
        <w:spacing w:line="400" w:lineRule="exact"/>
        <w:ind w:left="840" w:leftChars="300" w:hanging="210" w:hangingChars="100"/>
        <w:rPr>
          <w:rFonts w:hint="eastAsia" w:ascii="宋体" w:hAnsi="宋体"/>
          <w:color w:val="auto"/>
          <w:szCs w:val="21"/>
          <w:highlight w:val="none"/>
        </w:rPr>
      </w:pPr>
      <w:r>
        <w:rPr>
          <w:color w:val="auto"/>
          <w:szCs w:val="21"/>
          <w:highlight w:val="none"/>
        </w:rPr>
        <w:t>3.</w:t>
      </w:r>
      <w:r>
        <w:rPr>
          <w:rFonts w:hint="eastAsia" w:ascii="宋体" w:hAnsi="宋体"/>
          <w:color w:val="auto"/>
          <w:szCs w:val="21"/>
          <w:highlight w:val="none"/>
        </w:rPr>
        <w:t>近3年发生的诉讼和仲裁情况仅限于投标人败诉的，且与签订或履行施工承包合同有关的案件，不包括调解结案以及未终审判决的诉讼或未裁决的仲裁。附法院或仲裁机构作出的判</w:t>
      </w:r>
      <w:r>
        <w:rPr>
          <w:rFonts w:hint="eastAsia"/>
          <w:color w:val="auto"/>
          <w:szCs w:val="21"/>
          <w:highlight w:val="none"/>
        </w:rPr>
        <w:t>决或裁决等有关法律文书的扫描件。以仲裁裁决或判决书的制发</w:t>
      </w:r>
      <w:r>
        <w:rPr>
          <w:rFonts w:hint="eastAsia" w:ascii="宋体" w:hAnsi="宋体"/>
          <w:color w:val="auto"/>
          <w:szCs w:val="21"/>
          <w:highlight w:val="none"/>
        </w:rPr>
        <w:t>时间为准。</w:t>
      </w:r>
    </w:p>
    <w:p w14:paraId="4D09FF3A">
      <w:pPr>
        <w:spacing w:line="400" w:lineRule="exact"/>
        <w:ind w:left="525" w:leftChars="250" w:firstLine="105" w:firstLineChars="50"/>
        <w:rPr>
          <w:rFonts w:ascii="宋体" w:hAnsi="宋体"/>
          <w:color w:val="auto"/>
          <w:szCs w:val="21"/>
          <w:highlight w:val="none"/>
        </w:rPr>
      </w:pPr>
    </w:p>
    <w:p w14:paraId="2AE80EE8">
      <w:pPr>
        <w:pStyle w:val="7"/>
        <w:spacing w:after="0" w:line="400" w:lineRule="atLeast"/>
        <w:ind w:left="0" w:leftChars="0"/>
        <w:jc w:val="center"/>
        <w:rPr>
          <w:rFonts w:hint="eastAsia" w:ascii="黑体" w:hAnsi="宋体" w:eastAsia="黑体"/>
          <w:color w:val="auto"/>
          <w:sz w:val="24"/>
          <w:szCs w:val="24"/>
          <w:highlight w:val="none"/>
        </w:rPr>
      </w:pPr>
    </w:p>
    <w:p w14:paraId="19FD6189">
      <w:pPr>
        <w:pStyle w:val="33"/>
        <w:jc w:val="center"/>
        <w:rPr>
          <w:rFonts w:hint="eastAsia" w:ascii="Times New Roman" w:hAnsi="Times New Roman"/>
          <w:color w:val="auto"/>
          <w:szCs w:val="24"/>
          <w:highlight w:val="none"/>
        </w:rPr>
      </w:pPr>
      <w:bookmarkStart w:id="2509" w:name="_Toc28532452"/>
      <w:bookmarkStart w:id="2510" w:name="_Toc14745"/>
      <w:r>
        <w:rPr>
          <w:color w:val="auto"/>
          <w:szCs w:val="24"/>
          <w:highlight w:val="none"/>
        </w:rPr>
        <w:t>5-</w:t>
      </w:r>
      <w:r>
        <w:rPr>
          <w:rFonts w:hint="eastAsia"/>
          <w:color w:val="auto"/>
          <w:szCs w:val="24"/>
          <w:highlight w:val="none"/>
        </w:rPr>
        <w:t>3近5年投标人工程获奖情况表</w:t>
      </w:r>
      <w:bookmarkEnd w:id="2509"/>
      <w:bookmarkEnd w:id="2510"/>
    </w:p>
    <w:p w14:paraId="19BAB790">
      <w:pPr>
        <w:pStyle w:val="7"/>
        <w:spacing w:after="0" w:line="400" w:lineRule="atLeast"/>
        <w:ind w:left="0" w:leftChars="0"/>
        <w:jc w:val="center"/>
        <w:rPr>
          <w:rFonts w:eastAsia="黑体"/>
          <w:color w:val="auto"/>
          <w:sz w:val="24"/>
          <w:szCs w:val="24"/>
          <w:highlight w:val="none"/>
        </w:rPr>
      </w:pP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3CD8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4CC89450">
            <w:pPr>
              <w:topLinePunct/>
              <w:spacing w:line="400" w:lineRule="atLeast"/>
              <w:jc w:val="center"/>
              <w:rPr>
                <w:color w:val="auto"/>
                <w:szCs w:val="21"/>
                <w:highlight w:val="none"/>
              </w:rPr>
            </w:pPr>
            <w:r>
              <w:rPr>
                <w:rFonts w:hint="eastAsia"/>
                <w:color w:val="auto"/>
                <w:szCs w:val="21"/>
                <w:highlight w:val="none"/>
              </w:rPr>
              <w:t>序号</w:t>
            </w:r>
          </w:p>
        </w:tc>
        <w:tc>
          <w:tcPr>
            <w:tcW w:w="2402" w:type="dxa"/>
            <w:tcBorders>
              <w:top w:val="single" w:color="auto" w:sz="4" w:space="0"/>
              <w:left w:val="single" w:color="auto" w:sz="4" w:space="0"/>
              <w:bottom w:val="single" w:color="auto" w:sz="4" w:space="0"/>
              <w:right w:val="single" w:color="auto" w:sz="4" w:space="0"/>
            </w:tcBorders>
            <w:noWrap w:val="0"/>
            <w:vAlign w:val="top"/>
          </w:tcPr>
          <w:p w14:paraId="4E3B230F">
            <w:pPr>
              <w:topLinePunct/>
              <w:spacing w:line="400" w:lineRule="atLeast"/>
              <w:jc w:val="center"/>
              <w:rPr>
                <w:color w:val="auto"/>
                <w:szCs w:val="21"/>
                <w:highlight w:val="none"/>
              </w:rPr>
            </w:pPr>
            <w:r>
              <w:rPr>
                <w:rFonts w:hint="eastAsia"/>
                <w:color w:val="auto"/>
                <w:szCs w:val="21"/>
                <w:highlight w:val="none"/>
              </w:rPr>
              <w:t>项目名称</w:t>
            </w:r>
          </w:p>
        </w:tc>
        <w:tc>
          <w:tcPr>
            <w:tcW w:w="1800" w:type="dxa"/>
            <w:tcBorders>
              <w:top w:val="single" w:color="auto" w:sz="4" w:space="0"/>
              <w:left w:val="single" w:color="auto" w:sz="4" w:space="0"/>
              <w:bottom w:val="single" w:color="auto" w:sz="4" w:space="0"/>
              <w:right w:val="single" w:color="auto" w:sz="4" w:space="0"/>
            </w:tcBorders>
            <w:noWrap w:val="0"/>
            <w:vAlign w:val="top"/>
          </w:tcPr>
          <w:p w14:paraId="65444FA0">
            <w:pPr>
              <w:topLinePunct/>
              <w:spacing w:line="400" w:lineRule="atLeast"/>
              <w:jc w:val="center"/>
              <w:rPr>
                <w:color w:val="auto"/>
                <w:szCs w:val="21"/>
                <w:highlight w:val="none"/>
              </w:rPr>
            </w:pPr>
            <w:r>
              <w:rPr>
                <w:rFonts w:hint="eastAsia"/>
                <w:color w:val="auto"/>
                <w:szCs w:val="21"/>
                <w:highlight w:val="none"/>
              </w:rPr>
              <w:t>获奖名称</w:t>
            </w:r>
          </w:p>
        </w:tc>
        <w:tc>
          <w:tcPr>
            <w:tcW w:w="1440" w:type="dxa"/>
            <w:tcBorders>
              <w:top w:val="single" w:color="auto" w:sz="4" w:space="0"/>
              <w:left w:val="single" w:color="auto" w:sz="4" w:space="0"/>
              <w:bottom w:val="single" w:color="auto" w:sz="4" w:space="0"/>
              <w:right w:val="single" w:color="auto" w:sz="4" w:space="0"/>
            </w:tcBorders>
            <w:noWrap w:val="0"/>
            <w:vAlign w:val="top"/>
          </w:tcPr>
          <w:p w14:paraId="34D035ED">
            <w:pPr>
              <w:topLinePunct/>
              <w:spacing w:line="400" w:lineRule="atLeast"/>
              <w:jc w:val="center"/>
              <w:rPr>
                <w:color w:val="auto"/>
                <w:szCs w:val="21"/>
                <w:highlight w:val="none"/>
              </w:rPr>
            </w:pPr>
            <w:r>
              <w:rPr>
                <w:rFonts w:hint="eastAsia"/>
                <w:color w:val="auto"/>
                <w:szCs w:val="21"/>
                <w:highlight w:val="none"/>
              </w:rPr>
              <w:t>获奖日期</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4FE3D6E2">
            <w:pPr>
              <w:topLinePunct/>
              <w:spacing w:line="400" w:lineRule="atLeast"/>
              <w:jc w:val="center"/>
              <w:rPr>
                <w:color w:val="auto"/>
                <w:szCs w:val="21"/>
                <w:highlight w:val="none"/>
              </w:rPr>
            </w:pPr>
            <w:r>
              <w:rPr>
                <w:rFonts w:hint="eastAsia"/>
                <w:color w:val="auto"/>
                <w:szCs w:val="21"/>
                <w:highlight w:val="none"/>
              </w:rPr>
              <w:t>颁奖单位</w:t>
            </w:r>
          </w:p>
        </w:tc>
      </w:tr>
      <w:tr w14:paraId="7E8D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63B91582">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07B46746">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038E9F76">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24FB63F6">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FEB9273">
            <w:pPr>
              <w:topLinePunct/>
              <w:spacing w:line="400" w:lineRule="atLeast"/>
              <w:jc w:val="center"/>
              <w:rPr>
                <w:color w:val="auto"/>
                <w:szCs w:val="21"/>
                <w:highlight w:val="none"/>
              </w:rPr>
            </w:pPr>
          </w:p>
        </w:tc>
      </w:tr>
      <w:tr w14:paraId="121A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1F4FB01E">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75CDADDD">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5B1DB18A">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077E3E93">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66293375">
            <w:pPr>
              <w:topLinePunct/>
              <w:spacing w:line="400" w:lineRule="atLeast"/>
              <w:jc w:val="center"/>
              <w:rPr>
                <w:color w:val="auto"/>
                <w:szCs w:val="21"/>
                <w:highlight w:val="none"/>
              </w:rPr>
            </w:pPr>
          </w:p>
        </w:tc>
      </w:tr>
      <w:tr w14:paraId="3ED83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011DEF19">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184347DC">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44B62558">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731BBF7B">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54F5C33A">
            <w:pPr>
              <w:topLinePunct/>
              <w:spacing w:line="400" w:lineRule="atLeast"/>
              <w:jc w:val="center"/>
              <w:rPr>
                <w:color w:val="auto"/>
                <w:szCs w:val="21"/>
                <w:highlight w:val="none"/>
              </w:rPr>
            </w:pPr>
          </w:p>
        </w:tc>
      </w:tr>
      <w:tr w14:paraId="5746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1DA77085">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48C352C8">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2B3EA26E">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73935BCD">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5DF54825">
            <w:pPr>
              <w:topLinePunct/>
              <w:spacing w:line="400" w:lineRule="atLeast"/>
              <w:jc w:val="center"/>
              <w:rPr>
                <w:color w:val="auto"/>
                <w:szCs w:val="21"/>
                <w:highlight w:val="none"/>
              </w:rPr>
            </w:pPr>
          </w:p>
        </w:tc>
      </w:tr>
      <w:tr w14:paraId="2838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50BDB8D8">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3F18A6F4">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1E5D5F54">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47EBE011">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B41DCDF">
            <w:pPr>
              <w:topLinePunct/>
              <w:spacing w:line="400" w:lineRule="atLeast"/>
              <w:jc w:val="center"/>
              <w:rPr>
                <w:color w:val="auto"/>
                <w:szCs w:val="21"/>
                <w:highlight w:val="none"/>
              </w:rPr>
            </w:pPr>
          </w:p>
        </w:tc>
      </w:tr>
      <w:tr w14:paraId="590F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79DA095C">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266E2775">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0B41E760">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1397576B">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866466A">
            <w:pPr>
              <w:topLinePunct/>
              <w:spacing w:line="400" w:lineRule="atLeast"/>
              <w:jc w:val="center"/>
              <w:rPr>
                <w:color w:val="auto"/>
                <w:szCs w:val="21"/>
                <w:highlight w:val="none"/>
              </w:rPr>
            </w:pPr>
          </w:p>
        </w:tc>
      </w:tr>
      <w:tr w14:paraId="3EC9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48CCF2EE">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319C55B1">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098A8027">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10A7A835">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515DAE9C">
            <w:pPr>
              <w:topLinePunct/>
              <w:spacing w:line="400" w:lineRule="atLeast"/>
              <w:jc w:val="center"/>
              <w:rPr>
                <w:color w:val="auto"/>
                <w:szCs w:val="21"/>
                <w:highlight w:val="none"/>
              </w:rPr>
            </w:pPr>
          </w:p>
        </w:tc>
      </w:tr>
      <w:tr w14:paraId="1EDB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0F30F6D4">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7103C27D">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3B1B029A">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0D4BE693">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74373FC3">
            <w:pPr>
              <w:topLinePunct/>
              <w:spacing w:line="400" w:lineRule="atLeast"/>
              <w:jc w:val="center"/>
              <w:rPr>
                <w:color w:val="auto"/>
                <w:szCs w:val="21"/>
                <w:highlight w:val="none"/>
              </w:rPr>
            </w:pPr>
          </w:p>
        </w:tc>
      </w:tr>
      <w:tr w14:paraId="2BF68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25B67A48">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24D0D35D">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0C8FC821">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47AC6BF3">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AB180E4">
            <w:pPr>
              <w:topLinePunct/>
              <w:spacing w:line="400" w:lineRule="atLeast"/>
              <w:jc w:val="center"/>
              <w:rPr>
                <w:color w:val="auto"/>
                <w:szCs w:val="21"/>
                <w:highlight w:val="none"/>
              </w:rPr>
            </w:pPr>
          </w:p>
        </w:tc>
      </w:tr>
      <w:tr w14:paraId="0CF3A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43E5C379">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4E368C03">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0539DE4B">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3D3C0DFA">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01B2F982">
            <w:pPr>
              <w:topLinePunct/>
              <w:spacing w:line="400" w:lineRule="atLeast"/>
              <w:jc w:val="center"/>
              <w:rPr>
                <w:color w:val="auto"/>
                <w:szCs w:val="21"/>
                <w:highlight w:val="none"/>
              </w:rPr>
            </w:pPr>
          </w:p>
        </w:tc>
      </w:tr>
      <w:tr w14:paraId="58962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5B330437">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6BD7C3D8">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2EC5D0CF">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01FDBCA8">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2AD6C144">
            <w:pPr>
              <w:topLinePunct/>
              <w:spacing w:line="400" w:lineRule="atLeast"/>
              <w:jc w:val="center"/>
              <w:rPr>
                <w:color w:val="auto"/>
                <w:szCs w:val="21"/>
                <w:highlight w:val="none"/>
              </w:rPr>
            </w:pPr>
          </w:p>
        </w:tc>
      </w:tr>
      <w:tr w14:paraId="276E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57AE7B88">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40FB6D2D">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49EDDFAD">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0C169CBE">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760043AF">
            <w:pPr>
              <w:topLinePunct/>
              <w:spacing w:line="400" w:lineRule="atLeast"/>
              <w:jc w:val="center"/>
              <w:rPr>
                <w:color w:val="auto"/>
                <w:szCs w:val="21"/>
                <w:highlight w:val="none"/>
              </w:rPr>
            </w:pPr>
          </w:p>
        </w:tc>
      </w:tr>
      <w:tr w14:paraId="482FF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10D4295D">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5F482499">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718DEC6C">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646C2B63">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57AD2240">
            <w:pPr>
              <w:topLinePunct/>
              <w:spacing w:line="400" w:lineRule="atLeast"/>
              <w:jc w:val="center"/>
              <w:rPr>
                <w:color w:val="auto"/>
                <w:szCs w:val="21"/>
                <w:highlight w:val="none"/>
              </w:rPr>
            </w:pPr>
          </w:p>
        </w:tc>
      </w:tr>
    </w:tbl>
    <w:p w14:paraId="263BC7E4">
      <w:pPr>
        <w:pStyle w:val="9"/>
        <w:ind w:firstLine="0"/>
        <w:rPr>
          <w:rFonts w:ascii="Times New Roman" w:hAnsi="Times New Roman" w:eastAsia="黑体"/>
          <w:color w:val="auto"/>
          <w:sz w:val="24"/>
          <w:szCs w:val="24"/>
          <w:highlight w:val="none"/>
        </w:rPr>
      </w:pPr>
    </w:p>
    <w:p w14:paraId="24FA7DDD">
      <w:pPr>
        <w:spacing w:line="400" w:lineRule="atLeast"/>
        <w:ind w:left="840" w:hanging="840" w:hangingChars="400"/>
        <w:rPr>
          <w:color w:val="auto"/>
          <w:szCs w:val="21"/>
          <w:highlight w:val="none"/>
        </w:rPr>
      </w:pPr>
      <w:r>
        <w:rPr>
          <w:rFonts w:hint="eastAsia"/>
          <w:color w:val="auto"/>
          <w:highlight w:val="none"/>
        </w:rPr>
        <w:t>备注：</w:t>
      </w:r>
      <w:r>
        <w:rPr>
          <w:color w:val="auto"/>
          <w:szCs w:val="21"/>
          <w:highlight w:val="none"/>
        </w:rPr>
        <w:t xml:space="preserve">1. </w:t>
      </w:r>
      <w:r>
        <w:rPr>
          <w:rFonts w:hint="eastAsia"/>
          <w:color w:val="auto"/>
          <w:szCs w:val="21"/>
          <w:highlight w:val="none"/>
        </w:rPr>
        <w:t>近</w:t>
      </w:r>
      <w:r>
        <w:rPr>
          <w:color w:val="auto"/>
          <w:szCs w:val="21"/>
          <w:highlight w:val="none"/>
        </w:rPr>
        <w:t>5</w:t>
      </w:r>
      <w:r>
        <w:rPr>
          <w:rFonts w:hint="eastAsia"/>
          <w:color w:val="auto"/>
          <w:szCs w:val="21"/>
          <w:highlight w:val="none"/>
        </w:rPr>
        <w:t>年是指从投标截止日往前推算的</w:t>
      </w:r>
      <w:r>
        <w:rPr>
          <w:color w:val="auto"/>
          <w:szCs w:val="21"/>
          <w:highlight w:val="none"/>
        </w:rPr>
        <w:t>5</w:t>
      </w:r>
      <w:r>
        <w:rPr>
          <w:rFonts w:hint="eastAsia"/>
          <w:color w:val="auto"/>
          <w:szCs w:val="21"/>
          <w:highlight w:val="none"/>
        </w:rPr>
        <w:t>年，如投标截止日为</w:t>
      </w:r>
      <w:r>
        <w:rPr>
          <w:color w:val="auto"/>
          <w:szCs w:val="21"/>
          <w:highlight w:val="none"/>
        </w:rPr>
        <w:t>2014</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5</w:t>
      </w:r>
      <w:r>
        <w:rPr>
          <w:rFonts w:hint="eastAsia"/>
          <w:color w:val="auto"/>
          <w:szCs w:val="21"/>
          <w:highlight w:val="none"/>
        </w:rPr>
        <w:t>日，则近</w:t>
      </w:r>
      <w:r>
        <w:rPr>
          <w:color w:val="auto"/>
          <w:szCs w:val="21"/>
          <w:highlight w:val="none"/>
        </w:rPr>
        <w:t>5</w:t>
      </w:r>
      <w:r>
        <w:rPr>
          <w:rFonts w:hint="eastAsia"/>
          <w:color w:val="auto"/>
          <w:szCs w:val="21"/>
          <w:highlight w:val="none"/>
        </w:rPr>
        <w:t>年是指</w:t>
      </w:r>
      <w:r>
        <w:rPr>
          <w:color w:val="auto"/>
          <w:szCs w:val="21"/>
          <w:highlight w:val="none"/>
        </w:rPr>
        <w:t>2009</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5</w:t>
      </w:r>
      <w:r>
        <w:rPr>
          <w:rFonts w:hint="eastAsia"/>
          <w:color w:val="auto"/>
          <w:szCs w:val="21"/>
          <w:highlight w:val="none"/>
        </w:rPr>
        <w:t>日至</w:t>
      </w:r>
      <w:r>
        <w:rPr>
          <w:color w:val="auto"/>
          <w:szCs w:val="21"/>
          <w:highlight w:val="none"/>
        </w:rPr>
        <w:t>2014</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4</w:t>
      </w:r>
      <w:r>
        <w:rPr>
          <w:rFonts w:hint="eastAsia"/>
          <w:color w:val="auto"/>
          <w:szCs w:val="21"/>
          <w:highlight w:val="none"/>
        </w:rPr>
        <w:t>日。</w:t>
      </w:r>
    </w:p>
    <w:p w14:paraId="33E7BFB7">
      <w:pPr>
        <w:spacing w:line="400" w:lineRule="atLeast"/>
        <w:ind w:left="840" w:leftChars="300" w:hanging="210" w:hangingChars="100"/>
        <w:rPr>
          <w:color w:val="auto"/>
          <w:szCs w:val="21"/>
          <w:highlight w:val="none"/>
        </w:rPr>
      </w:pPr>
      <w:r>
        <w:rPr>
          <w:color w:val="auto"/>
          <w:szCs w:val="21"/>
          <w:highlight w:val="none"/>
        </w:rPr>
        <w:t xml:space="preserve">2. </w:t>
      </w:r>
      <w:r>
        <w:rPr>
          <w:rFonts w:hint="eastAsia"/>
          <w:color w:val="auto"/>
          <w:szCs w:val="21"/>
          <w:highlight w:val="none"/>
        </w:rPr>
        <w:t>本表后应附中标通知书（如有）、合同协议书、施工许可证（如有）、工程接收证书或工程竣工验收证书（工程竣工验收备案证）、表彰文件、获奖证书及其他证明材料等扫描件。</w:t>
      </w:r>
      <w:r>
        <w:rPr>
          <w:rFonts w:hint="eastAsia" w:cs="宋体"/>
          <w:color w:val="auto"/>
          <w:kern w:val="0"/>
          <w:szCs w:val="21"/>
          <w:highlight w:val="none"/>
        </w:rPr>
        <w:t>招标发包的工程应附中标通知书，工程总承包发包、施工总承包发包、独立发包的施工专业承包应附</w:t>
      </w:r>
      <w:r>
        <w:rPr>
          <w:rFonts w:hint="eastAsia"/>
          <w:color w:val="auto"/>
          <w:highlight w:val="none"/>
        </w:rPr>
        <w:t>施工许可证</w:t>
      </w:r>
      <w:r>
        <w:rPr>
          <w:rFonts w:hint="eastAsia" w:cs="宋体"/>
          <w:color w:val="auto"/>
          <w:kern w:val="0"/>
          <w:szCs w:val="21"/>
          <w:highlight w:val="none"/>
        </w:rPr>
        <w:t>。</w:t>
      </w:r>
      <w:r>
        <w:rPr>
          <w:rFonts w:hint="eastAsia"/>
          <w:color w:val="auto"/>
          <w:szCs w:val="21"/>
          <w:highlight w:val="none"/>
        </w:rPr>
        <w:t>以表彰文件、获奖证书的颁发时间为准。</w:t>
      </w:r>
    </w:p>
    <w:p w14:paraId="5983129D">
      <w:pPr>
        <w:spacing w:line="400" w:lineRule="atLeast"/>
        <w:ind w:left="630" w:leftChars="300"/>
        <w:rPr>
          <w:color w:val="auto"/>
          <w:szCs w:val="21"/>
          <w:highlight w:val="none"/>
        </w:rPr>
      </w:pPr>
      <w:r>
        <w:rPr>
          <w:color w:val="auto"/>
          <w:szCs w:val="21"/>
          <w:highlight w:val="none"/>
        </w:rPr>
        <w:t xml:space="preserve">3. </w:t>
      </w:r>
      <w:r>
        <w:rPr>
          <w:rFonts w:hint="eastAsia"/>
          <w:color w:val="auto"/>
          <w:szCs w:val="21"/>
          <w:highlight w:val="none"/>
        </w:rPr>
        <w:t>颁奖单位应当是国家机关或民政部门注册登记的合法颁奖单位。</w:t>
      </w:r>
    </w:p>
    <w:p w14:paraId="2C8F67CD">
      <w:pPr>
        <w:pStyle w:val="33"/>
        <w:jc w:val="center"/>
        <w:rPr>
          <w:rFonts w:hint="eastAsia" w:ascii="Times New Roman" w:hAnsi="Times New Roman"/>
          <w:color w:val="auto"/>
          <w:szCs w:val="24"/>
          <w:highlight w:val="none"/>
        </w:rPr>
      </w:pPr>
      <w:bookmarkStart w:id="2511" w:name="_Toc28532453"/>
      <w:bookmarkStart w:id="2512" w:name="_Toc8318"/>
      <w:r>
        <w:rPr>
          <w:color w:val="auto"/>
          <w:szCs w:val="24"/>
          <w:highlight w:val="none"/>
        </w:rPr>
        <w:t>5-</w:t>
      </w:r>
      <w:r>
        <w:rPr>
          <w:rFonts w:hint="eastAsia"/>
          <w:color w:val="auto"/>
          <w:szCs w:val="24"/>
          <w:highlight w:val="none"/>
        </w:rPr>
        <w:t>4</w:t>
      </w:r>
      <w:r>
        <w:rPr>
          <w:color w:val="auto"/>
          <w:szCs w:val="24"/>
          <w:highlight w:val="none"/>
        </w:rPr>
        <w:t xml:space="preserve"> </w:t>
      </w:r>
      <w:r>
        <w:rPr>
          <w:rFonts w:hint="eastAsia"/>
          <w:color w:val="auto"/>
          <w:szCs w:val="24"/>
          <w:highlight w:val="none"/>
        </w:rPr>
        <w:t>近5年项目经理工程获奖情况表</w:t>
      </w:r>
      <w:bookmarkEnd w:id="2511"/>
      <w:bookmarkEnd w:id="2512"/>
    </w:p>
    <w:p w14:paraId="7F2B9C46">
      <w:pPr>
        <w:pStyle w:val="7"/>
        <w:spacing w:after="0" w:line="400" w:lineRule="atLeast"/>
        <w:ind w:left="0" w:leftChars="0"/>
        <w:jc w:val="center"/>
        <w:rPr>
          <w:rFonts w:eastAsia="黑体"/>
          <w:color w:val="auto"/>
          <w:sz w:val="24"/>
          <w:szCs w:val="24"/>
          <w:highlight w:val="none"/>
        </w:rPr>
      </w:pP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5BAEA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08C373C2">
            <w:pPr>
              <w:topLinePunct/>
              <w:spacing w:line="400" w:lineRule="atLeast"/>
              <w:jc w:val="center"/>
              <w:rPr>
                <w:color w:val="auto"/>
                <w:szCs w:val="21"/>
                <w:highlight w:val="none"/>
              </w:rPr>
            </w:pPr>
            <w:r>
              <w:rPr>
                <w:rFonts w:hint="eastAsia"/>
                <w:color w:val="auto"/>
                <w:szCs w:val="21"/>
                <w:highlight w:val="none"/>
              </w:rPr>
              <w:t>序号</w:t>
            </w:r>
          </w:p>
        </w:tc>
        <w:tc>
          <w:tcPr>
            <w:tcW w:w="2402" w:type="dxa"/>
            <w:tcBorders>
              <w:top w:val="single" w:color="auto" w:sz="4" w:space="0"/>
              <w:left w:val="single" w:color="auto" w:sz="4" w:space="0"/>
              <w:bottom w:val="single" w:color="auto" w:sz="4" w:space="0"/>
              <w:right w:val="single" w:color="auto" w:sz="4" w:space="0"/>
            </w:tcBorders>
            <w:noWrap w:val="0"/>
            <w:vAlign w:val="top"/>
          </w:tcPr>
          <w:p w14:paraId="2EBF12F0">
            <w:pPr>
              <w:topLinePunct/>
              <w:spacing w:line="400" w:lineRule="atLeast"/>
              <w:jc w:val="center"/>
              <w:rPr>
                <w:color w:val="auto"/>
                <w:szCs w:val="21"/>
                <w:highlight w:val="none"/>
              </w:rPr>
            </w:pPr>
            <w:r>
              <w:rPr>
                <w:rFonts w:hint="eastAsia"/>
                <w:color w:val="auto"/>
                <w:szCs w:val="21"/>
                <w:highlight w:val="none"/>
              </w:rPr>
              <w:t>项目名称</w:t>
            </w:r>
          </w:p>
        </w:tc>
        <w:tc>
          <w:tcPr>
            <w:tcW w:w="1800" w:type="dxa"/>
            <w:tcBorders>
              <w:top w:val="single" w:color="auto" w:sz="4" w:space="0"/>
              <w:left w:val="single" w:color="auto" w:sz="4" w:space="0"/>
              <w:bottom w:val="single" w:color="auto" w:sz="4" w:space="0"/>
              <w:right w:val="single" w:color="auto" w:sz="4" w:space="0"/>
            </w:tcBorders>
            <w:noWrap w:val="0"/>
            <w:vAlign w:val="top"/>
          </w:tcPr>
          <w:p w14:paraId="33BF6497">
            <w:pPr>
              <w:topLinePunct/>
              <w:spacing w:line="400" w:lineRule="atLeast"/>
              <w:jc w:val="center"/>
              <w:rPr>
                <w:color w:val="auto"/>
                <w:szCs w:val="21"/>
                <w:highlight w:val="none"/>
              </w:rPr>
            </w:pPr>
            <w:r>
              <w:rPr>
                <w:rFonts w:hint="eastAsia"/>
                <w:color w:val="auto"/>
                <w:szCs w:val="21"/>
                <w:highlight w:val="none"/>
              </w:rPr>
              <w:t>获奖名称</w:t>
            </w:r>
          </w:p>
        </w:tc>
        <w:tc>
          <w:tcPr>
            <w:tcW w:w="1440" w:type="dxa"/>
            <w:tcBorders>
              <w:top w:val="single" w:color="auto" w:sz="4" w:space="0"/>
              <w:left w:val="single" w:color="auto" w:sz="4" w:space="0"/>
              <w:bottom w:val="single" w:color="auto" w:sz="4" w:space="0"/>
              <w:right w:val="single" w:color="auto" w:sz="4" w:space="0"/>
            </w:tcBorders>
            <w:noWrap w:val="0"/>
            <w:vAlign w:val="top"/>
          </w:tcPr>
          <w:p w14:paraId="364A9136">
            <w:pPr>
              <w:topLinePunct/>
              <w:spacing w:line="400" w:lineRule="atLeast"/>
              <w:jc w:val="center"/>
              <w:rPr>
                <w:color w:val="auto"/>
                <w:szCs w:val="21"/>
                <w:highlight w:val="none"/>
              </w:rPr>
            </w:pPr>
            <w:r>
              <w:rPr>
                <w:rFonts w:hint="eastAsia"/>
                <w:color w:val="auto"/>
                <w:szCs w:val="21"/>
                <w:highlight w:val="none"/>
              </w:rPr>
              <w:t>获奖日期</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5D80DAD7">
            <w:pPr>
              <w:topLinePunct/>
              <w:spacing w:line="400" w:lineRule="atLeast"/>
              <w:jc w:val="center"/>
              <w:rPr>
                <w:color w:val="auto"/>
                <w:szCs w:val="21"/>
                <w:highlight w:val="none"/>
              </w:rPr>
            </w:pPr>
            <w:r>
              <w:rPr>
                <w:rFonts w:hint="eastAsia"/>
                <w:color w:val="auto"/>
                <w:szCs w:val="21"/>
                <w:highlight w:val="none"/>
              </w:rPr>
              <w:t>颁奖单位</w:t>
            </w:r>
          </w:p>
        </w:tc>
      </w:tr>
      <w:tr w14:paraId="7EB6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773E11EB">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6AC5BED0">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5410E62D">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3B222CE9">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9169A52">
            <w:pPr>
              <w:topLinePunct/>
              <w:spacing w:line="400" w:lineRule="atLeast"/>
              <w:jc w:val="center"/>
              <w:rPr>
                <w:color w:val="auto"/>
                <w:szCs w:val="21"/>
                <w:highlight w:val="none"/>
              </w:rPr>
            </w:pPr>
          </w:p>
        </w:tc>
      </w:tr>
      <w:tr w14:paraId="59BF5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1E58E4E8">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4C72377D">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26347954">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4DCEAC4F">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3E7021BD">
            <w:pPr>
              <w:topLinePunct/>
              <w:spacing w:line="400" w:lineRule="atLeast"/>
              <w:jc w:val="center"/>
              <w:rPr>
                <w:color w:val="auto"/>
                <w:szCs w:val="21"/>
                <w:highlight w:val="none"/>
              </w:rPr>
            </w:pPr>
          </w:p>
        </w:tc>
      </w:tr>
      <w:tr w14:paraId="3834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230841B2">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642BD273">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26029F3D">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15898F02">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8A2C1C3">
            <w:pPr>
              <w:topLinePunct/>
              <w:spacing w:line="400" w:lineRule="atLeast"/>
              <w:jc w:val="center"/>
              <w:rPr>
                <w:color w:val="auto"/>
                <w:szCs w:val="21"/>
                <w:highlight w:val="none"/>
              </w:rPr>
            </w:pPr>
          </w:p>
        </w:tc>
      </w:tr>
      <w:tr w14:paraId="6F02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459EE634">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717BDDC1">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30E42835">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23183B80">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6DF46C52">
            <w:pPr>
              <w:topLinePunct/>
              <w:spacing w:line="400" w:lineRule="atLeast"/>
              <w:jc w:val="center"/>
              <w:rPr>
                <w:color w:val="auto"/>
                <w:szCs w:val="21"/>
                <w:highlight w:val="none"/>
              </w:rPr>
            </w:pPr>
          </w:p>
        </w:tc>
      </w:tr>
      <w:tr w14:paraId="2295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2DA54A1B">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7853B4C9">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49920A6C">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33DA1BD6">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3C79D6F8">
            <w:pPr>
              <w:topLinePunct/>
              <w:spacing w:line="400" w:lineRule="atLeast"/>
              <w:jc w:val="center"/>
              <w:rPr>
                <w:color w:val="auto"/>
                <w:szCs w:val="21"/>
                <w:highlight w:val="none"/>
              </w:rPr>
            </w:pPr>
          </w:p>
        </w:tc>
      </w:tr>
      <w:tr w14:paraId="6F4D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3AF622C0">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3600F31F">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7259F2BB">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78F09732">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028402F0">
            <w:pPr>
              <w:topLinePunct/>
              <w:spacing w:line="400" w:lineRule="atLeast"/>
              <w:jc w:val="center"/>
              <w:rPr>
                <w:color w:val="auto"/>
                <w:szCs w:val="21"/>
                <w:highlight w:val="none"/>
              </w:rPr>
            </w:pPr>
          </w:p>
        </w:tc>
      </w:tr>
      <w:tr w14:paraId="46D9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2D6330F6">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694F3251">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67FF3A4D">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345898EC">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416DCC7D">
            <w:pPr>
              <w:topLinePunct/>
              <w:spacing w:line="400" w:lineRule="atLeast"/>
              <w:jc w:val="center"/>
              <w:rPr>
                <w:color w:val="auto"/>
                <w:szCs w:val="21"/>
                <w:highlight w:val="none"/>
              </w:rPr>
            </w:pPr>
          </w:p>
        </w:tc>
      </w:tr>
      <w:tr w14:paraId="2451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6541FA37">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5A818E29">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4D76917C">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49B49777">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0881B07B">
            <w:pPr>
              <w:topLinePunct/>
              <w:spacing w:line="400" w:lineRule="atLeast"/>
              <w:jc w:val="center"/>
              <w:rPr>
                <w:color w:val="auto"/>
                <w:szCs w:val="21"/>
                <w:highlight w:val="none"/>
              </w:rPr>
            </w:pPr>
          </w:p>
        </w:tc>
      </w:tr>
      <w:tr w14:paraId="440F5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7E866F4C">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57FA9728">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7D76C370">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58052071">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B30AE5E">
            <w:pPr>
              <w:topLinePunct/>
              <w:spacing w:line="400" w:lineRule="atLeast"/>
              <w:jc w:val="center"/>
              <w:rPr>
                <w:color w:val="auto"/>
                <w:szCs w:val="21"/>
                <w:highlight w:val="none"/>
              </w:rPr>
            </w:pPr>
          </w:p>
        </w:tc>
      </w:tr>
      <w:tr w14:paraId="3A82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7735AF38">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2E4A0FE6">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6916DDF6">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17087316">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4463D108">
            <w:pPr>
              <w:topLinePunct/>
              <w:spacing w:line="400" w:lineRule="atLeast"/>
              <w:jc w:val="center"/>
              <w:rPr>
                <w:color w:val="auto"/>
                <w:szCs w:val="21"/>
                <w:highlight w:val="none"/>
              </w:rPr>
            </w:pPr>
          </w:p>
        </w:tc>
      </w:tr>
      <w:tr w14:paraId="0EF1A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13751943">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7E53D436">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16213480">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50241E74">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6CD9AED3">
            <w:pPr>
              <w:topLinePunct/>
              <w:spacing w:line="400" w:lineRule="atLeast"/>
              <w:jc w:val="center"/>
              <w:rPr>
                <w:color w:val="auto"/>
                <w:szCs w:val="21"/>
                <w:highlight w:val="none"/>
              </w:rPr>
            </w:pPr>
          </w:p>
        </w:tc>
      </w:tr>
      <w:tr w14:paraId="7D34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46DD5731">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0C8AED94">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624062A2">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5E0C1E0A">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5BF5873">
            <w:pPr>
              <w:topLinePunct/>
              <w:spacing w:line="400" w:lineRule="atLeast"/>
              <w:jc w:val="center"/>
              <w:rPr>
                <w:color w:val="auto"/>
                <w:szCs w:val="21"/>
                <w:highlight w:val="none"/>
              </w:rPr>
            </w:pPr>
          </w:p>
        </w:tc>
      </w:tr>
      <w:tr w14:paraId="73A0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7341ECB0">
            <w:pPr>
              <w:topLinePunct/>
              <w:spacing w:line="400" w:lineRule="atLeast"/>
              <w:jc w:val="center"/>
              <w:rPr>
                <w:color w:val="auto"/>
                <w:szCs w:val="21"/>
                <w:highlight w:val="none"/>
              </w:rPr>
            </w:pPr>
          </w:p>
        </w:tc>
        <w:tc>
          <w:tcPr>
            <w:tcW w:w="2402" w:type="dxa"/>
            <w:tcBorders>
              <w:top w:val="single" w:color="auto" w:sz="4" w:space="0"/>
              <w:left w:val="single" w:color="auto" w:sz="4" w:space="0"/>
              <w:bottom w:val="single" w:color="auto" w:sz="4" w:space="0"/>
              <w:right w:val="single" w:color="auto" w:sz="4" w:space="0"/>
            </w:tcBorders>
            <w:noWrap w:val="0"/>
            <w:vAlign w:val="top"/>
          </w:tcPr>
          <w:p w14:paraId="5967C2C3">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155912F0">
            <w:pPr>
              <w:topLinePunct/>
              <w:spacing w:line="400" w:lineRule="atLeast"/>
              <w:jc w:val="center"/>
              <w:rPr>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14:paraId="393FBA08">
            <w:pPr>
              <w:topLinePunct/>
              <w:spacing w:line="400" w:lineRule="atLeast"/>
              <w:jc w:val="center"/>
              <w:rPr>
                <w:color w:val="auto"/>
                <w:szCs w:val="21"/>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145F08CE">
            <w:pPr>
              <w:topLinePunct/>
              <w:spacing w:line="400" w:lineRule="atLeast"/>
              <w:jc w:val="center"/>
              <w:rPr>
                <w:color w:val="auto"/>
                <w:szCs w:val="21"/>
                <w:highlight w:val="none"/>
              </w:rPr>
            </w:pPr>
          </w:p>
        </w:tc>
      </w:tr>
    </w:tbl>
    <w:p w14:paraId="6EBFDBA6">
      <w:pPr>
        <w:pStyle w:val="9"/>
        <w:ind w:firstLine="0"/>
        <w:rPr>
          <w:rFonts w:ascii="Times New Roman" w:hAnsi="Times New Roman" w:eastAsia="黑体"/>
          <w:color w:val="auto"/>
          <w:sz w:val="24"/>
          <w:szCs w:val="24"/>
          <w:highlight w:val="none"/>
        </w:rPr>
      </w:pPr>
    </w:p>
    <w:p w14:paraId="718E5B2D">
      <w:pPr>
        <w:spacing w:line="400" w:lineRule="atLeast"/>
        <w:ind w:left="840" w:hanging="840" w:hangingChars="400"/>
        <w:rPr>
          <w:color w:val="auto"/>
          <w:szCs w:val="21"/>
          <w:highlight w:val="none"/>
        </w:rPr>
      </w:pPr>
      <w:r>
        <w:rPr>
          <w:rFonts w:hint="eastAsia"/>
          <w:color w:val="auto"/>
          <w:highlight w:val="none"/>
        </w:rPr>
        <w:t>备注：</w:t>
      </w:r>
      <w:r>
        <w:rPr>
          <w:color w:val="auto"/>
          <w:szCs w:val="21"/>
          <w:highlight w:val="none"/>
        </w:rPr>
        <w:t xml:space="preserve">1. </w:t>
      </w:r>
      <w:r>
        <w:rPr>
          <w:rFonts w:hint="eastAsia"/>
          <w:color w:val="auto"/>
          <w:szCs w:val="21"/>
          <w:highlight w:val="none"/>
        </w:rPr>
        <w:t>近</w:t>
      </w:r>
      <w:r>
        <w:rPr>
          <w:color w:val="auto"/>
          <w:szCs w:val="21"/>
          <w:highlight w:val="none"/>
        </w:rPr>
        <w:t>5</w:t>
      </w:r>
      <w:r>
        <w:rPr>
          <w:rFonts w:hint="eastAsia"/>
          <w:color w:val="auto"/>
          <w:szCs w:val="21"/>
          <w:highlight w:val="none"/>
        </w:rPr>
        <w:t>年是指从投标截止日往前推算的</w:t>
      </w:r>
      <w:r>
        <w:rPr>
          <w:color w:val="auto"/>
          <w:szCs w:val="21"/>
          <w:highlight w:val="none"/>
        </w:rPr>
        <w:t>5</w:t>
      </w:r>
      <w:r>
        <w:rPr>
          <w:rFonts w:hint="eastAsia"/>
          <w:color w:val="auto"/>
          <w:szCs w:val="21"/>
          <w:highlight w:val="none"/>
        </w:rPr>
        <w:t>年，如投标截止日为</w:t>
      </w:r>
      <w:r>
        <w:rPr>
          <w:color w:val="auto"/>
          <w:szCs w:val="21"/>
          <w:highlight w:val="none"/>
        </w:rPr>
        <w:t>2014</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5</w:t>
      </w:r>
      <w:r>
        <w:rPr>
          <w:rFonts w:hint="eastAsia"/>
          <w:color w:val="auto"/>
          <w:szCs w:val="21"/>
          <w:highlight w:val="none"/>
        </w:rPr>
        <w:t>日，则近</w:t>
      </w:r>
      <w:r>
        <w:rPr>
          <w:color w:val="auto"/>
          <w:szCs w:val="21"/>
          <w:highlight w:val="none"/>
        </w:rPr>
        <w:t>5</w:t>
      </w:r>
      <w:r>
        <w:rPr>
          <w:rFonts w:hint="eastAsia"/>
          <w:color w:val="auto"/>
          <w:szCs w:val="21"/>
          <w:highlight w:val="none"/>
        </w:rPr>
        <w:t>年是指</w:t>
      </w:r>
      <w:r>
        <w:rPr>
          <w:color w:val="auto"/>
          <w:szCs w:val="21"/>
          <w:highlight w:val="none"/>
        </w:rPr>
        <w:t>2009</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5</w:t>
      </w:r>
      <w:r>
        <w:rPr>
          <w:rFonts w:hint="eastAsia"/>
          <w:color w:val="auto"/>
          <w:szCs w:val="21"/>
          <w:highlight w:val="none"/>
        </w:rPr>
        <w:t>日至</w:t>
      </w:r>
      <w:r>
        <w:rPr>
          <w:color w:val="auto"/>
          <w:szCs w:val="21"/>
          <w:highlight w:val="none"/>
        </w:rPr>
        <w:t>2014</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4</w:t>
      </w:r>
      <w:r>
        <w:rPr>
          <w:rFonts w:hint="eastAsia"/>
          <w:color w:val="auto"/>
          <w:szCs w:val="21"/>
          <w:highlight w:val="none"/>
        </w:rPr>
        <w:t>日。</w:t>
      </w:r>
    </w:p>
    <w:p w14:paraId="6FC7540D">
      <w:pPr>
        <w:spacing w:line="400" w:lineRule="atLeast"/>
        <w:ind w:left="840" w:leftChars="300" w:hanging="210" w:hangingChars="100"/>
        <w:rPr>
          <w:color w:val="auto"/>
          <w:szCs w:val="21"/>
          <w:highlight w:val="none"/>
        </w:rPr>
      </w:pPr>
      <w:r>
        <w:rPr>
          <w:color w:val="auto"/>
          <w:szCs w:val="21"/>
          <w:highlight w:val="none"/>
        </w:rPr>
        <w:t>2.</w:t>
      </w:r>
      <w:r>
        <w:rPr>
          <w:rFonts w:hint="eastAsia"/>
          <w:color w:val="auto"/>
          <w:szCs w:val="21"/>
          <w:highlight w:val="none"/>
        </w:rPr>
        <w:t>本表后应附中标通知书（如有）、合同协议书、</w:t>
      </w:r>
      <w:r>
        <w:rPr>
          <w:rFonts w:hint="eastAsia"/>
          <w:color w:val="auto"/>
          <w:highlight w:val="none"/>
        </w:rPr>
        <w:t>施工许可证（如有）、</w:t>
      </w:r>
      <w:r>
        <w:rPr>
          <w:rFonts w:hint="eastAsia"/>
          <w:color w:val="auto"/>
          <w:szCs w:val="21"/>
          <w:highlight w:val="none"/>
        </w:rPr>
        <w:t>工程接收证书或工程竣工验收证书（工程竣工验收备案证）、表彰文件、获奖证书及其他证明材料等扫描件。</w:t>
      </w:r>
      <w:r>
        <w:rPr>
          <w:rFonts w:hint="eastAsia" w:cs="宋体"/>
          <w:color w:val="auto"/>
          <w:kern w:val="0"/>
          <w:szCs w:val="21"/>
          <w:highlight w:val="none"/>
        </w:rPr>
        <w:t>招标发包的工程应附中标通知书，工程总承包发包、施工总承包发包、独立发包的施工专业承包应附</w:t>
      </w:r>
      <w:r>
        <w:rPr>
          <w:rFonts w:hint="eastAsia"/>
          <w:color w:val="auto"/>
          <w:highlight w:val="none"/>
        </w:rPr>
        <w:t>施工许可证</w:t>
      </w:r>
      <w:r>
        <w:rPr>
          <w:rFonts w:hint="eastAsia" w:cs="宋体"/>
          <w:color w:val="auto"/>
          <w:kern w:val="0"/>
          <w:szCs w:val="21"/>
          <w:highlight w:val="none"/>
        </w:rPr>
        <w:t>。</w:t>
      </w:r>
      <w:r>
        <w:rPr>
          <w:rFonts w:hint="eastAsia"/>
          <w:color w:val="auto"/>
          <w:szCs w:val="21"/>
          <w:highlight w:val="none"/>
        </w:rPr>
        <w:t>以表彰文件、获奖证书的颁发时间为准。</w:t>
      </w:r>
    </w:p>
    <w:p w14:paraId="350D2198">
      <w:pPr>
        <w:spacing w:line="400" w:lineRule="atLeast"/>
        <w:ind w:left="840" w:leftChars="300" w:hanging="210" w:hangingChars="100"/>
        <w:rPr>
          <w:color w:val="auto"/>
          <w:szCs w:val="21"/>
          <w:highlight w:val="none"/>
        </w:rPr>
      </w:pPr>
      <w:r>
        <w:rPr>
          <w:color w:val="auto"/>
          <w:szCs w:val="21"/>
          <w:highlight w:val="none"/>
        </w:rPr>
        <w:t xml:space="preserve">3. </w:t>
      </w:r>
      <w:r>
        <w:rPr>
          <w:rFonts w:hint="eastAsia"/>
          <w:color w:val="auto"/>
          <w:szCs w:val="21"/>
          <w:highlight w:val="none"/>
        </w:rPr>
        <w:t>颁奖单位应当是国家机关或民政部门注册登记的合法颁奖单位。</w:t>
      </w:r>
    </w:p>
    <w:p w14:paraId="2644954E">
      <w:pPr>
        <w:spacing w:line="400" w:lineRule="atLeast"/>
        <w:ind w:left="840" w:leftChars="300" w:hanging="210" w:hangingChars="100"/>
        <w:rPr>
          <w:color w:val="auto"/>
          <w:szCs w:val="21"/>
          <w:highlight w:val="none"/>
        </w:rPr>
      </w:pPr>
    </w:p>
    <w:p w14:paraId="2FD48772">
      <w:pPr>
        <w:spacing w:line="440" w:lineRule="exact"/>
        <w:rPr>
          <w:rFonts w:ascii="宋体" w:hAnsi="宋体"/>
          <w:color w:val="auto"/>
          <w:szCs w:val="21"/>
          <w:highlight w:val="none"/>
        </w:rPr>
      </w:pPr>
    </w:p>
    <w:p w14:paraId="639297B0">
      <w:pPr>
        <w:spacing w:line="440" w:lineRule="exact"/>
        <w:rPr>
          <w:rFonts w:hint="eastAsia" w:ascii="宋体" w:hAnsi="宋体"/>
          <w:color w:val="auto"/>
          <w:szCs w:val="21"/>
          <w:highlight w:val="none"/>
        </w:rPr>
      </w:pPr>
    </w:p>
    <w:p w14:paraId="5F12F2D0">
      <w:pPr>
        <w:pStyle w:val="33"/>
        <w:jc w:val="center"/>
        <w:rPr>
          <w:rFonts w:hint="eastAsia" w:ascii="Times New Roman" w:hAnsi="Times New Roman"/>
          <w:color w:val="auto"/>
          <w:szCs w:val="24"/>
          <w:highlight w:val="none"/>
        </w:rPr>
      </w:pPr>
      <w:bookmarkStart w:id="2513" w:name="_Toc30750"/>
      <w:bookmarkStart w:id="2514" w:name="_Toc28532454"/>
      <w:r>
        <w:rPr>
          <w:color w:val="auto"/>
          <w:szCs w:val="24"/>
          <w:highlight w:val="none"/>
        </w:rPr>
        <w:t>5-</w:t>
      </w:r>
      <w:r>
        <w:rPr>
          <w:rFonts w:hint="eastAsia"/>
          <w:color w:val="auto"/>
          <w:szCs w:val="24"/>
          <w:highlight w:val="none"/>
        </w:rPr>
        <w:t>5</w:t>
      </w:r>
      <w:r>
        <w:rPr>
          <w:color w:val="auto"/>
          <w:szCs w:val="24"/>
          <w:highlight w:val="none"/>
        </w:rPr>
        <w:t xml:space="preserve"> </w:t>
      </w:r>
      <w:r>
        <w:rPr>
          <w:rFonts w:hint="eastAsia"/>
          <w:color w:val="auto"/>
          <w:szCs w:val="24"/>
          <w:highlight w:val="none"/>
        </w:rPr>
        <w:t>近5年项目经理获表彰情况表</w:t>
      </w:r>
      <w:bookmarkEnd w:id="2513"/>
      <w:bookmarkEnd w:id="2514"/>
    </w:p>
    <w:p w14:paraId="13BE3C3F">
      <w:pPr>
        <w:spacing w:line="440" w:lineRule="exact"/>
        <w:rPr>
          <w:rFonts w:ascii="宋体" w:hAnsi="宋体"/>
          <w:color w:val="auto"/>
          <w:szCs w:val="21"/>
          <w:highlight w:val="none"/>
        </w:rPr>
      </w:pP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02B6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61050CFF">
            <w:pPr>
              <w:topLinePunct/>
              <w:spacing w:line="400" w:lineRule="atLeast"/>
              <w:jc w:val="center"/>
              <w:rPr>
                <w:color w:val="auto"/>
                <w:szCs w:val="21"/>
                <w:highlight w:val="none"/>
              </w:rPr>
            </w:pPr>
            <w:r>
              <w:rPr>
                <w:rFonts w:hint="eastAsia"/>
                <w:color w:val="auto"/>
                <w:szCs w:val="21"/>
                <w:highlight w:val="none"/>
              </w:rPr>
              <w:t>序号</w:t>
            </w:r>
          </w:p>
        </w:tc>
        <w:tc>
          <w:tcPr>
            <w:tcW w:w="3482" w:type="dxa"/>
            <w:tcBorders>
              <w:top w:val="single" w:color="auto" w:sz="4" w:space="0"/>
              <w:left w:val="single" w:color="auto" w:sz="4" w:space="0"/>
              <w:bottom w:val="single" w:color="auto" w:sz="4" w:space="0"/>
              <w:right w:val="single" w:color="auto" w:sz="4" w:space="0"/>
            </w:tcBorders>
            <w:noWrap w:val="0"/>
            <w:vAlign w:val="top"/>
          </w:tcPr>
          <w:p w14:paraId="3F6971CE">
            <w:pPr>
              <w:topLinePunct/>
              <w:spacing w:line="400" w:lineRule="atLeast"/>
              <w:jc w:val="center"/>
              <w:rPr>
                <w:color w:val="auto"/>
                <w:szCs w:val="21"/>
                <w:highlight w:val="none"/>
              </w:rPr>
            </w:pPr>
            <w:r>
              <w:rPr>
                <w:rFonts w:hint="eastAsia"/>
                <w:color w:val="auto"/>
                <w:szCs w:val="21"/>
                <w:highlight w:val="none"/>
              </w:rPr>
              <w:t>获奖名称</w:t>
            </w:r>
          </w:p>
        </w:tc>
        <w:tc>
          <w:tcPr>
            <w:tcW w:w="1800" w:type="dxa"/>
            <w:tcBorders>
              <w:top w:val="single" w:color="auto" w:sz="4" w:space="0"/>
              <w:left w:val="single" w:color="auto" w:sz="4" w:space="0"/>
              <w:bottom w:val="single" w:color="auto" w:sz="4" w:space="0"/>
              <w:right w:val="single" w:color="auto" w:sz="4" w:space="0"/>
            </w:tcBorders>
            <w:noWrap w:val="0"/>
            <w:vAlign w:val="top"/>
          </w:tcPr>
          <w:p w14:paraId="2BD0E33A">
            <w:pPr>
              <w:topLinePunct/>
              <w:spacing w:line="400" w:lineRule="atLeast"/>
              <w:jc w:val="center"/>
              <w:rPr>
                <w:color w:val="auto"/>
                <w:szCs w:val="21"/>
                <w:highlight w:val="none"/>
              </w:rPr>
            </w:pPr>
            <w:r>
              <w:rPr>
                <w:rFonts w:hint="eastAsia"/>
                <w:color w:val="auto"/>
                <w:szCs w:val="21"/>
                <w:highlight w:val="none"/>
              </w:rPr>
              <w:t>获奖日期</w:t>
            </w:r>
          </w:p>
        </w:tc>
        <w:tc>
          <w:tcPr>
            <w:tcW w:w="2520" w:type="dxa"/>
            <w:tcBorders>
              <w:top w:val="single" w:color="auto" w:sz="4" w:space="0"/>
              <w:left w:val="single" w:color="auto" w:sz="4" w:space="0"/>
              <w:bottom w:val="single" w:color="auto" w:sz="4" w:space="0"/>
              <w:right w:val="single" w:color="auto" w:sz="4" w:space="0"/>
            </w:tcBorders>
            <w:noWrap w:val="0"/>
            <w:vAlign w:val="top"/>
          </w:tcPr>
          <w:p w14:paraId="4B2AA258">
            <w:pPr>
              <w:topLinePunct/>
              <w:spacing w:line="400" w:lineRule="atLeast"/>
              <w:jc w:val="center"/>
              <w:rPr>
                <w:color w:val="auto"/>
                <w:szCs w:val="21"/>
                <w:highlight w:val="none"/>
              </w:rPr>
            </w:pPr>
            <w:r>
              <w:rPr>
                <w:rFonts w:hint="eastAsia"/>
                <w:color w:val="auto"/>
                <w:szCs w:val="21"/>
                <w:highlight w:val="none"/>
              </w:rPr>
              <w:t>颁奖单位</w:t>
            </w:r>
          </w:p>
        </w:tc>
      </w:tr>
      <w:tr w14:paraId="5732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614F2C27">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241A0C8E">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208FBB20">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7BC6E951">
            <w:pPr>
              <w:topLinePunct/>
              <w:spacing w:line="400" w:lineRule="atLeast"/>
              <w:jc w:val="center"/>
              <w:rPr>
                <w:color w:val="auto"/>
                <w:szCs w:val="21"/>
                <w:highlight w:val="none"/>
              </w:rPr>
            </w:pPr>
          </w:p>
        </w:tc>
      </w:tr>
      <w:tr w14:paraId="7302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2406F910">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765268A2">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608A4132">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3745AF44">
            <w:pPr>
              <w:topLinePunct/>
              <w:spacing w:line="400" w:lineRule="atLeast"/>
              <w:jc w:val="center"/>
              <w:rPr>
                <w:color w:val="auto"/>
                <w:szCs w:val="21"/>
                <w:highlight w:val="none"/>
              </w:rPr>
            </w:pPr>
          </w:p>
        </w:tc>
      </w:tr>
      <w:tr w14:paraId="0881F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6E69A2B7">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32CD62F2">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3C64E096">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1D6EAC75">
            <w:pPr>
              <w:topLinePunct/>
              <w:spacing w:line="400" w:lineRule="atLeast"/>
              <w:jc w:val="center"/>
              <w:rPr>
                <w:color w:val="auto"/>
                <w:szCs w:val="21"/>
                <w:highlight w:val="none"/>
              </w:rPr>
            </w:pPr>
          </w:p>
        </w:tc>
      </w:tr>
      <w:tr w14:paraId="40CF3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06ADB536">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0043FBBB">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21D5F27E">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32C9BA35">
            <w:pPr>
              <w:topLinePunct/>
              <w:spacing w:line="400" w:lineRule="atLeast"/>
              <w:jc w:val="center"/>
              <w:rPr>
                <w:color w:val="auto"/>
                <w:szCs w:val="21"/>
                <w:highlight w:val="none"/>
              </w:rPr>
            </w:pPr>
          </w:p>
        </w:tc>
      </w:tr>
      <w:tr w14:paraId="60673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7129DF4B">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551F491B">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5A4AEF2A">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16538D22">
            <w:pPr>
              <w:topLinePunct/>
              <w:spacing w:line="400" w:lineRule="atLeast"/>
              <w:jc w:val="center"/>
              <w:rPr>
                <w:color w:val="auto"/>
                <w:szCs w:val="21"/>
                <w:highlight w:val="none"/>
              </w:rPr>
            </w:pPr>
          </w:p>
        </w:tc>
      </w:tr>
      <w:tr w14:paraId="1FF6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748B5641">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48BC778E">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68A0D387">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3E79E561">
            <w:pPr>
              <w:topLinePunct/>
              <w:spacing w:line="400" w:lineRule="atLeast"/>
              <w:jc w:val="center"/>
              <w:rPr>
                <w:color w:val="auto"/>
                <w:szCs w:val="21"/>
                <w:highlight w:val="none"/>
              </w:rPr>
            </w:pPr>
          </w:p>
        </w:tc>
      </w:tr>
      <w:tr w14:paraId="1293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449D6622">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4E19A7C8">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442D8E98">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1F6637F4">
            <w:pPr>
              <w:topLinePunct/>
              <w:spacing w:line="400" w:lineRule="atLeast"/>
              <w:jc w:val="center"/>
              <w:rPr>
                <w:color w:val="auto"/>
                <w:szCs w:val="21"/>
                <w:highlight w:val="none"/>
              </w:rPr>
            </w:pPr>
          </w:p>
        </w:tc>
      </w:tr>
      <w:tr w14:paraId="35B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4B0C6E39">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43393A0D">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01D30C2F">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656BB188">
            <w:pPr>
              <w:topLinePunct/>
              <w:spacing w:line="400" w:lineRule="atLeast"/>
              <w:jc w:val="center"/>
              <w:rPr>
                <w:color w:val="auto"/>
                <w:szCs w:val="21"/>
                <w:highlight w:val="none"/>
              </w:rPr>
            </w:pPr>
          </w:p>
        </w:tc>
      </w:tr>
      <w:tr w14:paraId="5FA8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noWrap w:val="0"/>
            <w:vAlign w:val="top"/>
          </w:tcPr>
          <w:p w14:paraId="26B2B78C">
            <w:pPr>
              <w:topLinePunct/>
              <w:spacing w:line="400" w:lineRule="atLeast"/>
              <w:jc w:val="center"/>
              <w:rPr>
                <w:color w:val="auto"/>
                <w:szCs w:val="21"/>
                <w:highlight w:val="none"/>
              </w:rPr>
            </w:pPr>
          </w:p>
        </w:tc>
        <w:tc>
          <w:tcPr>
            <w:tcW w:w="3482" w:type="dxa"/>
            <w:tcBorders>
              <w:top w:val="single" w:color="auto" w:sz="4" w:space="0"/>
              <w:left w:val="single" w:color="auto" w:sz="4" w:space="0"/>
              <w:bottom w:val="single" w:color="auto" w:sz="4" w:space="0"/>
              <w:right w:val="single" w:color="auto" w:sz="4" w:space="0"/>
            </w:tcBorders>
            <w:noWrap w:val="0"/>
            <w:vAlign w:val="top"/>
          </w:tcPr>
          <w:p w14:paraId="38C7606B">
            <w:pPr>
              <w:topLinePunct/>
              <w:spacing w:line="400" w:lineRule="atLeast"/>
              <w:jc w:val="center"/>
              <w:rPr>
                <w:color w:val="auto"/>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76171885">
            <w:pPr>
              <w:topLinePunct/>
              <w:spacing w:line="400" w:lineRule="atLeast"/>
              <w:jc w:val="center"/>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top"/>
          </w:tcPr>
          <w:p w14:paraId="599FC92E">
            <w:pPr>
              <w:topLinePunct/>
              <w:spacing w:line="400" w:lineRule="atLeast"/>
              <w:jc w:val="center"/>
              <w:rPr>
                <w:color w:val="auto"/>
                <w:szCs w:val="21"/>
                <w:highlight w:val="none"/>
              </w:rPr>
            </w:pPr>
          </w:p>
        </w:tc>
      </w:tr>
    </w:tbl>
    <w:p w14:paraId="3B4C4FA7">
      <w:pPr>
        <w:spacing w:line="440" w:lineRule="exact"/>
        <w:rPr>
          <w:rFonts w:hint="eastAsia" w:ascii="宋体" w:hAnsi="宋体"/>
          <w:color w:val="auto"/>
          <w:szCs w:val="21"/>
          <w:highlight w:val="none"/>
        </w:rPr>
      </w:pPr>
    </w:p>
    <w:p w14:paraId="671334D9">
      <w:pPr>
        <w:spacing w:line="400" w:lineRule="atLeast"/>
        <w:ind w:left="840" w:hanging="840" w:hangingChars="400"/>
        <w:rPr>
          <w:color w:val="auto"/>
          <w:szCs w:val="21"/>
          <w:highlight w:val="none"/>
        </w:rPr>
      </w:pPr>
      <w:r>
        <w:rPr>
          <w:rFonts w:hint="eastAsia"/>
          <w:color w:val="auto"/>
          <w:highlight w:val="none"/>
        </w:rPr>
        <w:t>备注：</w:t>
      </w:r>
      <w:r>
        <w:rPr>
          <w:color w:val="auto"/>
          <w:szCs w:val="21"/>
          <w:highlight w:val="none"/>
        </w:rPr>
        <w:t xml:space="preserve">1. </w:t>
      </w:r>
      <w:r>
        <w:rPr>
          <w:rFonts w:hint="eastAsia"/>
          <w:color w:val="auto"/>
          <w:szCs w:val="21"/>
          <w:highlight w:val="none"/>
        </w:rPr>
        <w:t>近</w:t>
      </w:r>
      <w:r>
        <w:rPr>
          <w:color w:val="auto"/>
          <w:szCs w:val="21"/>
          <w:highlight w:val="none"/>
        </w:rPr>
        <w:t>5</w:t>
      </w:r>
      <w:r>
        <w:rPr>
          <w:rFonts w:hint="eastAsia"/>
          <w:color w:val="auto"/>
          <w:szCs w:val="21"/>
          <w:highlight w:val="none"/>
        </w:rPr>
        <w:t>年是指从投标截止日往前推算的</w:t>
      </w:r>
      <w:r>
        <w:rPr>
          <w:color w:val="auto"/>
          <w:szCs w:val="21"/>
          <w:highlight w:val="none"/>
        </w:rPr>
        <w:t>5</w:t>
      </w:r>
      <w:r>
        <w:rPr>
          <w:rFonts w:hint="eastAsia"/>
          <w:color w:val="auto"/>
          <w:szCs w:val="21"/>
          <w:highlight w:val="none"/>
        </w:rPr>
        <w:t>年，如投标截止日为</w:t>
      </w:r>
      <w:r>
        <w:rPr>
          <w:color w:val="auto"/>
          <w:szCs w:val="21"/>
          <w:highlight w:val="none"/>
        </w:rPr>
        <w:t>2014</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5</w:t>
      </w:r>
      <w:r>
        <w:rPr>
          <w:rFonts w:hint="eastAsia"/>
          <w:color w:val="auto"/>
          <w:szCs w:val="21"/>
          <w:highlight w:val="none"/>
        </w:rPr>
        <w:t>日，则近</w:t>
      </w:r>
      <w:r>
        <w:rPr>
          <w:color w:val="auto"/>
          <w:szCs w:val="21"/>
          <w:highlight w:val="none"/>
        </w:rPr>
        <w:t>5</w:t>
      </w:r>
      <w:r>
        <w:rPr>
          <w:rFonts w:hint="eastAsia"/>
          <w:color w:val="auto"/>
          <w:szCs w:val="21"/>
          <w:highlight w:val="none"/>
        </w:rPr>
        <w:t>年是指</w:t>
      </w:r>
      <w:r>
        <w:rPr>
          <w:color w:val="auto"/>
          <w:szCs w:val="21"/>
          <w:highlight w:val="none"/>
        </w:rPr>
        <w:t>2009</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5</w:t>
      </w:r>
      <w:r>
        <w:rPr>
          <w:rFonts w:hint="eastAsia"/>
          <w:color w:val="auto"/>
          <w:szCs w:val="21"/>
          <w:highlight w:val="none"/>
        </w:rPr>
        <w:t>日至</w:t>
      </w:r>
      <w:r>
        <w:rPr>
          <w:color w:val="auto"/>
          <w:szCs w:val="21"/>
          <w:highlight w:val="none"/>
        </w:rPr>
        <w:t>2014</w:t>
      </w:r>
      <w:r>
        <w:rPr>
          <w:rFonts w:hint="eastAsia"/>
          <w:color w:val="auto"/>
          <w:szCs w:val="21"/>
          <w:highlight w:val="none"/>
        </w:rPr>
        <w:t>年</w:t>
      </w:r>
      <w:r>
        <w:rPr>
          <w:color w:val="auto"/>
          <w:szCs w:val="21"/>
          <w:highlight w:val="none"/>
        </w:rPr>
        <w:t>3</w:t>
      </w:r>
      <w:r>
        <w:rPr>
          <w:rFonts w:hint="eastAsia"/>
          <w:color w:val="auto"/>
          <w:szCs w:val="21"/>
          <w:highlight w:val="none"/>
        </w:rPr>
        <w:t>月</w:t>
      </w:r>
      <w:r>
        <w:rPr>
          <w:color w:val="auto"/>
          <w:szCs w:val="21"/>
          <w:highlight w:val="none"/>
        </w:rPr>
        <w:t>4</w:t>
      </w:r>
      <w:r>
        <w:rPr>
          <w:rFonts w:hint="eastAsia"/>
          <w:color w:val="auto"/>
          <w:szCs w:val="21"/>
          <w:highlight w:val="none"/>
        </w:rPr>
        <w:t>日。</w:t>
      </w:r>
    </w:p>
    <w:p w14:paraId="0A193F4D">
      <w:pPr>
        <w:spacing w:line="400" w:lineRule="atLeast"/>
        <w:ind w:left="840" w:leftChars="300" w:hanging="210" w:hangingChars="100"/>
        <w:rPr>
          <w:color w:val="auto"/>
          <w:szCs w:val="21"/>
          <w:highlight w:val="none"/>
        </w:rPr>
      </w:pPr>
      <w:r>
        <w:rPr>
          <w:color w:val="auto"/>
          <w:szCs w:val="21"/>
          <w:highlight w:val="none"/>
        </w:rPr>
        <w:t>2.</w:t>
      </w:r>
      <w:r>
        <w:rPr>
          <w:rFonts w:hint="eastAsia"/>
          <w:color w:val="auto"/>
          <w:szCs w:val="21"/>
          <w:highlight w:val="none"/>
        </w:rPr>
        <w:t>本表后应附表彰文件、获奖证书的扫描件。以表彰文件、获奖证书的颁发时间为准。</w:t>
      </w:r>
    </w:p>
    <w:p w14:paraId="727219A4">
      <w:pPr>
        <w:spacing w:line="400" w:lineRule="atLeast"/>
        <w:ind w:left="840" w:leftChars="300" w:hanging="210" w:hangingChars="100"/>
        <w:rPr>
          <w:color w:val="auto"/>
          <w:szCs w:val="21"/>
          <w:highlight w:val="none"/>
        </w:rPr>
      </w:pPr>
      <w:r>
        <w:rPr>
          <w:color w:val="auto"/>
          <w:szCs w:val="21"/>
          <w:highlight w:val="none"/>
        </w:rPr>
        <w:t xml:space="preserve">3. </w:t>
      </w:r>
      <w:r>
        <w:rPr>
          <w:rFonts w:hint="eastAsia"/>
          <w:color w:val="auto"/>
          <w:szCs w:val="21"/>
          <w:highlight w:val="none"/>
        </w:rPr>
        <w:t>颁奖单位应当是国家机关或民政部门注册登记的合法颁奖单位。</w:t>
      </w:r>
    </w:p>
    <w:p w14:paraId="441A717B">
      <w:pPr>
        <w:spacing w:line="440" w:lineRule="exact"/>
        <w:rPr>
          <w:rFonts w:ascii="宋体" w:hAnsi="宋体"/>
          <w:color w:val="auto"/>
          <w:szCs w:val="21"/>
          <w:highlight w:val="none"/>
        </w:rPr>
      </w:pPr>
    </w:p>
    <w:p w14:paraId="38717F8B">
      <w:pPr>
        <w:spacing w:line="440" w:lineRule="exact"/>
        <w:rPr>
          <w:rFonts w:hint="eastAsia" w:ascii="宋体" w:hAnsi="宋体"/>
          <w:color w:val="auto"/>
          <w:szCs w:val="21"/>
          <w:highlight w:val="none"/>
        </w:rPr>
      </w:pPr>
    </w:p>
    <w:p w14:paraId="0DC8C315">
      <w:pPr>
        <w:spacing w:line="400" w:lineRule="atLeast"/>
        <w:ind w:left="840" w:leftChars="300" w:hanging="210" w:hangingChars="100"/>
        <w:rPr>
          <w:color w:val="auto"/>
          <w:szCs w:val="21"/>
          <w:highlight w:val="none"/>
        </w:rPr>
      </w:pPr>
      <w:r>
        <w:rPr>
          <w:color w:val="auto"/>
          <w:szCs w:val="21"/>
          <w:highlight w:val="none"/>
        </w:rPr>
        <w:br w:type="page"/>
      </w:r>
    </w:p>
    <w:p w14:paraId="3AAE1E78">
      <w:pPr>
        <w:pStyle w:val="31"/>
        <w:jc w:val="center"/>
        <w:rPr>
          <w:rFonts w:hint="eastAsia" w:ascii="黑体" w:hAnsi="宋体"/>
          <w:color w:val="auto"/>
          <w:szCs w:val="28"/>
          <w:highlight w:val="none"/>
        </w:rPr>
      </w:pPr>
      <w:bookmarkStart w:id="2515" w:name="_Toc27847"/>
      <w:r>
        <w:rPr>
          <w:rFonts w:hint="eastAsia"/>
          <w:color w:val="auto"/>
          <w:highlight w:val="none"/>
        </w:rPr>
        <w:t>九、已标价工程量清单</w:t>
      </w:r>
      <w:bookmarkEnd w:id="2459"/>
      <w:bookmarkEnd w:id="2515"/>
    </w:p>
    <w:p w14:paraId="31FABC9E">
      <w:pPr>
        <w:spacing w:line="460" w:lineRule="exact"/>
        <w:rPr>
          <w:rFonts w:hint="eastAsia" w:ascii="黑体" w:hAnsi="宋体" w:eastAsia="黑体"/>
          <w:color w:val="auto"/>
          <w:szCs w:val="21"/>
          <w:highlight w:val="none"/>
        </w:rPr>
      </w:pPr>
    </w:p>
    <w:p w14:paraId="06C7EF77">
      <w:pPr>
        <w:spacing w:line="460" w:lineRule="exact"/>
        <w:rPr>
          <w:rFonts w:hint="eastAsia" w:ascii="宋体" w:hAnsi="宋体"/>
          <w:color w:val="auto"/>
          <w:szCs w:val="21"/>
          <w:highlight w:val="none"/>
        </w:rPr>
      </w:pPr>
      <w:r>
        <w:rPr>
          <w:rFonts w:hint="eastAsia" w:ascii="黑体" w:hAnsi="宋体" w:eastAsia="黑体"/>
          <w:color w:val="auto"/>
          <w:szCs w:val="21"/>
          <w:highlight w:val="none"/>
        </w:rPr>
        <w:t>说明：</w:t>
      </w:r>
      <w:r>
        <w:rPr>
          <w:rFonts w:hint="eastAsia" w:ascii="宋体" w:hAnsi="宋体"/>
          <w:color w:val="auto"/>
          <w:szCs w:val="21"/>
          <w:highlight w:val="none"/>
        </w:rPr>
        <w:t>已标价工程量清单按第五章“工程量清单”中的相关清单表格式填写。构成合同文件</w:t>
      </w:r>
    </w:p>
    <w:p w14:paraId="63E0FD2B">
      <w:pPr>
        <w:spacing w:line="460" w:lineRule="exact"/>
        <w:rPr>
          <w:rFonts w:hint="eastAsia" w:ascii="宋体" w:hAnsi="宋体"/>
          <w:color w:val="auto"/>
          <w:szCs w:val="21"/>
          <w:highlight w:val="none"/>
        </w:rPr>
      </w:pPr>
      <w:r>
        <w:rPr>
          <w:rFonts w:hint="eastAsia" w:ascii="宋体" w:hAnsi="宋体"/>
          <w:color w:val="auto"/>
          <w:szCs w:val="21"/>
          <w:highlight w:val="none"/>
        </w:rPr>
        <w:t>的已标价工程量清单包括第五章“工程量清单”有关工程量清单、投标报价以及其他说明的</w:t>
      </w:r>
    </w:p>
    <w:p w14:paraId="2C2C232A">
      <w:pPr>
        <w:spacing w:line="460" w:lineRule="exact"/>
        <w:rPr>
          <w:rFonts w:hint="eastAsia" w:ascii="宋体" w:hAnsi="宋体"/>
          <w:color w:val="auto"/>
          <w:szCs w:val="21"/>
          <w:highlight w:val="none"/>
        </w:rPr>
      </w:pPr>
      <w:r>
        <w:rPr>
          <w:rFonts w:hint="eastAsia" w:ascii="宋体" w:hAnsi="宋体"/>
          <w:color w:val="auto"/>
          <w:szCs w:val="21"/>
          <w:highlight w:val="none"/>
        </w:rPr>
        <w:t>内容。</w:t>
      </w:r>
    </w:p>
    <w:p w14:paraId="64F19135">
      <w:pPr>
        <w:spacing w:line="460" w:lineRule="exact"/>
        <w:rPr>
          <w:rFonts w:hint="eastAsia" w:ascii="宋体" w:hAnsi="宋体"/>
          <w:color w:val="auto"/>
          <w:szCs w:val="21"/>
          <w:highlight w:val="none"/>
        </w:rPr>
      </w:pPr>
    </w:p>
    <w:p w14:paraId="78C46BFF">
      <w:pPr>
        <w:spacing w:line="460" w:lineRule="exact"/>
        <w:rPr>
          <w:rFonts w:hint="eastAsia" w:ascii="宋体" w:hAnsi="宋体"/>
          <w:color w:val="auto"/>
          <w:szCs w:val="21"/>
          <w:highlight w:val="none"/>
        </w:rPr>
      </w:pPr>
    </w:p>
    <w:p w14:paraId="267BE895">
      <w:pPr>
        <w:spacing w:line="460" w:lineRule="exact"/>
        <w:rPr>
          <w:rFonts w:hint="eastAsia" w:ascii="宋体" w:hAnsi="宋体"/>
          <w:color w:val="auto"/>
          <w:szCs w:val="21"/>
          <w:highlight w:val="none"/>
        </w:rPr>
      </w:pPr>
    </w:p>
    <w:p w14:paraId="4D7F824C">
      <w:pPr>
        <w:spacing w:line="460" w:lineRule="exact"/>
        <w:rPr>
          <w:rFonts w:hint="eastAsia" w:ascii="宋体" w:hAnsi="宋体"/>
          <w:color w:val="auto"/>
          <w:szCs w:val="21"/>
          <w:highlight w:val="none"/>
        </w:rPr>
      </w:pPr>
    </w:p>
    <w:p w14:paraId="6AE55222">
      <w:pPr>
        <w:spacing w:line="460" w:lineRule="exact"/>
        <w:rPr>
          <w:rFonts w:hint="eastAsia" w:ascii="宋体" w:hAnsi="宋体"/>
          <w:color w:val="auto"/>
          <w:szCs w:val="21"/>
          <w:highlight w:val="none"/>
        </w:rPr>
      </w:pPr>
    </w:p>
    <w:p w14:paraId="4162B0A2">
      <w:pPr>
        <w:spacing w:line="460" w:lineRule="exact"/>
        <w:rPr>
          <w:rFonts w:hint="eastAsia" w:ascii="宋体" w:hAnsi="宋体"/>
          <w:color w:val="auto"/>
          <w:szCs w:val="21"/>
          <w:highlight w:val="none"/>
        </w:rPr>
      </w:pPr>
    </w:p>
    <w:p w14:paraId="7B048362">
      <w:pPr>
        <w:spacing w:line="460" w:lineRule="exact"/>
        <w:rPr>
          <w:rFonts w:hint="eastAsia" w:ascii="宋体" w:hAnsi="宋体"/>
          <w:color w:val="auto"/>
          <w:szCs w:val="21"/>
          <w:highlight w:val="none"/>
        </w:rPr>
      </w:pPr>
    </w:p>
    <w:p w14:paraId="4BDB4AE2">
      <w:pPr>
        <w:spacing w:line="460" w:lineRule="exact"/>
        <w:rPr>
          <w:rFonts w:hint="eastAsia" w:ascii="宋体" w:hAnsi="宋体"/>
          <w:color w:val="auto"/>
          <w:szCs w:val="21"/>
          <w:highlight w:val="none"/>
        </w:rPr>
      </w:pPr>
    </w:p>
    <w:p w14:paraId="6992813A">
      <w:pPr>
        <w:spacing w:line="460" w:lineRule="exact"/>
        <w:rPr>
          <w:rFonts w:hint="eastAsia" w:ascii="宋体" w:hAnsi="宋体"/>
          <w:color w:val="auto"/>
          <w:szCs w:val="21"/>
          <w:highlight w:val="none"/>
        </w:rPr>
      </w:pPr>
    </w:p>
    <w:p w14:paraId="22D6F57D">
      <w:pPr>
        <w:spacing w:line="460" w:lineRule="exact"/>
        <w:rPr>
          <w:rFonts w:hint="eastAsia" w:ascii="宋体" w:hAnsi="宋体"/>
          <w:color w:val="auto"/>
          <w:szCs w:val="21"/>
          <w:highlight w:val="none"/>
        </w:rPr>
      </w:pPr>
    </w:p>
    <w:p w14:paraId="2D6D1FA3">
      <w:pPr>
        <w:spacing w:line="460" w:lineRule="exact"/>
        <w:rPr>
          <w:rFonts w:hint="eastAsia" w:ascii="宋体" w:hAnsi="宋体"/>
          <w:color w:val="auto"/>
          <w:szCs w:val="21"/>
          <w:highlight w:val="none"/>
        </w:rPr>
      </w:pPr>
    </w:p>
    <w:p w14:paraId="172C69D8">
      <w:pPr>
        <w:spacing w:line="460" w:lineRule="exact"/>
        <w:rPr>
          <w:rFonts w:hint="eastAsia" w:ascii="宋体" w:hAnsi="宋体"/>
          <w:color w:val="auto"/>
          <w:szCs w:val="21"/>
          <w:highlight w:val="none"/>
        </w:rPr>
      </w:pPr>
    </w:p>
    <w:p w14:paraId="04335A6B">
      <w:pPr>
        <w:spacing w:line="460" w:lineRule="exact"/>
        <w:rPr>
          <w:rFonts w:hint="eastAsia" w:ascii="宋体" w:hAnsi="宋体"/>
          <w:color w:val="auto"/>
          <w:szCs w:val="21"/>
          <w:highlight w:val="none"/>
        </w:rPr>
      </w:pPr>
    </w:p>
    <w:p w14:paraId="34FE6773">
      <w:pPr>
        <w:spacing w:line="460" w:lineRule="exact"/>
        <w:rPr>
          <w:rFonts w:hint="eastAsia" w:ascii="宋体" w:hAnsi="宋体"/>
          <w:color w:val="auto"/>
          <w:szCs w:val="21"/>
          <w:highlight w:val="none"/>
        </w:rPr>
      </w:pPr>
    </w:p>
    <w:p w14:paraId="3F62CCCE">
      <w:pPr>
        <w:spacing w:line="460" w:lineRule="exact"/>
        <w:rPr>
          <w:rFonts w:hint="eastAsia" w:ascii="宋体" w:hAnsi="宋体"/>
          <w:color w:val="auto"/>
          <w:szCs w:val="21"/>
          <w:highlight w:val="none"/>
        </w:rPr>
      </w:pPr>
    </w:p>
    <w:p w14:paraId="1990CA51">
      <w:pPr>
        <w:spacing w:line="460" w:lineRule="exact"/>
        <w:rPr>
          <w:rFonts w:hint="eastAsia" w:ascii="宋体" w:hAnsi="宋体"/>
          <w:color w:val="auto"/>
          <w:szCs w:val="21"/>
          <w:highlight w:val="none"/>
        </w:rPr>
      </w:pPr>
    </w:p>
    <w:p w14:paraId="54188BF6">
      <w:pPr>
        <w:spacing w:line="460" w:lineRule="exact"/>
        <w:rPr>
          <w:rFonts w:hint="eastAsia" w:ascii="宋体" w:hAnsi="宋体"/>
          <w:color w:val="auto"/>
          <w:szCs w:val="21"/>
          <w:highlight w:val="none"/>
        </w:rPr>
      </w:pPr>
    </w:p>
    <w:p w14:paraId="4DA1B5AD">
      <w:pPr>
        <w:spacing w:line="460" w:lineRule="exact"/>
        <w:rPr>
          <w:rFonts w:hint="eastAsia" w:ascii="宋体" w:hAnsi="宋体"/>
          <w:color w:val="auto"/>
          <w:szCs w:val="21"/>
          <w:highlight w:val="none"/>
        </w:rPr>
      </w:pPr>
    </w:p>
    <w:p w14:paraId="2ED4482E">
      <w:pPr>
        <w:spacing w:line="460" w:lineRule="exact"/>
        <w:rPr>
          <w:rFonts w:hint="eastAsia" w:ascii="宋体" w:hAnsi="宋体"/>
          <w:color w:val="auto"/>
          <w:szCs w:val="21"/>
          <w:highlight w:val="none"/>
        </w:rPr>
      </w:pPr>
    </w:p>
    <w:p w14:paraId="36CCD918">
      <w:pPr>
        <w:spacing w:line="460" w:lineRule="exact"/>
        <w:rPr>
          <w:rFonts w:hint="eastAsia" w:ascii="宋体" w:hAnsi="宋体"/>
          <w:color w:val="auto"/>
          <w:szCs w:val="21"/>
          <w:highlight w:val="none"/>
        </w:rPr>
      </w:pPr>
    </w:p>
    <w:p w14:paraId="5692E02C">
      <w:pPr>
        <w:spacing w:line="460" w:lineRule="exact"/>
        <w:rPr>
          <w:rFonts w:hint="eastAsia" w:ascii="宋体" w:hAnsi="宋体"/>
          <w:color w:val="auto"/>
          <w:szCs w:val="21"/>
          <w:highlight w:val="none"/>
        </w:rPr>
      </w:pPr>
    </w:p>
    <w:p w14:paraId="42AF4971">
      <w:pPr>
        <w:spacing w:line="460" w:lineRule="exact"/>
        <w:rPr>
          <w:rFonts w:hint="eastAsia" w:ascii="宋体" w:hAnsi="宋体"/>
          <w:color w:val="auto"/>
          <w:szCs w:val="21"/>
          <w:highlight w:val="none"/>
        </w:rPr>
      </w:pPr>
    </w:p>
    <w:p w14:paraId="170E0A38">
      <w:pPr>
        <w:spacing w:line="460" w:lineRule="exact"/>
        <w:rPr>
          <w:rFonts w:hint="eastAsia" w:ascii="Times New Roman" w:hAnsi="Times New Roman"/>
          <w:color w:val="auto"/>
          <w:szCs w:val="24"/>
          <w:highlight w:val="none"/>
        </w:rPr>
      </w:pPr>
      <w:bookmarkStart w:id="2516" w:name="_Toc426495639"/>
    </w:p>
    <w:p w14:paraId="52692CD6">
      <w:pPr>
        <w:spacing w:line="460" w:lineRule="exact"/>
        <w:rPr>
          <w:color w:val="auto"/>
          <w:highlight w:val="none"/>
        </w:rPr>
      </w:pPr>
    </w:p>
    <w:p w14:paraId="58F1D78E">
      <w:pPr>
        <w:pStyle w:val="33"/>
        <w:rPr>
          <w:color w:val="auto"/>
          <w:highlight w:val="none"/>
        </w:rPr>
      </w:pPr>
      <w:bookmarkStart w:id="2517" w:name="_Toc31459"/>
      <w:bookmarkStart w:id="2518" w:name="_Toc28532415"/>
      <w:r>
        <w:rPr>
          <w:rFonts w:hint="eastAsia"/>
          <w:color w:val="auto"/>
          <w:highlight w:val="none"/>
        </w:rPr>
        <w:t>已标价工程量清单（投标总价）封面</w:t>
      </w:r>
      <w:bookmarkEnd w:id="2516"/>
      <w:bookmarkEnd w:id="2517"/>
      <w:bookmarkEnd w:id="2518"/>
    </w:p>
    <w:p w14:paraId="05278D2B">
      <w:pPr>
        <w:spacing w:line="460" w:lineRule="exact"/>
        <w:rPr>
          <w:rFonts w:ascii="宋体" w:hAnsi="宋体"/>
          <w:color w:val="auto"/>
          <w:szCs w:val="21"/>
          <w:highlight w:val="none"/>
        </w:rPr>
      </w:pPr>
    </w:p>
    <w:p w14:paraId="79A5820E">
      <w:pPr>
        <w:spacing w:line="460" w:lineRule="exact"/>
        <w:rPr>
          <w:rFonts w:hint="eastAsia" w:ascii="Times New Roman" w:hAnsi="Times New Roman" w:eastAsia="黑体"/>
          <w:color w:val="auto"/>
          <w:sz w:val="32"/>
          <w:szCs w:val="24"/>
          <w:highlight w:val="none"/>
          <w:u w:val="single"/>
        </w:rPr>
      </w:pPr>
    </w:p>
    <w:p w14:paraId="0E5E7465">
      <w:pPr>
        <w:spacing w:line="460" w:lineRule="exact"/>
        <w:rPr>
          <w:rFonts w:eastAsia="黑体"/>
          <w:color w:val="auto"/>
          <w:sz w:val="32"/>
          <w:highlight w:val="none"/>
          <w:u w:val="single"/>
        </w:rPr>
      </w:pPr>
    </w:p>
    <w:p w14:paraId="0DB34792">
      <w:pPr>
        <w:spacing w:line="460" w:lineRule="exact"/>
        <w:rPr>
          <w:rFonts w:eastAsia="黑体"/>
          <w:color w:val="auto"/>
          <w:sz w:val="32"/>
          <w:highlight w:val="none"/>
          <w:u w:val="single"/>
        </w:rPr>
      </w:pPr>
    </w:p>
    <w:p w14:paraId="05197781">
      <w:pPr>
        <w:spacing w:line="460" w:lineRule="exact"/>
        <w:rPr>
          <w:rFonts w:eastAsia="黑体"/>
          <w:color w:val="auto"/>
          <w:sz w:val="32"/>
          <w:highlight w:val="none"/>
          <w:u w:val="single"/>
        </w:rPr>
      </w:pPr>
    </w:p>
    <w:p w14:paraId="635239DE">
      <w:pPr>
        <w:spacing w:line="460" w:lineRule="exact"/>
        <w:ind w:firstLine="960" w:firstLineChars="300"/>
        <w:rPr>
          <w:rFonts w:ascii="宋体" w:hAnsi="宋体"/>
          <w:color w:val="auto"/>
          <w:szCs w:val="21"/>
          <w:highlight w:val="none"/>
        </w:rPr>
      </w:pPr>
      <w:r>
        <w:rPr>
          <w:rFonts w:eastAsia="黑体"/>
          <w:color w:val="auto"/>
          <w:sz w:val="32"/>
          <w:highlight w:val="none"/>
          <w:u w:val="single"/>
        </w:rPr>
        <w:t xml:space="preserve">        </w:t>
      </w:r>
      <w:r>
        <w:rPr>
          <w:rFonts w:hint="eastAsia" w:eastAsia="黑体"/>
          <w:color w:val="auto"/>
          <w:sz w:val="32"/>
          <w:highlight w:val="none"/>
        </w:rPr>
        <w:t>（项目名称）</w:t>
      </w:r>
      <w:r>
        <w:rPr>
          <w:rFonts w:eastAsia="黑体"/>
          <w:color w:val="auto"/>
          <w:sz w:val="32"/>
          <w:highlight w:val="none"/>
          <w:u w:val="single"/>
        </w:rPr>
        <w:t xml:space="preserve">     </w:t>
      </w:r>
      <w:r>
        <w:rPr>
          <w:rFonts w:hint="eastAsia" w:eastAsia="黑体"/>
          <w:color w:val="auto"/>
          <w:sz w:val="32"/>
          <w:highlight w:val="none"/>
        </w:rPr>
        <w:t>（标段名称）施工招标</w:t>
      </w:r>
    </w:p>
    <w:p w14:paraId="1CDBBDF8">
      <w:pPr>
        <w:spacing w:line="460" w:lineRule="exact"/>
        <w:rPr>
          <w:rFonts w:hint="eastAsia" w:ascii="宋体" w:hAnsi="宋体"/>
          <w:color w:val="auto"/>
          <w:szCs w:val="21"/>
          <w:highlight w:val="none"/>
        </w:rPr>
      </w:pPr>
    </w:p>
    <w:p w14:paraId="2C73FA37">
      <w:pPr>
        <w:spacing w:line="360" w:lineRule="auto"/>
        <w:jc w:val="center"/>
        <w:rPr>
          <w:rFonts w:hint="eastAsia" w:ascii="Times New Roman" w:hAnsi="Times New Roman" w:eastAsia="黑体"/>
          <w:color w:val="auto"/>
          <w:sz w:val="44"/>
          <w:szCs w:val="44"/>
          <w:highlight w:val="none"/>
        </w:rPr>
      </w:pPr>
    </w:p>
    <w:p w14:paraId="5ECE262B">
      <w:pPr>
        <w:spacing w:line="360" w:lineRule="auto"/>
        <w:jc w:val="center"/>
        <w:rPr>
          <w:rFonts w:eastAsia="黑体"/>
          <w:color w:val="auto"/>
          <w:sz w:val="44"/>
          <w:szCs w:val="44"/>
          <w:highlight w:val="none"/>
        </w:rPr>
      </w:pPr>
      <w:r>
        <w:rPr>
          <w:rFonts w:hint="eastAsia" w:eastAsia="黑体"/>
          <w:color w:val="auto"/>
          <w:sz w:val="44"/>
          <w:szCs w:val="44"/>
          <w:highlight w:val="none"/>
        </w:rPr>
        <w:t>已标价工程量清单</w:t>
      </w:r>
    </w:p>
    <w:p w14:paraId="646E0EF0">
      <w:pPr>
        <w:spacing w:line="360" w:lineRule="auto"/>
        <w:jc w:val="center"/>
        <w:rPr>
          <w:rFonts w:eastAsia="黑体"/>
          <w:color w:val="auto"/>
          <w:sz w:val="44"/>
          <w:szCs w:val="44"/>
          <w:highlight w:val="none"/>
        </w:rPr>
      </w:pPr>
      <w:r>
        <w:rPr>
          <w:rFonts w:hint="eastAsia" w:eastAsia="黑体"/>
          <w:color w:val="auto"/>
          <w:sz w:val="44"/>
          <w:szCs w:val="44"/>
          <w:highlight w:val="none"/>
        </w:rPr>
        <w:t>（投标总价）</w:t>
      </w:r>
    </w:p>
    <w:p w14:paraId="7A07C60B">
      <w:pPr>
        <w:spacing w:line="460" w:lineRule="exact"/>
        <w:jc w:val="center"/>
        <w:rPr>
          <w:rFonts w:eastAsia="黑体"/>
          <w:color w:val="auto"/>
          <w:sz w:val="44"/>
          <w:szCs w:val="44"/>
          <w:highlight w:val="none"/>
        </w:rPr>
      </w:pPr>
    </w:p>
    <w:p w14:paraId="63D1E2CA">
      <w:pPr>
        <w:spacing w:line="460" w:lineRule="exact"/>
        <w:jc w:val="center"/>
        <w:rPr>
          <w:rFonts w:eastAsia="黑体"/>
          <w:color w:val="auto"/>
          <w:sz w:val="44"/>
          <w:szCs w:val="44"/>
          <w:highlight w:val="none"/>
        </w:rPr>
      </w:pPr>
    </w:p>
    <w:p w14:paraId="1FC24250">
      <w:pPr>
        <w:spacing w:line="460" w:lineRule="exact"/>
        <w:jc w:val="center"/>
        <w:rPr>
          <w:rFonts w:eastAsia="黑体"/>
          <w:color w:val="auto"/>
          <w:sz w:val="44"/>
          <w:szCs w:val="44"/>
          <w:highlight w:val="none"/>
        </w:rPr>
      </w:pPr>
    </w:p>
    <w:p w14:paraId="2E1FFE59">
      <w:pPr>
        <w:spacing w:line="460" w:lineRule="exact"/>
        <w:jc w:val="center"/>
        <w:rPr>
          <w:rFonts w:eastAsia="黑体"/>
          <w:color w:val="auto"/>
          <w:sz w:val="44"/>
          <w:szCs w:val="44"/>
          <w:highlight w:val="none"/>
        </w:rPr>
      </w:pPr>
    </w:p>
    <w:p w14:paraId="2443018E">
      <w:pPr>
        <w:spacing w:line="460" w:lineRule="exact"/>
        <w:jc w:val="center"/>
        <w:rPr>
          <w:rFonts w:eastAsia="黑体"/>
          <w:color w:val="auto"/>
          <w:sz w:val="44"/>
          <w:szCs w:val="44"/>
          <w:highlight w:val="none"/>
        </w:rPr>
      </w:pPr>
    </w:p>
    <w:p w14:paraId="106885A5">
      <w:pPr>
        <w:spacing w:line="460" w:lineRule="exact"/>
        <w:jc w:val="center"/>
        <w:rPr>
          <w:rFonts w:eastAsia="黑体"/>
          <w:color w:val="auto"/>
          <w:sz w:val="44"/>
          <w:szCs w:val="44"/>
          <w:highlight w:val="none"/>
        </w:rPr>
      </w:pPr>
    </w:p>
    <w:p w14:paraId="65FF2C41">
      <w:pPr>
        <w:spacing w:line="460" w:lineRule="exact"/>
        <w:jc w:val="center"/>
        <w:rPr>
          <w:rFonts w:eastAsia="黑体"/>
          <w:color w:val="auto"/>
          <w:sz w:val="44"/>
          <w:szCs w:val="44"/>
          <w:highlight w:val="none"/>
        </w:rPr>
      </w:pPr>
    </w:p>
    <w:p w14:paraId="2CF60A2F">
      <w:pPr>
        <w:spacing w:line="600" w:lineRule="exact"/>
        <w:ind w:firstLine="1260" w:firstLineChars="600"/>
        <w:rPr>
          <w:rFonts w:ascii="黑体" w:eastAsia="黑体"/>
          <w:color w:val="auto"/>
          <w:szCs w:val="24"/>
          <w:highlight w:val="none"/>
        </w:rPr>
      </w:pPr>
    </w:p>
    <w:p w14:paraId="507208F6">
      <w:pPr>
        <w:spacing w:line="320" w:lineRule="exact"/>
        <w:ind w:firstLine="2380" w:firstLineChars="850"/>
        <w:rPr>
          <w:rFonts w:hint="eastAsia" w:ascii="宋体" w:hAnsi="宋体"/>
          <w:color w:val="auto"/>
          <w:sz w:val="28"/>
          <w:szCs w:val="28"/>
          <w:highlight w:val="none"/>
        </w:rPr>
      </w:pPr>
      <w:r>
        <w:rPr>
          <w:rFonts w:hint="eastAsia" w:ascii="宋体" w:hAnsi="宋体"/>
          <w:color w:val="auto"/>
          <w:sz w:val="28"/>
          <w:szCs w:val="28"/>
          <w:highlight w:val="none"/>
        </w:rPr>
        <w:t>投 标 人：</w:t>
      </w:r>
      <w:r>
        <w:rPr>
          <w:rFonts w:hint="eastAsia" w:ascii="宋体" w:hAnsi="宋体"/>
          <w:color w:val="auto"/>
          <w:sz w:val="28"/>
          <w:szCs w:val="28"/>
          <w:highlight w:val="none"/>
          <w:u w:val="single"/>
        </w:rPr>
        <w:t xml:space="preserve">                            </w:t>
      </w:r>
    </w:p>
    <w:p w14:paraId="222D5E9D">
      <w:pPr>
        <w:spacing w:line="320" w:lineRule="exact"/>
        <w:ind w:firstLine="4760" w:firstLineChars="1700"/>
        <w:rPr>
          <w:rFonts w:hint="eastAsia" w:ascii="宋体" w:hAnsi="宋体"/>
          <w:color w:val="auto"/>
          <w:sz w:val="28"/>
          <w:szCs w:val="28"/>
          <w:highlight w:val="none"/>
        </w:rPr>
      </w:pPr>
      <w:r>
        <w:rPr>
          <w:rFonts w:hint="eastAsia" w:ascii="宋体" w:hAnsi="宋体"/>
          <w:color w:val="auto"/>
          <w:sz w:val="28"/>
          <w:szCs w:val="28"/>
          <w:highlight w:val="none"/>
        </w:rPr>
        <w:t>(单位盖章)</w:t>
      </w:r>
    </w:p>
    <w:p w14:paraId="1F4BCB49">
      <w:pPr>
        <w:spacing w:line="380" w:lineRule="exact"/>
        <w:ind w:firstLine="420" w:firstLineChars="200"/>
        <w:rPr>
          <w:rFonts w:hint="eastAsia" w:ascii="宋体" w:hAnsi="宋体"/>
          <w:color w:val="auto"/>
          <w:szCs w:val="24"/>
          <w:highlight w:val="none"/>
        </w:rPr>
      </w:pPr>
    </w:p>
    <w:p w14:paraId="6ACD955D">
      <w:pPr>
        <w:spacing w:line="380" w:lineRule="exact"/>
        <w:ind w:firstLine="420" w:firstLineChars="200"/>
        <w:rPr>
          <w:rFonts w:hint="eastAsia" w:ascii="宋体" w:hAnsi="宋体"/>
          <w:color w:val="auto"/>
          <w:highlight w:val="none"/>
        </w:rPr>
      </w:pPr>
    </w:p>
    <w:p w14:paraId="361C4A2B">
      <w:pPr>
        <w:spacing w:line="380" w:lineRule="exact"/>
        <w:ind w:firstLine="420" w:firstLineChars="200"/>
        <w:rPr>
          <w:rFonts w:hint="eastAsia" w:ascii="宋体" w:hAnsi="宋体"/>
          <w:color w:val="auto"/>
          <w:sz w:val="28"/>
          <w:szCs w:val="28"/>
          <w:highlight w:val="none"/>
        </w:rPr>
      </w:pPr>
      <w:r>
        <w:rPr>
          <w:rFonts w:hint="eastAsia" w:ascii="宋体" w:hAnsi="宋体"/>
          <w:color w:val="auto"/>
          <w:highlight w:val="none"/>
        </w:rPr>
        <w:t xml:space="preserve">        </w:t>
      </w:r>
      <w:r>
        <w:rPr>
          <w:rFonts w:hint="eastAsia" w:ascii="宋体" w:hAnsi="宋体"/>
          <w:color w:val="auto"/>
          <w:sz w:val="24"/>
          <w:highlight w:val="none"/>
        </w:rPr>
        <w:t xml:space="preserve">         </w:t>
      </w:r>
      <w:r>
        <w:rPr>
          <w:rFonts w:hint="eastAsia" w:ascii="宋体" w:hAnsi="宋体"/>
          <w:color w:val="auto"/>
          <w:sz w:val="28"/>
          <w:szCs w:val="28"/>
          <w:highlight w:val="none"/>
        </w:rPr>
        <w:t xml:space="preserve">编制时间： </w:t>
      </w:r>
      <w:r>
        <w:rPr>
          <w:rFonts w:hint="eastAsia" w:ascii="宋体" w:hAnsi="宋体"/>
          <w:color w:val="auto"/>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w:t>
      </w:r>
    </w:p>
    <w:p w14:paraId="63626CCA">
      <w:pPr>
        <w:spacing w:line="460" w:lineRule="exact"/>
        <w:jc w:val="center"/>
        <w:rPr>
          <w:rFonts w:hint="eastAsia" w:ascii="Times New Roman" w:hAnsi="Times New Roman" w:eastAsia="黑体"/>
          <w:color w:val="auto"/>
          <w:sz w:val="44"/>
          <w:szCs w:val="44"/>
          <w:highlight w:val="none"/>
        </w:rPr>
      </w:pPr>
    </w:p>
    <w:p w14:paraId="69FE419D">
      <w:pPr>
        <w:spacing w:line="460" w:lineRule="exact"/>
        <w:jc w:val="center"/>
        <w:rPr>
          <w:rFonts w:eastAsia="黑体"/>
          <w:color w:val="auto"/>
          <w:sz w:val="44"/>
          <w:szCs w:val="44"/>
          <w:highlight w:val="none"/>
        </w:rPr>
      </w:pPr>
    </w:p>
    <w:p w14:paraId="2F56399D">
      <w:pPr>
        <w:spacing w:line="460" w:lineRule="exact"/>
        <w:jc w:val="center"/>
        <w:rPr>
          <w:rFonts w:ascii="宋体" w:hAnsi="宋体"/>
          <w:color w:val="auto"/>
          <w:szCs w:val="21"/>
          <w:highlight w:val="none"/>
        </w:rPr>
      </w:pPr>
    </w:p>
    <w:p w14:paraId="7E3F3C7D">
      <w:pPr>
        <w:pStyle w:val="33"/>
        <w:rPr>
          <w:rFonts w:hint="eastAsia" w:ascii="Times New Roman" w:hAnsi="Times New Roman"/>
          <w:color w:val="auto"/>
          <w:highlight w:val="none"/>
        </w:rPr>
      </w:pPr>
      <w:bookmarkStart w:id="2519" w:name="_Toc28532416"/>
      <w:bookmarkStart w:id="2520" w:name="_Toc426495640"/>
      <w:bookmarkStart w:id="2521" w:name="_Toc12342"/>
      <w:r>
        <w:rPr>
          <w:rFonts w:hint="eastAsia"/>
          <w:color w:val="auto"/>
          <w:highlight w:val="none"/>
        </w:rPr>
        <w:t>投标总价扉页</w:t>
      </w:r>
      <w:bookmarkEnd w:id="2519"/>
      <w:bookmarkEnd w:id="2520"/>
      <w:bookmarkEnd w:id="2521"/>
    </w:p>
    <w:p w14:paraId="5F67D403">
      <w:pPr>
        <w:spacing w:line="380" w:lineRule="exact"/>
        <w:ind w:firstLine="480" w:firstLineChars="200"/>
        <w:rPr>
          <w:rFonts w:ascii="黑体" w:eastAsia="黑体"/>
          <w:color w:val="auto"/>
          <w:sz w:val="24"/>
          <w:highlight w:val="none"/>
        </w:rPr>
      </w:pPr>
    </w:p>
    <w:p w14:paraId="71C5DCDD">
      <w:pPr>
        <w:spacing w:line="380" w:lineRule="exact"/>
        <w:ind w:firstLine="480" w:firstLineChars="200"/>
        <w:rPr>
          <w:rFonts w:hint="eastAsia" w:ascii="黑体" w:eastAsia="黑体"/>
          <w:color w:val="auto"/>
          <w:sz w:val="24"/>
          <w:highlight w:val="none"/>
        </w:rPr>
      </w:pPr>
    </w:p>
    <w:p w14:paraId="1AB73440">
      <w:pPr>
        <w:spacing w:line="460" w:lineRule="exact"/>
        <w:ind w:firstLine="900" w:firstLineChars="300"/>
        <w:rPr>
          <w:rFonts w:hint="eastAsia" w:ascii="宋体" w:hAnsi="宋体"/>
          <w:color w:val="auto"/>
          <w:sz w:val="30"/>
          <w:szCs w:val="30"/>
          <w:highlight w:val="none"/>
        </w:rPr>
      </w:pPr>
      <w:r>
        <w:rPr>
          <w:rFonts w:eastAsia="黑体"/>
          <w:color w:val="auto"/>
          <w:sz w:val="30"/>
          <w:szCs w:val="30"/>
          <w:highlight w:val="none"/>
          <w:u w:val="single"/>
        </w:rPr>
        <w:t xml:space="preserve">        </w:t>
      </w:r>
      <w:r>
        <w:rPr>
          <w:rFonts w:hint="eastAsia" w:eastAsia="黑体"/>
          <w:color w:val="auto"/>
          <w:sz w:val="30"/>
          <w:szCs w:val="30"/>
          <w:highlight w:val="none"/>
        </w:rPr>
        <w:t>（项目名称）</w:t>
      </w:r>
      <w:r>
        <w:rPr>
          <w:rFonts w:eastAsia="黑体"/>
          <w:color w:val="auto"/>
          <w:sz w:val="30"/>
          <w:szCs w:val="30"/>
          <w:highlight w:val="none"/>
          <w:u w:val="single"/>
        </w:rPr>
        <w:t xml:space="preserve">      </w:t>
      </w:r>
      <w:r>
        <w:rPr>
          <w:rFonts w:hint="eastAsia" w:eastAsia="黑体"/>
          <w:color w:val="auto"/>
          <w:sz w:val="30"/>
          <w:szCs w:val="30"/>
          <w:highlight w:val="none"/>
        </w:rPr>
        <w:t>（标段名称）施工招标</w:t>
      </w:r>
    </w:p>
    <w:p w14:paraId="096CDE66">
      <w:pPr>
        <w:spacing w:line="380" w:lineRule="exact"/>
        <w:ind w:firstLine="480" w:firstLineChars="200"/>
        <w:rPr>
          <w:rFonts w:hint="eastAsia" w:ascii="黑体" w:hAnsi="Times New Roman" w:eastAsia="黑体"/>
          <w:color w:val="auto"/>
          <w:sz w:val="24"/>
          <w:szCs w:val="24"/>
          <w:highlight w:val="none"/>
        </w:rPr>
      </w:pPr>
    </w:p>
    <w:p w14:paraId="45593F1F">
      <w:pPr>
        <w:spacing w:after="480" w:afterLines="200" w:line="380" w:lineRule="exact"/>
        <w:ind w:firstLine="720" w:firstLineChars="200"/>
        <w:jc w:val="center"/>
        <w:rPr>
          <w:rFonts w:hint="eastAsia" w:ascii="黑体" w:eastAsia="黑体"/>
          <w:color w:val="auto"/>
          <w:spacing w:val="20"/>
          <w:sz w:val="32"/>
          <w:szCs w:val="32"/>
          <w:highlight w:val="none"/>
        </w:rPr>
      </w:pPr>
      <w:r>
        <w:rPr>
          <w:rFonts w:hint="eastAsia" w:ascii="黑体" w:eastAsia="黑体"/>
          <w:color w:val="auto"/>
          <w:spacing w:val="20"/>
          <w:sz w:val="32"/>
          <w:szCs w:val="32"/>
          <w:highlight w:val="none"/>
        </w:rPr>
        <w:t>投标总价</w:t>
      </w:r>
    </w:p>
    <w:p w14:paraId="5EF64E7B">
      <w:pPr>
        <w:spacing w:line="600" w:lineRule="exact"/>
        <w:ind w:firstLine="420" w:firstLineChars="200"/>
        <w:rPr>
          <w:rFonts w:hint="eastAsia" w:ascii="宋体" w:hAnsi="宋体"/>
          <w:color w:val="auto"/>
          <w:szCs w:val="24"/>
          <w:highlight w:val="none"/>
          <w:u w:val="single"/>
        </w:rPr>
      </w:pPr>
      <w:r>
        <w:rPr>
          <w:rFonts w:hint="eastAsia" w:ascii="宋体" w:hAnsi="宋体"/>
          <w:color w:val="auto"/>
          <w:highlight w:val="none"/>
        </w:rPr>
        <w:t>招 标 人：</w:t>
      </w:r>
      <w:r>
        <w:rPr>
          <w:rFonts w:hint="eastAsia" w:ascii="宋体" w:hAnsi="宋体"/>
          <w:color w:val="auto"/>
          <w:highlight w:val="none"/>
          <w:u w:val="single"/>
        </w:rPr>
        <w:t xml:space="preserve">                                                               </w:t>
      </w:r>
    </w:p>
    <w:p w14:paraId="268C3EBD">
      <w:pPr>
        <w:spacing w:line="600" w:lineRule="exact"/>
        <w:ind w:firstLine="420" w:firstLineChars="200"/>
        <w:rPr>
          <w:rFonts w:hint="eastAsia" w:ascii="宋体" w:hAnsi="宋体"/>
          <w:color w:val="auto"/>
          <w:highlight w:val="none"/>
        </w:rPr>
      </w:pPr>
      <w:r>
        <w:rPr>
          <w:rFonts w:hint="eastAsia" w:ascii="宋体" w:hAnsi="宋体"/>
          <w:color w:val="auto"/>
          <w:highlight w:val="none"/>
        </w:rPr>
        <w:t>工程名称：</w:t>
      </w:r>
      <w:r>
        <w:rPr>
          <w:rFonts w:hint="eastAsia" w:ascii="宋体" w:hAnsi="宋体"/>
          <w:color w:val="auto"/>
          <w:highlight w:val="none"/>
          <w:u w:val="single"/>
        </w:rPr>
        <w:t xml:space="preserve">                                                               </w:t>
      </w:r>
    </w:p>
    <w:p w14:paraId="7FA659D7">
      <w:pPr>
        <w:spacing w:line="600" w:lineRule="exact"/>
        <w:ind w:firstLine="420" w:firstLineChars="200"/>
        <w:rPr>
          <w:rFonts w:hint="eastAsia" w:ascii="宋体" w:hAnsi="宋体"/>
          <w:color w:val="auto"/>
          <w:highlight w:val="none"/>
        </w:rPr>
      </w:pPr>
      <w:r>
        <w:rPr>
          <w:rFonts w:hint="eastAsia" w:ascii="宋体" w:hAnsi="宋体"/>
          <w:color w:val="auto"/>
          <w:highlight w:val="none"/>
        </w:rPr>
        <w:t>投标总价(小写) ：</w:t>
      </w:r>
      <w:r>
        <w:rPr>
          <w:rFonts w:hint="eastAsia" w:ascii="宋体" w:hAnsi="宋体"/>
          <w:color w:val="auto"/>
          <w:highlight w:val="none"/>
          <w:u w:val="single"/>
        </w:rPr>
        <w:t xml:space="preserve">                                                   元   </w:t>
      </w:r>
    </w:p>
    <w:p w14:paraId="554B1B17">
      <w:pPr>
        <w:spacing w:line="600" w:lineRule="exact"/>
        <w:ind w:firstLine="1260" w:firstLineChars="600"/>
        <w:rPr>
          <w:rFonts w:hint="eastAsia" w:ascii="宋体" w:hAnsi="宋体"/>
          <w:color w:val="auto"/>
          <w:highlight w:val="none"/>
          <w:u w:val="single"/>
        </w:rPr>
      </w:pPr>
      <w:r>
        <w:rPr>
          <w:rFonts w:hint="eastAsia" w:ascii="宋体" w:hAnsi="宋体"/>
          <w:color w:val="auto"/>
          <w:highlight w:val="none"/>
        </w:rPr>
        <w:t>(大写) ：</w:t>
      </w:r>
      <w:r>
        <w:rPr>
          <w:rFonts w:hint="eastAsia" w:ascii="宋体" w:hAnsi="宋体"/>
          <w:color w:val="auto"/>
          <w:highlight w:val="none"/>
          <w:u w:val="single"/>
        </w:rPr>
        <w:t xml:space="preserve">                                                   元   </w:t>
      </w:r>
    </w:p>
    <w:p w14:paraId="6B223677">
      <w:pPr>
        <w:spacing w:line="600" w:lineRule="exact"/>
        <w:ind w:firstLine="1260" w:firstLineChars="600"/>
        <w:rPr>
          <w:rFonts w:hint="eastAsia" w:ascii="宋体" w:hAnsi="宋体"/>
          <w:color w:val="auto"/>
          <w:highlight w:val="none"/>
        </w:rPr>
      </w:pPr>
    </w:p>
    <w:p w14:paraId="4FEC657E">
      <w:pPr>
        <w:spacing w:line="320" w:lineRule="exact"/>
        <w:ind w:firstLine="420" w:firstLineChars="200"/>
        <w:rPr>
          <w:rFonts w:hint="eastAsia" w:ascii="宋体" w:hAnsi="宋体"/>
          <w:color w:val="auto"/>
          <w:highlight w:val="none"/>
        </w:rPr>
      </w:pPr>
      <w:r>
        <w:rPr>
          <w:rFonts w:hint="eastAsia" w:ascii="宋体" w:hAnsi="宋体"/>
          <w:color w:val="auto"/>
          <w:highlight w:val="none"/>
        </w:rPr>
        <w:t>投 标 人：</w:t>
      </w:r>
      <w:r>
        <w:rPr>
          <w:rFonts w:hint="eastAsia" w:ascii="宋体" w:hAnsi="宋体"/>
          <w:color w:val="auto"/>
          <w:highlight w:val="none"/>
          <w:u w:val="single"/>
        </w:rPr>
        <w:t xml:space="preserve">                                                               </w:t>
      </w:r>
    </w:p>
    <w:p w14:paraId="2C9DAF0F">
      <w:pPr>
        <w:spacing w:line="320" w:lineRule="exact"/>
        <w:ind w:firstLine="4200" w:firstLineChars="2000"/>
        <w:rPr>
          <w:rFonts w:hint="eastAsia" w:ascii="宋体" w:hAnsi="宋体"/>
          <w:color w:val="auto"/>
          <w:highlight w:val="none"/>
        </w:rPr>
      </w:pPr>
      <w:r>
        <w:rPr>
          <w:rFonts w:hint="eastAsia" w:ascii="宋体" w:hAnsi="宋体"/>
          <w:color w:val="auto"/>
          <w:highlight w:val="none"/>
        </w:rPr>
        <w:t>(单位盖章)</w:t>
      </w:r>
    </w:p>
    <w:p w14:paraId="7F8FDC6C">
      <w:pPr>
        <w:spacing w:line="380" w:lineRule="exact"/>
        <w:ind w:firstLine="420" w:firstLineChars="200"/>
        <w:rPr>
          <w:rFonts w:hint="eastAsia" w:ascii="宋体" w:hAnsi="宋体"/>
          <w:color w:val="auto"/>
          <w:highlight w:val="none"/>
        </w:rPr>
      </w:pPr>
    </w:p>
    <w:p w14:paraId="2AA137DE">
      <w:pPr>
        <w:spacing w:after="72" w:afterLines="30" w:line="380" w:lineRule="exact"/>
        <w:ind w:firstLine="420" w:firstLineChars="200"/>
        <w:rPr>
          <w:rFonts w:hint="eastAsia" w:ascii="宋体" w:hAnsi="宋体"/>
          <w:color w:val="auto"/>
          <w:highlight w:val="none"/>
        </w:rPr>
      </w:pPr>
      <w:r>
        <w:rPr>
          <w:rFonts w:hint="eastAsia" w:ascii="宋体" w:hAnsi="宋体"/>
          <w:color w:val="auto"/>
          <w:highlight w:val="none"/>
        </w:rPr>
        <w:t>法定代表人</w:t>
      </w:r>
    </w:p>
    <w:p w14:paraId="5D896070">
      <w:pPr>
        <w:spacing w:line="320" w:lineRule="exact"/>
        <w:ind w:firstLine="420" w:firstLineChars="200"/>
        <w:rPr>
          <w:rFonts w:hint="eastAsia" w:ascii="宋体" w:hAnsi="宋体"/>
          <w:color w:val="auto"/>
          <w:highlight w:val="none"/>
        </w:rPr>
      </w:pPr>
      <w:r>
        <w:rPr>
          <w:rFonts w:hint="eastAsia" w:ascii="宋体" w:hAnsi="宋体"/>
          <w:color w:val="auto"/>
          <w:highlight w:val="none"/>
        </w:rPr>
        <w:t>或其授权人：</w:t>
      </w:r>
      <w:r>
        <w:rPr>
          <w:rFonts w:hint="eastAsia" w:ascii="宋体" w:hAnsi="宋体"/>
          <w:color w:val="auto"/>
          <w:highlight w:val="none"/>
          <w:u w:val="single"/>
        </w:rPr>
        <w:t xml:space="preserve">                                                             </w:t>
      </w:r>
    </w:p>
    <w:p w14:paraId="2D8DE1ED">
      <w:pPr>
        <w:spacing w:line="320" w:lineRule="exact"/>
        <w:ind w:firstLine="4410" w:firstLineChars="2100"/>
        <w:rPr>
          <w:rFonts w:hint="eastAsia" w:ascii="宋体" w:hAnsi="宋体"/>
          <w:color w:val="auto"/>
          <w:highlight w:val="none"/>
        </w:rPr>
      </w:pPr>
      <w:r>
        <w:rPr>
          <w:rFonts w:hint="eastAsia" w:ascii="宋体" w:hAnsi="宋体"/>
          <w:color w:val="auto"/>
          <w:highlight w:val="none"/>
        </w:rPr>
        <w:t>(签字)</w:t>
      </w:r>
    </w:p>
    <w:p w14:paraId="1B18B433">
      <w:pPr>
        <w:spacing w:line="320" w:lineRule="exact"/>
        <w:ind w:firstLine="3990" w:firstLineChars="1900"/>
        <w:rPr>
          <w:rFonts w:hint="eastAsia" w:ascii="宋体" w:hAnsi="宋体"/>
          <w:color w:val="auto"/>
          <w:highlight w:val="none"/>
        </w:rPr>
      </w:pPr>
    </w:p>
    <w:p w14:paraId="39525384">
      <w:pPr>
        <w:spacing w:line="320" w:lineRule="exact"/>
        <w:ind w:firstLine="3990" w:firstLineChars="1900"/>
        <w:rPr>
          <w:rFonts w:hint="eastAsia" w:ascii="宋体" w:hAnsi="宋体"/>
          <w:color w:val="auto"/>
          <w:highlight w:val="none"/>
        </w:rPr>
      </w:pPr>
    </w:p>
    <w:p w14:paraId="7DE3DF87">
      <w:pPr>
        <w:spacing w:line="320" w:lineRule="exact"/>
        <w:ind w:firstLine="420" w:firstLineChars="200"/>
        <w:rPr>
          <w:rFonts w:hint="eastAsia" w:ascii="宋体" w:hAnsi="宋体"/>
          <w:color w:val="auto"/>
          <w:highlight w:val="none"/>
        </w:rPr>
      </w:pPr>
      <w:r>
        <w:rPr>
          <w:rFonts w:hint="eastAsia" w:ascii="宋体" w:hAnsi="宋体"/>
          <w:color w:val="auto"/>
          <w:highlight w:val="none"/>
        </w:rPr>
        <w:t>编制人：</w:t>
      </w:r>
      <w:r>
        <w:rPr>
          <w:rFonts w:hint="eastAsia" w:ascii="宋体" w:hAnsi="宋体"/>
          <w:color w:val="auto"/>
          <w:highlight w:val="none"/>
          <w:u w:val="single"/>
        </w:rPr>
        <w:t xml:space="preserve">                                                                 </w:t>
      </w:r>
    </w:p>
    <w:p w14:paraId="1BDC4B93">
      <w:pPr>
        <w:spacing w:line="320" w:lineRule="exact"/>
        <w:ind w:firstLine="3570" w:firstLineChars="1700"/>
        <w:rPr>
          <w:rFonts w:hint="eastAsia" w:ascii="宋体" w:hAnsi="宋体"/>
          <w:color w:val="auto"/>
          <w:highlight w:val="none"/>
        </w:rPr>
      </w:pPr>
      <w:r>
        <w:rPr>
          <w:rFonts w:hint="eastAsia" w:ascii="宋体" w:hAnsi="宋体"/>
          <w:color w:val="auto"/>
          <w:highlight w:val="none"/>
        </w:rPr>
        <w:t>(造价人员签字盖专用章)</w:t>
      </w:r>
    </w:p>
    <w:p w14:paraId="3B1A3A78">
      <w:pPr>
        <w:spacing w:line="380" w:lineRule="exact"/>
        <w:ind w:firstLine="420" w:firstLineChars="200"/>
        <w:rPr>
          <w:rFonts w:hint="eastAsia" w:ascii="宋体" w:hAnsi="宋体"/>
          <w:color w:val="auto"/>
          <w:highlight w:val="none"/>
        </w:rPr>
      </w:pPr>
    </w:p>
    <w:p w14:paraId="47FCA953">
      <w:pPr>
        <w:spacing w:line="380" w:lineRule="exact"/>
        <w:ind w:firstLine="420" w:firstLineChars="200"/>
        <w:rPr>
          <w:rFonts w:hint="eastAsia" w:ascii="宋体" w:hAnsi="宋体"/>
          <w:color w:val="auto"/>
          <w:highlight w:val="none"/>
        </w:rPr>
      </w:pPr>
    </w:p>
    <w:p w14:paraId="2CF7FA77">
      <w:pPr>
        <w:spacing w:line="380" w:lineRule="exact"/>
        <w:ind w:firstLine="420" w:firstLineChars="200"/>
        <w:rPr>
          <w:rFonts w:hint="eastAsia" w:ascii="宋体" w:hAnsi="宋体"/>
          <w:color w:val="auto"/>
          <w:highlight w:val="none"/>
        </w:rPr>
      </w:pPr>
      <w:r>
        <w:rPr>
          <w:rFonts w:hint="eastAsia" w:ascii="宋体" w:hAnsi="宋体"/>
          <w:color w:val="auto"/>
          <w:highlight w:val="none"/>
        </w:rPr>
        <w:t>编制时间：                        年      月      日</w:t>
      </w:r>
    </w:p>
    <w:p w14:paraId="68FBE880">
      <w:pPr>
        <w:spacing w:line="380" w:lineRule="exact"/>
        <w:ind w:firstLine="420" w:firstLineChars="200"/>
        <w:rPr>
          <w:rFonts w:hint="eastAsia" w:ascii="黑体" w:hAnsi="Times New Roman" w:eastAsia="黑体"/>
          <w:color w:val="auto"/>
          <w:highlight w:val="none"/>
        </w:rPr>
      </w:pPr>
    </w:p>
    <w:p w14:paraId="2EB593E6">
      <w:pPr>
        <w:spacing w:line="380" w:lineRule="exact"/>
        <w:ind w:firstLine="420" w:firstLineChars="200"/>
        <w:rPr>
          <w:rFonts w:hint="eastAsia" w:ascii="黑体" w:eastAsia="黑体"/>
          <w:color w:val="auto"/>
          <w:highlight w:val="none"/>
        </w:rPr>
      </w:pPr>
    </w:p>
    <w:p w14:paraId="3BC3D0BF">
      <w:pPr>
        <w:spacing w:line="380" w:lineRule="exact"/>
        <w:ind w:firstLine="420" w:firstLineChars="200"/>
        <w:rPr>
          <w:rFonts w:hint="eastAsia" w:ascii="宋体" w:hAnsi="宋体"/>
          <w:color w:val="auto"/>
          <w:highlight w:val="none"/>
        </w:rPr>
      </w:pPr>
      <w:r>
        <w:rPr>
          <w:rFonts w:hint="eastAsia" w:ascii="宋体" w:hAnsi="宋体"/>
          <w:color w:val="auto"/>
          <w:highlight w:val="none"/>
        </w:rPr>
        <w:t>备注：1. 投标总价可按四舍五入精确到元。</w:t>
      </w:r>
    </w:p>
    <w:p w14:paraId="6474C10C">
      <w:pPr>
        <w:spacing w:line="380" w:lineRule="exact"/>
        <w:ind w:left="1365" w:leftChars="200" w:hanging="945" w:hangingChars="450"/>
        <w:rPr>
          <w:rFonts w:hint="eastAsia" w:ascii="宋体" w:hAnsi="宋体"/>
          <w:color w:val="auto"/>
          <w:highlight w:val="none"/>
        </w:rPr>
      </w:pPr>
      <w:r>
        <w:rPr>
          <w:rFonts w:hint="eastAsia" w:ascii="宋体" w:hAnsi="宋体"/>
          <w:color w:val="auto"/>
          <w:highlight w:val="none"/>
        </w:rPr>
        <w:t xml:space="preserve">      2. 因“电子交易平台”未要求造价人员办理CA数字证书，“造价人员签字盖专用章”处暂无需签字和盖专用章。</w:t>
      </w:r>
    </w:p>
    <w:p w14:paraId="72BEC49B">
      <w:pPr>
        <w:spacing w:line="380" w:lineRule="exact"/>
        <w:ind w:left="1365" w:leftChars="500" w:hanging="315" w:hangingChars="150"/>
        <w:rPr>
          <w:rFonts w:hint="eastAsia" w:ascii="宋体" w:hAnsi="宋体"/>
          <w:color w:val="auto"/>
          <w:highlight w:val="none"/>
        </w:rPr>
      </w:pPr>
      <w:r>
        <w:rPr>
          <w:rFonts w:hint="eastAsia" w:ascii="宋体" w:hAnsi="宋体"/>
          <w:color w:val="auto"/>
          <w:highlight w:val="none"/>
        </w:rPr>
        <w:t>3. 已标价工程量清单的内容和制作按第五章“工程量清单”和第二章“投标人须知”</w:t>
      </w:r>
      <w:r>
        <w:rPr>
          <w:color w:val="auto"/>
          <w:highlight w:val="none"/>
        </w:rPr>
        <w:t xml:space="preserve"> </w:t>
      </w:r>
      <w:r>
        <w:rPr>
          <w:rFonts w:hint="eastAsia" w:ascii="宋体" w:hAnsi="宋体"/>
          <w:color w:val="auto"/>
          <w:highlight w:val="none"/>
        </w:rPr>
        <w:t>第3.7.3（4）目的要求填报和制作。</w:t>
      </w:r>
    </w:p>
    <w:p w14:paraId="64F5BD78">
      <w:pPr>
        <w:spacing w:line="380" w:lineRule="exact"/>
        <w:ind w:firstLine="420" w:firstLineChars="200"/>
        <w:rPr>
          <w:rFonts w:hint="eastAsia" w:ascii="宋体" w:hAnsi="宋体"/>
          <w:color w:val="auto"/>
          <w:highlight w:val="none"/>
        </w:rPr>
      </w:pPr>
    </w:p>
    <w:p w14:paraId="1AC45BD1">
      <w:pPr>
        <w:pStyle w:val="31"/>
        <w:jc w:val="center"/>
        <w:rPr>
          <w:rFonts w:hint="eastAsia" w:ascii="黑体" w:hAnsi="宋体"/>
          <w:color w:val="auto"/>
          <w:szCs w:val="28"/>
          <w:highlight w:val="none"/>
        </w:rPr>
      </w:pPr>
      <w:bookmarkStart w:id="2522" w:name="_Toc17784"/>
      <w:bookmarkStart w:id="2523" w:name="_Toc28532417"/>
      <w:r>
        <w:rPr>
          <w:rFonts w:hint="eastAsia"/>
          <w:color w:val="auto"/>
          <w:highlight w:val="none"/>
        </w:rPr>
        <w:t>十、施工组织设计</w:t>
      </w:r>
      <w:bookmarkEnd w:id="2522"/>
      <w:bookmarkEnd w:id="2523"/>
    </w:p>
    <w:p w14:paraId="56C4B666">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1．投标人应根据招标文件和对现场的勘察情况，采用文字并结合图表形式，按照中华人民共和国国家标准《建筑施工组织设计规范》（GB/T50502-2009）的要求编制本工程的施工组织设计，其要点如下：</w:t>
      </w:r>
    </w:p>
    <w:p w14:paraId="7359438C">
      <w:pPr>
        <w:spacing w:line="420" w:lineRule="exact"/>
        <w:ind w:firstLine="420" w:firstLineChars="200"/>
        <w:rPr>
          <w:rFonts w:hint="eastAsia" w:ascii="宋体" w:hAnsi="宋体"/>
          <w:b/>
          <w:color w:val="auto"/>
          <w:szCs w:val="21"/>
          <w:highlight w:val="none"/>
        </w:rPr>
      </w:pPr>
      <w:r>
        <w:rPr>
          <w:rFonts w:hint="eastAsia" w:ascii="宋体" w:hAnsi="宋体"/>
          <w:color w:val="auto"/>
          <w:szCs w:val="21"/>
          <w:highlight w:val="none"/>
        </w:rPr>
        <w:t>（1）</w:t>
      </w:r>
      <w:r>
        <w:rPr>
          <w:rFonts w:hint="eastAsia" w:ascii="宋体" w:hAnsi="宋体"/>
          <w:b/>
          <w:color w:val="auto"/>
          <w:szCs w:val="21"/>
          <w:highlight w:val="none"/>
        </w:rPr>
        <w:t>工程概况</w:t>
      </w:r>
    </w:p>
    <w:p w14:paraId="36B24DCC">
      <w:pPr>
        <w:spacing w:line="420" w:lineRule="exact"/>
        <w:ind w:firstLine="945" w:firstLineChars="450"/>
        <w:rPr>
          <w:rFonts w:hint="eastAsia" w:ascii="宋体" w:hAnsi="宋体"/>
          <w:color w:val="auto"/>
          <w:szCs w:val="21"/>
          <w:highlight w:val="none"/>
        </w:rPr>
      </w:pPr>
      <w:r>
        <w:rPr>
          <w:rFonts w:hint="eastAsia" w:ascii="宋体" w:hAnsi="宋体"/>
          <w:color w:val="auto"/>
          <w:szCs w:val="21"/>
          <w:highlight w:val="none"/>
        </w:rPr>
        <w:t>包括工程主要情况、各专业设计简介、工程施工条件等；</w:t>
      </w:r>
    </w:p>
    <w:p w14:paraId="0CFB6D26">
      <w:pPr>
        <w:spacing w:line="420" w:lineRule="exact"/>
        <w:ind w:left="630" w:leftChars="200" w:hanging="210" w:hangingChars="1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施工部署</w:t>
      </w:r>
    </w:p>
    <w:p w14:paraId="7A46A0FC">
      <w:pPr>
        <w:spacing w:line="420" w:lineRule="exact"/>
        <w:ind w:left="962" w:leftChars="458"/>
        <w:rPr>
          <w:rFonts w:hint="eastAsia" w:ascii="宋体" w:hAnsi="宋体"/>
          <w:color w:val="auto"/>
          <w:szCs w:val="21"/>
          <w:highlight w:val="none"/>
        </w:rPr>
      </w:pPr>
      <w:r>
        <w:rPr>
          <w:rFonts w:hint="eastAsia" w:ascii="宋体" w:hAnsi="宋体"/>
          <w:color w:val="auto"/>
          <w:szCs w:val="21"/>
          <w:highlight w:val="none"/>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14:paraId="01AAC36F">
      <w:pPr>
        <w:spacing w:line="420" w:lineRule="exact"/>
        <w:ind w:left="630" w:leftChars="200" w:hanging="210" w:hangingChars="100"/>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b/>
          <w:color w:val="auto"/>
          <w:szCs w:val="21"/>
          <w:highlight w:val="none"/>
        </w:rPr>
        <w:t>施工进度计划</w:t>
      </w:r>
    </w:p>
    <w:p w14:paraId="6F59CD5E">
      <w:pPr>
        <w:spacing w:line="420" w:lineRule="exact"/>
        <w:ind w:left="945" w:leftChars="450"/>
        <w:rPr>
          <w:rFonts w:hint="eastAsia" w:ascii="宋体" w:hAnsi="宋体"/>
          <w:color w:val="auto"/>
          <w:szCs w:val="21"/>
          <w:highlight w:val="none"/>
        </w:rPr>
      </w:pPr>
      <w:r>
        <w:rPr>
          <w:rFonts w:hint="eastAsia" w:ascii="宋体" w:hAnsi="宋体"/>
          <w:color w:val="auto"/>
          <w:szCs w:val="21"/>
          <w:highlight w:val="none"/>
        </w:rPr>
        <w:t>可采用网络图或横道图表示，并附必要说明，对于规模较大或较复杂的工程，宜采用网络图表示；</w:t>
      </w:r>
    </w:p>
    <w:p w14:paraId="3094839F">
      <w:pPr>
        <w:spacing w:line="420" w:lineRule="exact"/>
        <w:ind w:left="630" w:leftChars="200" w:hanging="210" w:hangingChars="100"/>
        <w:rPr>
          <w:rFonts w:hint="eastAsia" w:ascii="宋体" w:hAnsi="宋体"/>
          <w:color w:val="auto"/>
          <w:szCs w:val="21"/>
          <w:highlight w:val="none"/>
        </w:rPr>
      </w:pPr>
      <w:r>
        <w:rPr>
          <w:rFonts w:hint="eastAsia" w:ascii="宋体" w:hAnsi="宋体"/>
          <w:color w:val="auto"/>
          <w:szCs w:val="21"/>
          <w:highlight w:val="none"/>
        </w:rPr>
        <w:t>（4）</w:t>
      </w:r>
      <w:r>
        <w:rPr>
          <w:rFonts w:hint="eastAsia" w:ascii="宋体" w:hAnsi="宋体"/>
          <w:b/>
          <w:color w:val="auto"/>
          <w:szCs w:val="21"/>
          <w:highlight w:val="none"/>
        </w:rPr>
        <w:t>施工准备与资源配置计划</w:t>
      </w:r>
    </w:p>
    <w:p w14:paraId="2B02879B">
      <w:pPr>
        <w:spacing w:line="420" w:lineRule="exact"/>
        <w:ind w:left="945" w:leftChars="450"/>
        <w:rPr>
          <w:rFonts w:hint="eastAsia" w:ascii="宋体" w:hAnsi="宋体"/>
          <w:color w:val="auto"/>
          <w:szCs w:val="21"/>
          <w:highlight w:val="none"/>
        </w:rPr>
      </w:pPr>
      <w:r>
        <w:rPr>
          <w:rFonts w:hint="eastAsia" w:ascii="宋体" w:hAnsi="宋体"/>
          <w:color w:val="auto"/>
          <w:szCs w:val="21"/>
          <w:highlight w:val="none"/>
        </w:rPr>
        <w:t>施工准备包括技术准备、现场准备和资金准备；资源配置计划包括劳动力配置计划、主要工程材料和设备配置计划、主要周转材料和施工机具配置计划等；</w:t>
      </w:r>
    </w:p>
    <w:p w14:paraId="34BDA634">
      <w:pPr>
        <w:spacing w:line="420" w:lineRule="exact"/>
        <w:ind w:left="630" w:leftChars="200" w:hanging="210" w:hangingChars="100"/>
        <w:rPr>
          <w:rFonts w:hint="eastAsia" w:ascii="宋体" w:hAnsi="宋体"/>
          <w:color w:val="auto"/>
          <w:szCs w:val="21"/>
          <w:highlight w:val="none"/>
        </w:rPr>
      </w:pPr>
      <w:r>
        <w:rPr>
          <w:rFonts w:hint="eastAsia" w:ascii="宋体" w:hAnsi="宋体"/>
          <w:color w:val="auto"/>
          <w:szCs w:val="21"/>
          <w:highlight w:val="none"/>
        </w:rPr>
        <w:t>（5）</w:t>
      </w:r>
      <w:r>
        <w:rPr>
          <w:rFonts w:hint="eastAsia" w:ascii="宋体" w:hAnsi="宋体"/>
          <w:b/>
          <w:color w:val="auto"/>
          <w:szCs w:val="21"/>
          <w:highlight w:val="none"/>
        </w:rPr>
        <w:t>主要施工方案</w:t>
      </w:r>
    </w:p>
    <w:p w14:paraId="72A80D0D">
      <w:pPr>
        <w:spacing w:line="420" w:lineRule="exact"/>
        <w:ind w:left="945" w:leftChars="450"/>
        <w:rPr>
          <w:rFonts w:hint="eastAsia" w:ascii="宋体" w:hAnsi="宋体"/>
          <w:color w:val="auto"/>
          <w:szCs w:val="21"/>
          <w:highlight w:val="none"/>
        </w:rPr>
      </w:pPr>
      <w:r>
        <w:rPr>
          <w:rFonts w:hint="eastAsia" w:ascii="宋体" w:hAnsi="宋体"/>
          <w:color w:val="auto"/>
          <w:szCs w:val="21"/>
          <w:highlight w:val="none"/>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14:paraId="5D9C6802">
      <w:pPr>
        <w:spacing w:line="420" w:lineRule="exact"/>
        <w:ind w:left="630" w:leftChars="200" w:hanging="210" w:hangingChars="100"/>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施工现场平面布置</w:t>
      </w:r>
    </w:p>
    <w:p w14:paraId="6522167B">
      <w:pPr>
        <w:spacing w:line="420" w:lineRule="exact"/>
        <w:ind w:left="899" w:leftChars="428"/>
        <w:rPr>
          <w:rFonts w:hint="eastAsia" w:ascii="宋体" w:hAnsi="宋体"/>
          <w:color w:val="auto"/>
          <w:szCs w:val="21"/>
          <w:highlight w:val="none"/>
        </w:rPr>
      </w:pPr>
      <w:r>
        <w:rPr>
          <w:rFonts w:hint="eastAsia" w:ascii="宋体" w:hAnsi="宋体"/>
          <w:color w:val="auto"/>
          <w:szCs w:val="21"/>
          <w:highlight w:val="none"/>
        </w:rP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w:t>
      </w:r>
    </w:p>
    <w:p w14:paraId="5C7FA174">
      <w:pPr>
        <w:spacing w:line="420" w:lineRule="exact"/>
        <w:ind w:left="630" w:leftChars="200" w:hanging="210" w:hangingChars="100"/>
        <w:rPr>
          <w:rFonts w:hint="eastAsia" w:ascii="宋体" w:hAnsi="宋体"/>
          <w:color w:val="auto"/>
          <w:szCs w:val="21"/>
          <w:highlight w:val="none"/>
        </w:rPr>
      </w:pPr>
      <w:r>
        <w:rPr>
          <w:rFonts w:hint="eastAsia" w:ascii="宋体" w:hAnsi="宋体"/>
          <w:color w:val="auto"/>
          <w:szCs w:val="21"/>
          <w:highlight w:val="none"/>
        </w:rPr>
        <w:t>（7）</w:t>
      </w:r>
      <w:r>
        <w:rPr>
          <w:rFonts w:hint="eastAsia" w:ascii="宋体" w:hAnsi="宋体"/>
          <w:b/>
          <w:color w:val="auto"/>
          <w:szCs w:val="21"/>
          <w:highlight w:val="none"/>
        </w:rPr>
        <w:t>主要施工管理计划</w:t>
      </w:r>
    </w:p>
    <w:p w14:paraId="547AB62E">
      <w:pPr>
        <w:spacing w:line="420" w:lineRule="exact"/>
        <w:ind w:left="945" w:leftChars="450"/>
        <w:rPr>
          <w:rFonts w:hint="eastAsia" w:ascii="宋体" w:hAnsi="宋体"/>
          <w:color w:val="auto"/>
          <w:szCs w:val="21"/>
          <w:highlight w:val="none"/>
        </w:rPr>
      </w:pPr>
      <w:r>
        <w:rPr>
          <w:rFonts w:hint="eastAsia" w:ascii="宋体" w:hAnsi="宋体"/>
          <w:color w:val="auto"/>
          <w:szCs w:val="21"/>
          <w:highlight w:val="none"/>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力资源、施工机具、材料设备等管理计划。</w:t>
      </w:r>
    </w:p>
    <w:p w14:paraId="6EE91AA7">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2．施工组织设计除采用文字表述外可附下列图表，图表及格式要求附后。下述表格应按照章节内容，严格按给定的格式附在相应的章节中。</w:t>
      </w:r>
    </w:p>
    <w:p w14:paraId="7D0F271A">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附表一  拟投入本工程的主要施工设备表</w:t>
      </w:r>
    </w:p>
    <w:p w14:paraId="41104349">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附表二  拟配备本工程的试验和检测仪器设备表</w:t>
      </w:r>
    </w:p>
    <w:p w14:paraId="45D2998C">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附表三  劳动力计划表</w:t>
      </w:r>
    </w:p>
    <w:p w14:paraId="67FB0980">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附表四  计划开、竣工日期和施工进度网络图</w:t>
      </w:r>
    </w:p>
    <w:p w14:paraId="28571737">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附表五  施工总平面图</w:t>
      </w:r>
    </w:p>
    <w:p w14:paraId="7430506F">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附表六  临时用地表</w:t>
      </w:r>
    </w:p>
    <w:p w14:paraId="47A2C514">
      <w:pPr>
        <w:spacing w:before="120" w:beforeLines="50" w:after="240" w:afterLines="100" w:line="420" w:lineRule="exact"/>
        <w:rPr>
          <w:rFonts w:hint="eastAsia" w:ascii="黑体" w:hAnsi="宋体" w:eastAsia="黑体"/>
          <w:color w:val="auto"/>
          <w:sz w:val="24"/>
          <w:szCs w:val="24"/>
          <w:highlight w:val="none"/>
        </w:rPr>
      </w:pPr>
    </w:p>
    <w:p w14:paraId="346F0153">
      <w:pPr>
        <w:spacing w:before="120" w:beforeLines="50" w:after="240" w:afterLines="100" w:line="420" w:lineRule="exact"/>
        <w:rPr>
          <w:rFonts w:hint="eastAsia" w:ascii="黑体" w:hAnsi="宋体" w:eastAsia="黑体"/>
          <w:color w:val="auto"/>
          <w:sz w:val="24"/>
          <w:highlight w:val="none"/>
        </w:rPr>
      </w:pPr>
    </w:p>
    <w:p w14:paraId="21F43F30">
      <w:pPr>
        <w:spacing w:before="120" w:beforeLines="50" w:after="240" w:afterLines="100" w:line="420" w:lineRule="exact"/>
        <w:rPr>
          <w:rFonts w:hint="eastAsia" w:ascii="黑体" w:hAnsi="宋体" w:eastAsia="黑体"/>
          <w:color w:val="auto"/>
          <w:sz w:val="24"/>
          <w:highlight w:val="none"/>
        </w:rPr>
      </w:pPr>
    </w:p>
    <w:p w14:paraId="72DA8DFF">
      <w:pPr>
        <w:spacing w:before="120" w:beforeLines="50" w:after="240" w:afterLines="100" w:line="420" w:lineRule="exact"/>
        <w:rPr>
          <w:rFonts w:hint="eastAsia" w:ascii="黑体" w:hAnsi="宋体" w:eastAsia="黑体"/>
          <w:color w:val="auto"/>
          <w:sz w:val="24"/>
          <w:highlight w:val="none"/>
        </w:rPr>
      </w:pPr>
    </w:p>
    <w:p w14:paraId="6266EC1C">
      <w:pPr>
        <w:spacing w:before="120" w:beforeLines="50" w:after="240" w:afterLines="100" w:line="420" w:lineRule="exact"/>
        <w:rPr>
          <w:rFonts w:hint="eastAsia" w:ascii="黑体" w:hAnsi="宋体" w:eastAsia="黑体"/>
          <w:color w:val="auto"/>
          <w:sz w:val="24"/>
          <w:highlight w:val="none"/>
        </w:rPr>
      </w:pPr>
    </w:p>
    <w:p w14:paraId="17EBB57A">
      <w:pPr>
        <w:spacing w:before="120" w:beforeLines="50" w:after="240" w:afterLines="100" w:line="420" w:lineRule="exact"/>
        <w:rPr>
          <w:rFonts w:hint="eastAsia" w:ascii="黑体" w:hAnsi="宋体" w:eastAsia="黑体"/>
          <w:color w:val="auto"/>
          <w:sz w:val="24"/>
          <w:highlight w:val="none"/>
        </w:rPr>
      </w:pPr>
    </w:p>
    <w:p w14:paraId="60C0D924">
      <w:pPr>
        <w:spacing w:before="120" w:beforeLines="50" w:after="240" w:afterLines="100" w:line="420" w:lineRule="exact"/>
        <w:rPr>
          <w:rFonts w:hint="eastAsia" w:ascii="黑体" w:hAnsi="宋体" w:eastAsia="黑体"/>
          <w:color w:val="auto"/>
          <w:sz w:val="24"/>
          <w:highlight w:val="none"/>
        </w:rPr>
      </w:pPr>
    </w:p>
    <w:p w14:paraId="55BE0EF7">
      <w:pPr>
        <w:spacing w:before="120" w:beforeLines="50" w:after="240" w:afterLines="100" w:line="420" w:lineRule="exact"/>
        <w:rPr>
          <w:rFonts w:hint="eastAsia" w:ascii="黑体" w:hAnsi="宋体" w:eastAsia="黑体"/>
          <w:color w:val="auto"/>
          <w:sz w:val="24"/>
          <w:highlight w:val="none"/>
        </w:rPr>
      </w:pPr>
    </w:p>
    <w:p w14:paraId="7B6A1138">
      <w:pPr>
        <w:spacing w:before="120" w:beforeLines="50" w:after="240" w:afterLines="100" w:line="420" w:lineRule="exact"/>
        <w:rPr>
          <w:rFonts w:hint="eastAsia" w:ascii="黑体" w:hAnsi="宋体" w:eastAsia="黑体"/>
          <w:color w:val="auto"/>
          <w:sz w:val="24"/>
          <w:highlight w:val="none"/>
        </w:rPr>
      </w:pPr>
    </w:p>
    <w:p w14:paraId="6848C45F">
      <w:pPr>
        <w:spacing w:before="120" w:beforeLines="50" w:after="240" w:afterLines="100" w:line="420" w:lineRule="exact"/>
        <w:rPr>
          <w:rFonts w:hint="eastAsia" w:ascii="黑体" w:hAnsi="宋体" w:eastAsia="黑体"/>
          <w:color w:val="auto"/>
          <w:sz w:val="24"/>
          <w:highlight w:val="none"/>
        </w:rPr>
      </w:pPr>
    </w:p>
    <w:p w14:paraId="41EAF60A">
      <w:pPr>
        <w:spacing w:before="120" w:beforeLines="50" w:after="240" w:afterLines="100" w:line="420" w:lineRule="exact"/>
        <w:rPr>
          <w:rFonts w:hint="eastAsia" w:ascii="黑体" w:hAnsi="宋体" w:eastAsia="黑体"/>
          <w:color w:val="auto"/>
          <w:sz w:val="24"/>
          <w:highlight w:val="none"/>
        </w:rPr>
      </w:pPr>
    </w:p>
    <w:p w14:paraId="0051381F">
      <w:pPr>
        <w:spacing w:before="120" w:beforeLines="50" w:after="240" w:afterLines="100" w:line="420" w:lineRule="exact"/>
        <w:rPr>
          <w:rFonts w:hint="eastAsia" w:ascii="黑体" w:hAnsi="宋体" w:eastAsia="黑体"/>
          <w:color w:val="auto"/>
          <w:sz w:val="24"/>
          <w:highlight w:val="none"/>
        </w:rPr>
      </w:pPr>
    </w:p>
    <w:p w14:paraId="26CAB228">
      <w:pPr>
        <w:spacing w:before="120" w:beforeLines="50" w:after="240" w:afterLines="100" w:line="420" w:lineRule="exact"/>
        <w:rPr>
          <w:rFonts w:hint="eastAsia" w:ascii="黑体" w:hAnsi="宋体" w:eastAsia="黑体"/>
          <w:color w:val="auto"/>
          <w:sz w:val="24"/>
          <w:highlight w:val="none"/>
        </w:rPr>
      </w:pPr>
    </w:p>
    <w:p w14:paraId="363282B3">
      <w:pPr>
        <w:spacing w:before="120" w:beforeLines="50" w:after="240" w:afterLines="100" w:line="420" w:lineRule="exact"/>
        <w:rPr>
          <w:rFonts w:hint="eastAsia" w:ascii="黑体" w:hAnsi="宋体" w:eastAsia="黑体"/>
          <w:color w:val="auto"/>
          <w:sz w:val="24"/>
          <w:highlight w:val="none"/>
        </w:rPr>
      </w:pPr>
    </w:p>
    <w:p w14:paraId="4E9423EE">
      <w:pPr>
        <w:spacing w:before="120" w:beforeLines="50" w:after="240" w:afterLines="100" w:line="420" w:lineRule="exact"/>
        <w:rPr>
          <w:rFonts w:hint="eastAsia" w:ascii="黑体" w:hAnsi="宋体" w:eastAsia="黑体"/>
          <w:color w:val="auto"/>
          <w:sz w:val="24"/>
          <w:highlight w:val="none"/>
        </w:rPr>
      </w:pPr>
    </w:p>
    <w:p w14:paraId="0C084098">
      <w:pPr>
        <w:pStyle w:val="33"/>
        <w:rPr>
          <w:rFonts w:hint="eastAsia" w:ascii="Times New Roman" w:hAnsi="Times New Roman"/>
          <w:color w:val="auto"/>
          <w:szCs w:val="24"/>
          <w:highlight w:val="none"/>
        </w:rPr>
      </w:pPr>
      <w:bookmarkStart w:id="2524" w:name="_Toc28532418"/>
      <w:bookmarkStart w:id="2525" w:name="_Toc10610"/>
      <w:r>
        <w:rPr>
          <w:rFonts w:hint="eastAsia"/>
          <w:color w:val="auto"/>
          <w:szCs w:val="24"/>
          <w:highlight w:val="none"/>
        </w:rPr>
        <w:t>附表一：拟投入本工程的主要施工设备表</w:t>
      </w:r>
      <w:bookmarkEnd w:id="2524"/>
      <w:bookmarkEnd w:id="2525"/>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6621B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0E5DC42">
            <w:pPr>
              <w:jc w:val="center"/>
              <w:rPr>
                <w:rFonts w:ascii="宋体" w:hAnsi="宋体"/>
                <w:color w:val="auto"/>
                <w:szCs w:val="21"/>
                <w:highlight w:val="none"/>
              </w:rPr>
            </w:pPr>
            <w:r>
              <w:rPr>
                <w:rFonts w:hint="eastAsia" w:ascii="宋体" w:hAnsi="宋体"/>
                <w:color w:val="auto"/>
                <w:szCs w:val="21"/>
                <w:highlight w:val="none"/>
              </w:rPr>
              <w:t>序号</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FA249EF">
            <w:pPr>
              <w:jc w:val="center"/>
              <w:rPr>
                <w:rFonts w:ascii="宋体" w:hAnsi="宋体"/>
                <w:color w:val="auto"/>
                <w:szCs w:val="21"/>
                <w:highlight w:val="none"/>
              </w:rPr>
            </w:pPr>
            <w:r>
              <w:rPr>
                <w:rFonts w:hint="eastAsia" w:ascii="宋体" w:hAnsi="宋体"/>
                <w:color w:val="auto"/>
                <w:szCs w:val="21"/>
                <w:highlight w:val="none"/>
              </w:rPr>
              <w:t>设备名称</w:t>
            </w:r>
          </w:p>
        </w:tc>
        <w:tc>
          <w:tcPr>
            <w:tcW w:w="672" w:type="dxa"/>
            <w:tcBorders>
              <w:top w:val="single" w:color="auto" w:sz="4" w:space="0"/>
              <w:left w:val="single" w:color="auto" w:sz="4" w:space="0"/>
              <w:bottom w:val="single" w:color="auto" w:sz="4" w:space="0"/>
              <w:right w:val="single" w:color="auto" w:sz="4" w:space="0"/>
            </w:tcBorders>
            <w:noWrap w:val="0"/>
            <w:vAlign w:val="center"/>
          </w:tcPr>
          <w:p w14:paraId="55D0EAE9">
            <w:pPr>
              <w:jc w:val="center"/>
              <w:rPr>
                <w:rFonts w:ascii="宋体" w:hAnsi="宋体"/>
                <w:color w:val="auto"/>
                <w:szCs w:val="21"/>
                <w:highlight w:val="none"/>
              </w:rPr>
            </w:pPr>
            <w:r>
              <w:rPr>
                <w:rFonts w:hint="eastAsia" w:ascii="宋体" w:hAnsi="宋体"/>
                <w:color w:val="auto"/>
                <w:szCs w:val="21"/>
                <w:highlight w:val="none"/>
              </w:rPr>
              <w:t>型号</w:t>
            </w:r>
          </w:p>
          <w:p w14:paraId="1EFDB6B3">
            <w:pPr>
              <w:jc w:val="center"/>
              <w:rPr>
                <w:rFonts w:ascii="宋体" w:hAnsi="宋体"/>
                <w:color w:val="auto"/>
                <w:szCs w:val="21"/>
                <w:highlight w:val="none"/>
              </w:rPr>
            </w:pPr>
            <w:r>
              <w:rPr>
                <w:rFonts w:hint="eastAsia" w:ascii="宋体" w:hAnsi="宋体"/>
                <w:color w:val="auto"/>
                <w:szCs w:val="21"/>
                <w:highlight w:val="none"/>
              </w:rPr>
              <w:t>规格</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7FE7654">
            <w:pPr>
              <w:jc w:val="center"/>
              <w:rPr>
                <w:rFonts w:ascii="宋体" w:hAnsi="宋体"/>
                <w:color w:val="auto"/>
                <w:szCs w:val="21"/>
                <w:highlight w:val="none"/>
              </w:rPr>
            </w:pPr>
            <w:r>
              <w:rPr>
                <w:rFonts w:hint="eastAsia" w:ascii="宋体" w:hAnsi="宋体"/>
                <w:color w:val="auto"/>
                <w:szCs w:val="21"/>
                <w:highlight w:val="none"/>
              </w:rPr>
              <w:t>数  量</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072F148">
            <w:pPr>
              <w:jc w:val="center"/>
              <w:rPr>
                <w:rFonts w:ascii="宋体" w:hAnsi="宋体"/>
                <w:color w:val="auto"/>
                <w:szCs w:val="21"/>
                <w:highlight w:val="none"/>
              </w:rPr>
            </w:pPr>
            <w:r>
              <w:rPr>
                <w:rFonts w:hint="eastAsia" w:ascii="宋体" w:hAnsi="宋体"/>
                <w:color w:val="auto"/>
                <w:szCs w:val="21"/>
                <w:highlight w:val="none"/>
              </w:rPr>
              <w:t>国别</w:t>
            </w:r>
          </w:p>
          <w:p w14:paraId="307641AB">
            <w:pPr>
              <w:jc w:val="center"/>
              <w:rPr>
                <w:rFonts w:ascii="宋体" w:hAnsi="宋体"/>
                <w:color w:val="auto"/>
                <w:szCs w:val="21"/>
                <w:highlight w:val="none"/>
              </w:rPr>
            </w:pPr>
            <w:r>
              <w:rPr>
                <w:rFonts w:hint="eastAsia" w:ascii="宋体" w:hAnsi="宋体"/>
                <w:color w:val="auto"/>
                <w:szCs w:val="21"/>
                <w:highlight w:val="none"/>
              </w:rPr>
              <w:t>产地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7936DE">
            <w:pPr>
              <w:jc w:val="center"/>
              <w:rPr>
                <w:rFonts w:ascii="宋体" w:hAnsi="宋体"/>
                <w:color w:val="auto"/>
                <w:szCs w:val="21"/>
                <w:highlight w:val="none"/>
              </w:rPr>
            </w:pPr>
            <w:r>
              <w:rPr>
                <w:rFonts w:hint="eastAsia" w:ascii="宋体" w:hAnsi="宋体"/>
                <w:color w:val="auto"/>
                <w:szCs w:val="21"/>
                <w:highlight w:val="none"/>
              </w:rPr>
              <w:t>制造</w:t>
            </w:r>
          </w:p>
          <w:p w14:paraId="63D8ACEA">
            <w:pPr>
              <w:jc w:val="center"/>
              <w:rPr>
                <w:rFonts w:ascii="宋体" w:hAnsi="宋体"/>
                <w:color w:val="auto"/>
                <w:szCs w:val="21"/>
                <w:highlight w:val="none"/>
              </w:rPr>
            </w:pPr>
            <w:r>
              <w:rPr>
                <w:rFonts w:hint="eastAsia" w:ascii="宋体" w:hAnsi="宋体"/>
                <w:color w:val="auto"/>
                <w:szCs w:val="21"/>
                <w:highlight w:val="none"/>
              </w:rPr>
              <w:t>年份</w:t>
            </w:r>
          </w:p>
        </w:tc>
        <w:tc>
          <w:tcPr>
            <w:tcW w:w="1176" w:type="dxa"/>
            <w:tcBorders>
              <w:top w:val="single" w:color="auto" w:sz="4" w:space="0"/>
              <w:left w:val="single" w:color="auto" w:sz="4" w:space="0"/>
              <w:bottom w:val="single" w:color="auto" w:sz="4" w:space="0"/>
              <w:right w:val="single" w:color="auto" w:sz="4" w:space="0"/>
            </w:tcBorders>
            <w:noWrap w:val="0"/>
            <w:vAlign w:val="center"/>
          </w:tcPr>
          <w:p w14:paraId="5467058D">
            <w:pPr>
              <w:jc w:val="center"/>
              <w:rPr>
                <w:rFonts w:ascii="宋体" w:hAnsi="宋体"/>
                <w:color w:val="auto"/>
                <w:szCs w:val="21"/>
                <w:highlight w:val="none"/>
              </w:rPr>
            </w:pPr>
            <w:r>
              <w:rPr>
                <w:rFonts w:hint="eastAsia" w:ascii="宋体" w:hAnsi="宋体"/>
                <w:color w:val="auto"/>
                <w:szCs w:val="21"/>
                <w:highlight w:val="none"/>
              </w:rPr>
              <w:t>额定功率</w:t>
            </w:r>
          </w:p>
          <w:p w14:paraId="3904EE78">
            <w:pPr>
              <w:jc w:val="center"/>
              <w:rPr>
                <w:rFonts w:ascii="宋体" w:hAnsi="宋体"/>
                <w:color w:val="auto"/>
                <w:szCs w:val="21"/>
                <w:highlight w:val="none"/>
              </w:rPr>
            </w:pPr>
            <w:r>
              <w:rPr>
                <w:rFonts w:hint="eastAsia" w:ascii="宋体" w:hAnsi="宋体"/>
                <w:color w:val="auto"/>
                <w:szCs w:val="21"/>
                <w:highlight w:val="none"/>
              </w:rPr>
              <w:t>（KW）</w:t>
            </w:r>
          </w:p>
        </w:tc>
        <w:tc>
          <w:tcPr>
            <w:tcW w:w="872" w:type="dxa"/>
            <w:tcBorders>
              <w:top w:val="single" w:color="auto" w:sz="4" w:space="0"/>
              <w:left w:val="single" w:color="auto" w:sz="4" w:space="0"/>
              <w:bottom w:val="single" w:color="auto" w:sz="4" w:space="0"/>
              <w:right w:val="single" w:color="auto" w:sz="4" w:space="0"/>
            </w:tcBorders>
            <w:noWrap w:val="0"/>
            <w:vAlign w:val="center"/>
          </w:tcPr>
          <w:p w14:paraId="3591931E">
            <w:pPr>
              <w:jc w:val="center"/>
              <w:rPr>
                <w:rFonts w:ascii="宋体" w:hAnsi="宋体"/>
                <w:color w:val="auto"/>
                <w:szCs w:val="21"/>
                <w:highlight w:val="none"/>
              </w:rPr>
            </w:pPr>
            <w:r>
              <w:rPr>
                <w:rFonts w:hint="eastAsia" w:ascii="宋体" w:hAnsi="宋体"/>
                <w:color w:val="auto"/>
                <w:szCs w:val="21"/>
                <w:highlight w:val="none"/>
              </w:rPr>
              <w:t>生产</w:t>
            </w:r>
          </w:p>
          <w:p w14:paraId="0A186394">
            <w:pPr>
              <w:jc w:val="center"/>
              <w:rPr>
                <w:rFonts w:ascii="宋体" w:hAnsi="宋体"/>
                <w:color w:val="auto"/>
                <w:szCs w:val="21"/>
                <w:highlight w:val="none"/>
              </w:rPr>
            </w:pPr>
            <w:r>
              <w:rPr>
                <w:rFonts w:hint="eastAsia" w:ascii="宋体" w:hAnsi="宋体"/>
                <w:color w:val="auto"/>
                <w:szCs w:val="21"/>
                <w:highlight w:val="none"/>
              </w:rPr>
              <w:t>能力</w:t>
            </w:r>
          </w:p>
        </w:tc>
        <w:tc>
          <w:tcPr>
            <w:tcW w:w="872" w:type="dxa"/>
            <w:tcBorders>
              <w:top w:val="single" w:color="auto" w:sz="4" w:space="0"/>
              <w:left w:val="single" w:color="auto" w:sz="4" w:space="0"/>
              <w:bottom w:val="single" w:color="auto" w:sz="4" w:space="0"/>
              <w:right w:val="single" w:color="auto" w:sz="4" w:space="0"/>
            </w:tcBorders>
            <w:noWrap w:val="0"/>
            <w:vAlign w:val="center"/>
          </w:tcPr>
          <w:p w14:paraId="6C16AB88">
            <w:pPr>
              <w:jc w:val="center"/>
              <w:rPr>
                <w:rFonts w:ascii="宋体" w:hAnsi="宋体"/>
                <w:color w:val="auto"/>
                <w:szCs w:val="21"/>
                <w:highlight w:val="none"/>
              </w:rPr>
            </w:pPr>
            <w:r>
              <w:rPr>
                <w:rFonts w:hint="eastAsia" w:ascii="宋体" w:hAnsi="宋体"/>
                <w:color w:val="auto"/>
                <w:szCs w:val="21"/>
                <w:highlight w:val="none"/>
              </w:rPr>
              <w:t>用于施</w:t>
            </w:r>
          </w:p>
          <w:p w14:paraId="713D8265">
            <w:pPr>
              <w:jc w:val="center"/>
              <w:rPr>
                <w:rFonts w:ascii="宋体" w:hAnsi="宋体"/>
                <w:color w:val="auto"/>
                <w:szCs w:val="21"/>
                <w:highlight w:val="none"/>
              </w:rPr>
            </w:pPr>
            <w:r>
              <w:rPr>
                <w:rFonts w:hint="eastAsia" w:ascii="宋体" w:hAnsi="宋体"/>
                <w:color w:val="auto"/>
                <w:szCs w:val="21"/>
                <w:highlight w:val="none"/>
              </w:rPr>
              <w:t>工部位</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DC95A8A">
            <w:pPr>
              <w:jc w:val="center"/>
              <w:rPr>
                <w:rFonts w:ascii="宋体" w:hAnsi="宋体"/>
                <w:color w:val="auto"/>
                <w:szCs w:val="21"/>
                <w:highlight w:val="none"/>
              </w:rPr>
            </w:pPr>
            <w:r>
              <w:rPr>
                <w:rFonts w:hint="eastAsia" w:ascii="宋体" w:hAnsi="宋体"/>
                <w:color w:val="auto"/>
                <w:szCs w:val="21"/>
                <w:highlight w:val="none"/>
              </w:rPr>
              <w:t>备注</w:t>
            </w:r>
          </w:p>
        </w:tc>
      </w:tr>
      <w:tr w14:paraId="6491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3635C955">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9CBF1FC">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0A19C4E0">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7F3C72B">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7AFA44">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79A91F">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42DD432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330177CA">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EEDC7B8">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39358C1B">
            <w:pPr>
              <w:jc w:val="center"/>
              <w:rPr>
                <w:rFonts w:ascii="宋体" w:hAnsi="宋体"/>
                <w:color w:val="auto"/>
                <w:szCs w:val="21"/>
                <w:highlight w:val="none"/>
              </w:rPr>
            </w:pPr>
          </w:p>
        </w:tc>
      </w:tr>
      <w:tr w14:paraId="0EEB8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52F17DF">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E441EE8">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4FDB12B9">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D2F7DE0">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60B850">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9D5CE1">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4AAABC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71A39F6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BA8B720">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29493098">
            <w:pPr>
              <w:jc w:val="center"/>
              <w:rPr>
                <w:rFonts w:ascii="宋体" w:hAnsi="宋体"/>
                <w:color w:val="auto"/>
                <w:szCs w:val="21"/>
                <w:highlight w:val="none"/>
              </w:rPr>
            </w:pPr>
          </w:p>
        </w:tc>
      </w:tr>
      <w:tr w14:paraId="2F49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737A5F9">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FF41411">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10463CB0">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54146F6">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5D97F0">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2F53C75">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058D0C9D">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EEB821E">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737AE5CA">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6B9BAC09">
            <w:pPr>
              <w:jc w:val="center"/>
              <w:rPr>
                <w:rFonts w:ascii="宋体" w:hAnsi="宋体"/>
                <w:color w:val="auto"/>
                <w:szCs w:val="21"/>
                <w:highlight w:val="none"/>
              </w:rPr>
            </w:pPr>
          </w:p>
        </w:tc>
      </w:tr>
      <w:tr w14:paraId="7925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631FB6B">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2F321B4">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1CDABE30">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0097AF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332D49A">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9E6E3A">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A084966">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3B273BDA">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66E34BE9">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2753A237">
            <w:pPr>
              <w:jc w:val="center"/>
              <w:rPr>
                <w:rFonts w:ascii="宋体" w:hAnsi="宋体"/>
                <w:color w:val="auto"/>
                <w:szCs w:val="21"/>
                <w:highlight w:val="none"/>
              </w:rPr>
            </w:pPr>
          </w:p>
        </w:tc>
      </w:tr>
      <w:tr w14:paraId="12453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0B73FB2">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9B341D3">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065FEB94">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48F164B">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08F9A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FB3D70">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B49B8FB">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065945B">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D1CF17E">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222F8D23">
            <w:pPr>
              <w:jc w:val="center"/>
              <w:rPr>
                <w:rFonts w:ascii="宋体" w:hAnsi="宋体"/>
                <w:color w:val="auto"/>
                <w:szCs w:val="21"/>
                <w:highlight w:val="none"/>
              </w:rPr>
            </w:pPr>
          </w:p>
        </w:tc>
      </w:tr>
      <w:tr w14:paraId="6092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40AF3438">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4FFB536">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CC4BF2E">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7118121">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E1B52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4A7AE19">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5510A36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72C1CE5">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D48D31F">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3181900B">
            <w:pPr>
              <w:jc w:val="center"/>
              <w:rPr>
                <w:rFonts w:ascii="宋体" w:hAnsi="宋体"/>
                <w:color w:val="auto"/>
                <w:szCs w:val="21"/>
                <w:highlight w:val="none"/>
              </w:rPr>
            </w:pPr>
          </w:p>
        </w:tc>
      </w:tr>
      <w:tr w14:paraId="1277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D17ACBB">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327D7BB">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38247C70">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53EDE62">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F2E6C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53B688">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C318C1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24EC8CC">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3756AE1E">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1CEFA89C">
            <w:pPr>
              <w:jc w:val="center"/>
              <w:rPr>
                <w:rFonts w:ascii="宋体" w:hAnsi="宋体"/>
                <w:color w:val="auto"/>
                <w:szCs w:val="21"/>
                <w:highlight w:val="none"/>
              </w:rPr>
            </w:pPr>
          </w:p>
        </w:tc>
      </w:tr>
      <w:tr w14:paraId="44C0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4BA5CD2">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377C63C">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4F8E7FAA">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1E96BB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29D7B9">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2B30D7">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141C194">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3E41D32A">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FA7C6C9">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007947BA">
            <w:pPr>
              <w:jc w:val="center"/>
              <w:rPr>
                <w:rFonts w:ascii="宋体" w:hAnsi="宋体"/>
                <w:color w:val="auto"/>
                <w:szCs w:val="21"/>
                <w:highlight w:val="none"/>
              </w:rPr>
            </w:pPr>
          </w:p>
        </w:tc>
      </w:tr>
      <w:tr w14:paraId="79A71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77CD5AD9">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71CC602">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627F0359">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AD1C0F3">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9DC32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AD2B31">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49CE31F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76A8689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08CE514B">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4051D444">
            <w:pPr>
              <w:jc w:val="center"/>
              <w:rPr>
                <w:rFonts w:ascii="宋体" w:hAnsi="宋体"/>
                <w:color w:val="auto"/>
                <w:szCs w:val="21"/>
                <w:highlight w:val="none"/>
              </w:rPr>
            </w:pPr>
          </w:p>
        </w:tc>
      </w:tr>
      <w:tr w14:paraId="7F87F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F5BA458">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14FC3DF">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66CCE71">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9245B7D">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CA4143">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653892">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1F25532A">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77A9E61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35A1DB84">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020546CF">
            <w:pPr>
              <w:jc w:val="center"/>
              <w:rPr>
                <w:rFonts w:ascii="宋体" w:hAnsi="宋体"/>
                <w:color w:val="auto"/>
                <w:szCs w:val="21"/>
                <w:highlight w:val="none"/>
              </w:rPr>
            </w:pPr>
          </w:p>
        </w:tc>
      </w:tr>
      <w:tr w14:paraId="248F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80A0633">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0821420">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FA5CBEE">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6B75342">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D8A95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0E2701">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3732156">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68C3136">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3A5EA3F7">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70E1EBF8">
            <w:pPr>
              <w:jc w:val="center"/>
              <w:rPr>
                <w:rFonts w:ascii="宋体" w:hAnsi="宋体"/>
                <w:color w:val="auto"/>
                <w:szCs w:val="21"/>
                <w:highlight w:val="none"/>
              </w:rPr>
            </w:pPr>
          </w:p>
        </w:tc>
      </w:tr>
      <w:tr w14:paraId="7D7B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4AC4A15">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8FA7CAB">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7C063793">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099F7B66">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FB18D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E64D63">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17C7CDAB">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C51FF53">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9AF3163">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44EAD07E">
            <w:pPr>
              <w:jc w:val="center"/>
              <w:rPr>
                <w:rFonts w:ascii="宋体" w:hAnsi="宋体"/>
                <w:color w:val="auto"/>
                <w:szCs w:val="21"/>
                <w:highlight w:val="none"/>
              </w:rPr>
            </w:pPr>
          </w:p>
        </w:tc>
      </w:tr>
      <w:tr w14:paraId="0544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2C64D526">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E72EFE7">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66817A40">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B09B635">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504E3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27103E">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191A1FB5">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CCB5B2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B76FE98">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5E7DA9B0">
            <w:pPr>
              <w:jc w:val="center"/>
              <w:rPr>
                <w:rFonts w:ascii="宋体" w:hAnsi="宋体"/>
                <w:color w:val="auto"/>
                <w:szCs w:val="21"/>
                <w:highlight w:val="none"/>
              </w:rPr>
            </w:pPr>
          </w:p>
        </w:tc>
      </w:tr>
      <w:tr w14:paraId="45C04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121BD4FD">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AB37926">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3BD8FA2">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220BAE3">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4729B8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9D88F4">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5F1EE6C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6406107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1D4B2C6B">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4CFF41DC">
            <w:pPr>
              <w:jc w:val="center"/>
              <w:rPr>
                <w:rFonts w:ascii="宋体" w:hAnsi="宋体"/>
                <w:color w:val="auto"/>
                <w:szCs w:val="21"/>
                <w:highlight w:val="none"/>
              </w:rPr>
            </w:pPr>
          </w:p>
        </w:tc>
      </w:tr>
      <w:tr w14:paraId="0B0A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D6A76B0">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96D5DC2">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4A76CC79">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0339663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7E4141">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C52106">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4F60B850">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0F279C6D">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0C737C13">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560A9E9F">
            <w:pPr>
              <w:jc w:val="center"/>
              <w:rPr>
                <w:rFonts w:ascii="宋体" w:hAnsi="宋体"/>
                <w:color w:val="auto"/>
                <w:szCs w:val="21"/>
                <w:highlight w:val="none"/>
              </w:rPr>
            </w:pPr>
          </w:p>
        </w:tc>
      </w:tr>
      <w:tr w14:paraId="6065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6348875">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D676FF2">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812E8AB">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07B503A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F6A40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FD52B8">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35EC5A8">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2CDA5584">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270EC42">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48F886DA">
            <w:pPr>
              <w:jc w:val="center"/>
              <w:rPr>
                <w:rFonts w:ascii="宋体" w:hAnsi="宋体"/>
                <w:color w:val="auto"/>
                <w:szCs w:val="21"/>
                <w:highlight w:val="none"/>
              </w:rPr>
            </w:pPr>
          </w:p>
        </w:tc>
      </w:tr>
      <w:tr w14:paraId="0686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784F7949">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1FE08F1">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0B9A1AF">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95331F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878DC0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6EB2B8">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0C618C3A">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05A5350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6023BF3">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066BBAEB">
            <w:pPr>
              <w:jc w:val="center"/>
              <w:rPr>
                <w:rFonts w:ascii="宋体" w:hAnsi="宋体"/>
                <w:color w:val="auto"/>
                <w:szCs w:val="21"/>
                <w:highlight w:val="none"/>
              </w:rPr>
            </w:pPr>
          </w:p>
        </w:tc>
      </w:tr>
      <w:tr w14:paraId="208C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003867B">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1AAEC33">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1E5364AF">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94105C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313253">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3598393">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3FB6612">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594C7D5">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0967694">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2C8A5798">
            <w:pPr>
              <w:jc w:val="center"/>
              <w:rPr>
                <w:rFonts w:ascii="宋体" w:hAnsi="宋体"/>
                <w:color w:val="auto"/>
                <w:szCs w:val="21"/>
                <w:highlight w:val="none"/>
              </w:rPr>
            </w:pPr>
          </w:p>
        </w:tc>
      </w:tr>
      <w:tr w14:paraId="766B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561E60B">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C40C3C4">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4327B34">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40B2EF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4A7886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78E61B7">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1E01ED3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02A085B7">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6BA0FF5">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5EDFE090">
            <w:pPr>
              <w:jc w:val="center"/>
              <w:rPr>
                <w:rFonts w:ascii="宋体" w:hAnsi="宋体"/>
                <w:color w:val="auto"/>
                <w:szCs w:val="21"/>
                <w:highlight w:val="none"/>
              </w:rPr>
            </w:pPr>
          </w:p>
        </w:tc>
      </w:tr>
      <w:tr w14:paraId="67008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883F128">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1EE624C">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0E8C41DD">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DB80A9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99ECC3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C93F52">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D4C0B55">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5450C2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743FDF0A">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7C9825C2">
            <w:pPr>
              <w:jc w:val="center"/>
              <w:rPr>
                <w:rFonts w:ascii="宋体" w:hAnsi="宋体"/>
                <w:color w:val="auto"/>
                <w:szCs w:val="21"/>
                <w:highlight w:val="none"/>
              </w:rPr>
            </w:pPr>
          </w:p>
        </w:tc>
      </w:tr>
      <w:tr w14:paraId="7657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7D6D004">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28B578A">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1EA0B6B3">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83233F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10CB3B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2038C8">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1B06DBE">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7B8AAA61">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46C91D7B">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49977790">
            <w:pPr>
              <w:jc w:val="center"/>
              <w:rPr>
                <w:rFonts w:ascii="宋体" w:hAnsi="宋体"/>
                <w:color w:val="auto"/>
                <w:szCs w:val="21"/>
                <w:highlight w:val="none"/>
              </w:rPr>
            </w:pPr>
          </w:p>
        </w:tc>
      </w:tr>
      <w:tr w14:paraId="3D43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5F79C0B">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565A4F9">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212891A">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CCA2A55">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3D568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C5833D3">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FD5BA0B">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B9161FC">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5FE49A1B">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3D424DD6">
            <w:pPr>
              <w:jc w:val="center"/>
              <w:rPr>
                <w:rFonts w:ascii="宋体" w:hAnsi="宋体"/>
                <w:color w:val="auto"/>
                <w:szCs w:val="21"/>
                <w:highlight w:val="none"/>
              </w:rPr>
            </w:pPr>
          </w:p>
        </w:tc>
      </w:tr>
      <w:tr w14:paraId="279F8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4E805E1C">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73327B5">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0435561">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8B64B82">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620B53">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271B921">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158EA532">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08D9231E">
            <w:pPr>
              <w:jc w:val="center"/>
              <w:rPr>
                <w:rFonts w:ascii="宋体" w:hAnsi="宋体"/>
                <w:color w:val="auto"/>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center"/>
          </w:tcPr>
          <w:p w14:paraId="09598BD6">
            <w:pPr>
              <w:jc w:val="center"/>
              <w:rPr>
                <w:rFonts w:ascii="宋体" w:hAnsi="宋体"/>
                <w:color w:val="auto"/>
                <w:szCs w:val="21"/>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57B20047">
            <w:pPr>
              <w:jc w:val="center"/>
              <w:rPr>
                <w:rFonts w:ascii="宋体" w:hAnsi="宋体"/>
                <w:color w:val="auto"/>
                <w:szCs w:val="21"/>
                <w:highlight w:val="none"/>
              </w:rPr>
            </w:pPr>
          </w:p>
        </w:tc>
      </w:tr>
    </w:tbl>
    <w:p w14:paraId="3E7D9AA5">
      <w:pPr>
        <w:spacing w:line="420" w:lineRule="exact"/>
        <w:rPr>
          <w:rFonts w:ascii="宋体" w:hAnsi="宋体"/>
          <w:color w:val="auto"/>
          <w:szCs w:val="21"/>
          <w:highlight w:val="none"/>
        </w:rPr>
      </w:pPr>
    </w:p>
    <w:p w14:paraId="3756524C">
      <w:pPr>
        <w:spacing w:line="420" w:lineRule="exact"/>
        <w:rPr>
          <w:rFonts w:hint="eastAsia" w:ascii="宋体" w:hAnsi="宋体"/>
          <w:color w:val="auto"/>
          <w:szCs w:val="21"/>
          <w:highlight w:val="none"/>
        </w:rPr>
      </w:pPr>
    </w:p>
    <w:p w14:paraId="11BC2D02">
      <w:pPr>
        <w:spacing w:line="420" w:lineRule="exact"/>
        <w:rPr>
          <w:rFonts w:hint="eastAsia" w:ascii="宋体" w:hAnsi="宋体"/>
          <w:color w:val="auto"/>
          <w:szCs w:val="21"/>
          <w:highlight w:val="none"/>
        </w:rPr>
      </w:pPr>
    </w:p>
    <w:p w14:paraId="32576ADF">
      <w:pPr>
        <w:spacing w:line="420" w:lineRule="exact"/>
        <w:rPr>
          <w:rFonts w:hint="eastAsia" w:ascii="宋体" w:hAnsi="宋体"/>
          <w:color w:val="auto"/>
          <w:szCs w:val="21"/>
          <w:highlight w:val="none"/>
        </w:rPr>
      </w:pPr>
    </w:p>
    <w:p w14:paraId="1826D199">
      <w:pPr>
        <w:spacing w:line="420" w:lineRule="exact"/>
        <w:rPr>
          <w:rFonts w:hint="eastAsia" w:ascii="宋体" w:hAnsi="宋体"/>
          <w:color w:val="auto"/>
          <w:szCs w:val="21"/>
          <w:highlight w:val="none"/>
        </w:rPr>
      </w:pPr>
    </w:p>
    <w:p w14:paraId="06A41E81">
      <w:pPr>
        <w:pStyle w:val="33"/>
        <w:rPr>
          <w:rFonts w:hint="eastAsia" w:ascii="黑体" w:hAnsi="宋体"/>
          <w:color w:val="auto"/>
          <w:szCs w:val="24"/>
          <w:highlight w:val="none"/>
        </w:rPr>
      </w:pPr>
      <w:bookmarkStart w:id="2526" w:name="_Toc2033"/>
      <w:bookmarkStart w:id="2527" w:name="_Toc28532419"/>
      <w:r>
        <w:rPr>
          <w:rFonts w:hint="eastAsia"/>
          <w:color w:val="auto"/>
          <w:szCs w:val="24"/>
          <w:highlight w:val="none"/>
        </w:rPr>
        <w:t>附表二：拟配备本工程的试验和检测仪器设备表</w:t>
      </w:r>
      <w:bookmarkEnd w:id="2526"/>
      <w:bookmarkEnd w:id="2527"/>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1659"/>
        <w:gridCol w:w="850"/>
      </w:tblGrid>
      <w:tr w14:paraId="5480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8E0534A">
            <w:pPr>
              <w:jc w:val="center"/>
              <w:rPr>
                <w:rFonts w:ascii="宋体" w:hAnsi="宋体"/>
                <w:color w:val="auto"/>
                <w:szCs w:val="21"/>
                <w:highlight w:val="none"/>
              </w:rPr>
            </w:pPr>
            <w:r>
              <w:rPr>
                <w:rFonts w:hint="eastAsia" w:ascii="宋体" w:hAnsi="宋体"/>
                <w:color w:val="auto"/>
                <w:szCs w:val="21"/>
                <w:highlight w:val="none"/>
              </w:rPr>
              <w:t>序号</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BB44FBA">
            <w:pPr>
              <w:jc w:val="center"/>
              <w:rPr>
                <w:rFonts w:ascii="宋体" w:hAnsi="宋体"/>
                <w:color w:val="auto"/>
                <w:szCs w:val="21"/>
                <w:highlight w:val="none"/>
              </w:rPr>
            </w:pPr>
            <w:r>
              <w:rPr>
                <w:rFonts w:hint="eastAsia" w:ascii="宋体" w:hAnsi="宋体"/>
                <w:color w:val="auto"/>
                <w:szCs w:val="21"/>
                <w:highlight w:val="none"/>
              </w:rPr>
              <w:t>仪器设备</w:t>
            </w:r>
          </w:p>
          <w:p w14:paraId="1D40385A">
            <w:pPr>
              <w:jc w:val="center"/>
              <w:rPr>
                <w:rFonts w:ascii="宋体" w:hAnsi="宋体"/>
                <w:color w:val="auto"/>
                <w:szCs w:val="21"/>
                <w:highlight w:val="none"/>
              </w:rPr>
            </w:pPr>
            <w:r>
              <w:rPr>
                <w:rFonts w:hint="eastAsia" w:ascii="宋体" w:hAnsi="宋体"/>
                <w:color w:val="auto"/>
                <w:szCs w:val="21"/>
                <w:highlight w:val="none"/>
              </w:rPr>
              <w:t>名    称</w:t>
            </w:r>
          </w:p>
        </w:tc>
        <w:tc>
          <w:tcPr>
            <w:tcW w:w="672" w:type="dxa"/>
            <w:tcBorders>
              <w:top w:val="single" w:color="auto" w:sz="4" w:space="0"/>
              <w:left w:val="single" w:color="auto" w:sz="4" w:space="0"/>
              <w:bottom w:val="single" w:color="auto" w:sz="4" w:space="0"/>
              <w:right w:val="single" w:color="auto" w:sz="4" w:space="0"/>
            </w:tcBorders>
            <w:noWrap w:val="0"/>
            <w:vAlign w:val="center"/>
          </w:tcPr>
          <w:p w14:paraId="13ACBEC2">
            <w:pPr>
              <w:jc w:val="center"/>
              <w:rPr>
                <w:rFonts w:ascii="宋体" w:hAnsi="宋体"/>
                <w:color w:val="auto"/>
                <w:szCs w:val="21"/>
                <w:highlight w:val="none"/>
              </w:rPr>
            </w:pPr>
            <w:r>
              <w:rPr>
                <w:rFonts w:hint="eastAsia" w:ascii="宋体" w:hAnsi="宋体"/>
                <w:color w:val="auto"/>
                <w:szCs w:val="21"/>
                <w:highlight w:val="none"/>
              </w:rPr>
              <w:t>型号</w:t>
            </w:r>
          </w:p>
          <w:p w14:paraId="23CC6260">
            <w:pPr>
              <w:jc w:val="center"/>
              <w:rPr>
                <w:rFonts w:ascii="宋体" w:hAnsi="宋体"/>
                <w:color w:val="auto"/>
                <w:szCs w:val="21"/>
                <w:highlight w:val="none"/>
              </w:rPr>
            </w:pPr>
            <w:r>
              <w:rPr>
                <w:rFonts w:hint="eastAsia" w:ascii="宋体" w:hAnsi="宋体"/>
                <w:color w:val="auto"/>
                <w:szCs w:val="21"/>
                <w:highlight w:val="none"/>
              </w:rPr>
              <w:t>规格</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23E75D1">
            <w:pPr>
              <w:jc w:val="center"/>
              <w:rPr>
                <w:rFonts w:ascii="宋体" w:hAnsi="宋体"/>
                <w:color w:val="auto"/>
                <w:szCs w:val="21"/>
                <w:highlight w:val="none"/>
              </w:rPr>
            </w:pPr>
            <w:r>
              <w:rPr>
                <w:rFonts w:hint="eastAsia" w:ascii="宋体" w:hAnsi="宋体"/>
                <w:color w:val="auto"/>
                <w:szCs w:val="21"/>
                <w:highlight w:val="none"/>
              </w:rPr>
              <w:t>数  量</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D433A9">
            <w:pPr>
              <w:jc w:val="center"/>
              <w:rPr>
                <w:rFonts w:ascii="宋体" w:hAnsi="宋体"/>
                <w:color w:val="auto"/>
                <w:szCs w:val="21"/>
                <w:highlight w:val="none"/>
              </w:rPr>
            </w:pPr>
            <w:r>
              <w:rPr>
                <w:rFonts w:hint="eastAsia" w:ascii="宋体" w:hAnsi="宋体"/>
                <w:color w:val="auto"/>
                <w:szCs w:val="21"/>
                <w:highlight w:val="none"/>
              </w:rPr>
              <w:t>国别</w:t>
            </w:r>
          </w:p>
          <w:p w14:paraId="7B23CD9A">
            <w:pPr>
              <w:jc w:val="center"/>
              <w:rPr>
                <w:rFonts w:ascii="宋体" w:hAnsi="宋体"/>
                <w:color w:val="auto"/>
                <w:szCs w:val="21"/>
                <w:highlight w:val="none"/>
              </w:rPr>
            </w:pPr>
            <w:r>
              <w:rPr>
                <w:rFonts w:hint="eastAsia" w:ascii="宋体" w:hAnsi="宋体"/>
                <w:color w:val="auto"/>
                <w:szCs w:val="21"/>
                <w:highlight w:val="none"/>
              </w:rPr>
              <w:t>产地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03D95A">
            <w:pPr>
              <w:jc w:val="center"/>
              <w:rPr>
                <w:rFonts w:ascii="宋体" w:hAnsi="宋体"/>
                <w:color w:val="auto"/>
                <w:szCs w:val="21"/>
                <w:highlight w:val="none"/>
              </w:rPr>
            </w:pPr>
            <w:r>
              <w:rPr>
                <w:rFonts w:hint="eastAsia" w:ascii="宋体" w:hAnsi="宋体"/>
                <w:color w:val="auto"/>
                <w:szCs w:val="21"/>
                <w:highlight w:val="none"/>
              </w:rPr>
              <w:t>制造</w:t>
            </w:r>
          </w:p>
          <w:p w14:paraId="778DDD3B">
            <w:pPr>
              <w:jc w:val="center"/>
              <w:rPr>
                <w:rFonts w:ascii="宋体" w:hAnsi="宋体"/>
                <w:color w:val="auto"/>
                <w:szCs w:val="21"/>
                <w:highlight w:val="none"/>
              </w:rPr>
            </w:pPr>
            <w:r>
              <w:rPr>
                <w:rFonts w:hint="eastAsia" w:ascii="宋体" w:hAnsi="宋体"/>
                <w:color w:val="auto"/>
                <w:szCs w:val="21"/>
                <w:highlight w:val="none"/>
              </w:rPr>
              <w:t>年份</w:t>
            </w: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F6B8EFB">
            <w:pPr>
              <w:jc w:val="center"/>
              <w:rPr>
                <w:rFonts w:ascii="宋体" w:hAnsi="宋体"/>
                <w:color w:val="auto"/>
                <w:szCs w:val="21"/>
                <w:highlight w:val="none"/>
              </w:rPr>
            </w:pPr>
            <w:r>
              <w:rPr>
                <w:rFonts w:hint="eastAsia" w:ascii="宋体" w:hAnsi="宋体"/>
                <w:color w:val="auto"/>
                <w:szCs w:val="21"/>
                <w:highlight w:val="none"/>
              </w:rPr>
              <w:t>已使用台</w:t>
            </w:r>
          </w:p>
          <w:p w14:paraId="459AAAAB">
            <w:pPr>
              <w:jc w:val="center"/>
              <w:rPr>
                <w:rFonts w:ascii="宋体" w:hAnsi="宋体"/>
                <w:color w:val="auto"/>
                <w:szCs w:val="21"/>
                <w:highlight w:val="none"/>
              </w:rPr>
            </w:pPr>
            <w:r>
              <w:rPr>
                <w:rFonts w:hint="eastAsia" w:ascii="宋体" w:hAnsi="宋体"/>
                <w:color w:val="auto"/>
                <w:szCs w:val="21"/>
                <w:highlight w:val="none"/>
              </w:rPr>
              <w:t>时    数</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D4D64A1">
            <w:pPr>
              <w:jc w:val="center"/>
              <w:rPr>
                <w:rFonts w:ascii="宋体" w:hAnsi="宋体"/>
                <w:color w:val="auto"/>
                <w:szCs w:val="21"/>
                <w:highlight w:val="none"/>
              </w:rPr>
            </w:pPr>
            <w:r>
              <w:rPr>
                <w:rFonts w:hint="eastAsia" w:ascii="宋体" w:hAnsi="宋体"/>
                <w:color w:val="auto"/>
                <w:szCs w:val="21"/>
                <w:highlight w:val="none"/>
              </w:rPr>
              <w:t>用  途</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E72422C">
            <w:pPr>
              <w:jc w:val="center"/>
              <w:rPr>
                <w:rFonts w:ascii="宋体" w:hAnsi="宋体"/>
                <w:color w:val="auto"/>
                <w:szCs w:val="21"/>
                <w:highlight w:val="none"/>
              </w:rPr>
            </w:pPr>
            <w:r>
              <w:rPr>
                <w:rFonts w:hint="eastAsia" w:ascii="宋体" w:hAnsi="宋体"/>
                <w:color w:val="auto"/>
                <w:szCs w:val="21"/>
                <w:highlight w:val="none"/>
              </w:rPr>
              <w:t>备注</w:t>
            </w:r>
          </w:p>
        </w:tc>
      </w:tr>
      <w:tr w14:paraId="0C6E7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BE17966">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7AE9DDA">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0D2E88B">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0AED8820">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B9D3B2">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F287D5">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56242C5">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C38463B">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D3C1C8B">
            <w:pPr>
              <w:jc w:val="center"/>
              <w:rPr>
                <w:rFonts w:ascii="宋体" w:hAnsi="宋体"/>
                <w:color w:val="auto"/>
                <w:szCs w:val="21"/>
                <w:highlight w:val="none"/>
              </w:rPr>
            </w:pPr>
          </w:p>
        </w:tc>
      </w:tr>
      <w:tr w14:paraId="5DE8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A96C671">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78BBD9E">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D1068AD">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DA71B3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A4E9B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09AEE3">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0E49F61B">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9403F88">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9087922">
            <w:pPr>
              <w:jc w:val="center"/>
              <w:rPr>
                <w:rFonts w:ascii="宋体" w:hAnsi="宋体"/>
                <w:color w:val="auto"/>
                <w:szCs w:val="21"/>
                <w:highlight w:val="none"/>
              </w:rPr>
            </w:pPr>
          </w:p>
        </w:tc>
      </w:tr>
      <w:tr w14:paraId="7111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9A45361">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8CFF599">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116B639">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E5F97D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8F33E4">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DE0A9A">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37197C6">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EFC69D1">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0740FCB">
            <w:pPr>
              <w:jc w:val="center"/>
              <w:rPr>
                <w:rFonts w:ascii="宋体" w:hAnsi="宋体"/>
                <w:color w:val="auto"/>
                <w:szCs w:val="21"/>
                <w:highlight w:val="none"/>
              </w:rPr>
            </w:pPr>
          </w:p>
        </w:tc>
      </w:tr>
      <w:tr w14:paraId="7693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10E7F5A">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CDFD1AE">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9577C90">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51DEFA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621AE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CD8DB00">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44D3A7EF">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E76C7B6">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31994D3">
            <w:pPr>
              <w:jc w:val="center"/>
              <w:rPr>
                <w:rFonts w:ascii="宋体" w:hAnsi="宋体"/>
                <w:color w:val="auto"/>
                <w:szCs w:val="21"/>
                <w:highlight w:val="none"/>
              </w:rPr>
            </w:pPr>
          </w:p>
        </w:tc>
      </w:tr>
      <w:tr w14:paraId="5B3DF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218BE786">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788FC68">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68E57CE8">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130E2E9">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8FE1489">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48110F7">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E08EA18">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ADF10BF">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E98AE1F">
            <w:pPr>
              <w:jc w:val="center"/>
              <w:rPr>
                <w:rFonts w:ascii="宋体" w:hAnsi="宋体"/>
                <w:color w:val="auto"/>
                <w:szCs w:val="21"/>
                <w:highlight w:val="none"/>
              </w:rPr>
            </w:pPr>
          </w:p>
        </w:tc>
      </w:tr>
      <w:tr w14:paraId="4517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1BFBB1F4">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83AE36E">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32997FC9">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499E276">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18B1A2">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2221360">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0C82642B">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D5CD1BA">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6726F0B">
            <w:pPr>
              <w:jc w:val="center"/>
              <w:rPr>
                <w:rFonts w:ascii="宋体" w:hAnsi="宋体"/>
                <w:color w:val="auto"/>
                <w:szCs w:val="21"/>
                <w:highlight w:val="none"/>
              </w:rPr>
            </w:pPr>
          </w:p>
        </w:tc>
      </w:tr>
      <w:tr w14:paraId="6484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43B420E1">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80D3375">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3E48ADE2">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4119E05">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A41C65">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E6B83F">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8C0F8C2">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726C479">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C2983F7">
            <w:pPr>
              <w:jc w:val="center"/>
              <w:rPr>
                <w:rFonts w:ascii="宋体" w:hAnsi="宋体"/>
                <w:color w:val="auto"/>
                <w:szCs w:val="21"/>
                <w:highlight w:val="none"/>
              </w:rPr>
            </w:pPr>
          </w:p>
        </w:tc>
      </w:tr>
      <w:tr w14:paraId="4CDF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6BA6176">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B1B8E59">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2D9F1243">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3B5973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1D17C72">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5FD5FB">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0ED46C8A">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50164D3">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7D16574">
            <w:pPr>
              <w:jc w:val="center"/>
              <w:rPr>
                <w:rFonts w:ascii="宋体" w:hAnsi="宋体"/>
                <w:color w:val="auto"/>
                <w:szCs w:val="21"/>
                <w:highlight w:val="none"/>
              </w:rPr>
            </w:pPr>
          </w:p>
        </w:tc>
      </w:tr>
      <w:tr w14:paraId="7666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3ED07A75">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D304061">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645C8649">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D40FE51">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A16BF4">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300B095">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020A9174">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50D4DE1">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4DE379B">
            <w:pPr>
              <w:jc w:val="center"/>
              <w:rPr>
                <w:rFonts w:ascii="宋体" w:hAnsi="宋体"/>
                <w:color w:val="auto"/>
                <w:szCs w:val="21"/>
                <w:highlight w:val="none"/>
              </w:rPr>
            </w:pPr>
          </w:p>
        </w:tc>
      </w:tr>
      <w:tr w14:paraId="1E7A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C1DA786">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ED93F9A">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7FB9BDFF">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5B4DFE1">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C988D3">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D1DB94">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1BAF5FF">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5A8A5B5">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1ABE1A9">
            <w:pPr>
              <w:jc w:val="center"/>
              <w:rPr>
                <w:rFonts w:ascii="宋体" w:hAnsi="宋体"/>
                <w:color w:val="auto"/>
                <w:szCs w:val="21"/>
                <w:highlight w:val="none"/>
              </w:rPr>
            </w:pPr>
          </w:p>
        </w:tc>
      </w:tr>
      <w:tr w14:paraId="2B051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7D420FC0">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F374A91">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4E1C85E9">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0A79DE2B">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4A9B61">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F584E2">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6CD1D33E">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D9FA0B7">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44BAACF">
            <w:pPr>
              <w:jc w:val="center"/>
              <w:rPr>
                <w:rFonts w:ascii="宋体" w:hAnsi="宋体"/>
                <w:color w:val="auto"/>
                <w:szCs w:val="21"/>
                <w:highlight w:val="none"/>
              </w:rPr>
            </w:pPr>
          </w:p>
        </w:tc>
      </w:tr>
      <w:tr w14:paraId="0BD8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6E3AB16">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D358408">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644C999D">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0F22FA0">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C308B0">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8562A5A">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6D288DF">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7F04984">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055EC8F">
            <w:pPr>
              <w:jc w:val="center"/>
              <w:rPr>
                <w:rFonts w:ascii="宋体" w:hAnsi="宋体"/>
                <w:color w:val="auto"/>
                <w:szCs w:val="21"/>
                <w:highlight w:val="none"/>
              </w:rPr>
            </w:pPr>
          </w:p>
        </w:tc>
      </w:tr>
      <w:tr w14:paraId="530E7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0F8EE894">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E0BF0A6">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9EA2FFA">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4225DDF">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4349FD2">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8D0112">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60C8D9DD">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7B3DAD7">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11D1B11">
            <w:pPr>
              <w:jc w:val="center"/>
              <w:rPr>
                <w:rFonts w:ascii="宋体" w:hAnsi="宋体"/>
                <w:color w:val="auto"/>
                <w:szCs w:val="21"/>
                <w:highlight w:val="none"/>
              </w:rPr>
            </w:pPr>
          </w:p>
        </w:tc>
      </w:tr>
      <w:tr w14:paraId="567D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7818FA3">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C44A228">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14A234C">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C8F035A">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09004A">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CBDEAC">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6C61EC0">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D4FAC4A">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C34C2E8">
            <w:pPr>
              <w:jc w:val="center"/>
              <w:rPr>
                <w:rFonts w:ascii="宋体" w:hAnsi="宋体"/>
                <w:color w:val="auto"/>
                <w:szCs w:val="21"/>
                <w:highlight w:val="none"/>
              </w:rPr>
            </w:pPr>
          </w:p>
        </w:tc>
      </w:tr>
      <w:tr w14:paraId="6CDF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765643FE">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DB4CC40">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4AD615EC">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5850AB1">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27EAAB0">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568BD27">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9E97B24">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18E39F7">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CEE2072">
            <w:pPr>
              <w:jc w:val="center"/>
              <w:rPr>
                <w:rFonts w:ascii="宋体" w:hAnsi="宋体"/>
                <w:color w:val="auto"/>
                <w:szCs w:val="21"/>
                <w:highlight w:val="none"/>
              </w:rPr>
            </w:pPr>
          </w:p>
        </w:tc>
      </w:tr>
      <w:tr w14:paraId="4C0F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8B135AD">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D816A6F">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735F07C5">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7EFC5DA">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5B1DF9">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A9477B2">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AFB4461">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277AD7AE">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6EB15AC">
            <w:pPr>
              <w:jc w:val="center"/>
              <w:rPr>
                <w:rFonts w:ascii="宋体" w:hAnsi="宋体"/>
                <w:color w:val="auto"/>
                <w:szCs w:val="21"/>
                <w:highlight w:val="none"/>
              </w:rPr>
            </w:pPr>
          </w:p>
        </w:tc>
      </w:tr>
      <w:tr w14:paraId="30E1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7ACE4D25">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66DE4A1">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311DC4B4">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191ADB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65ABDB">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FACC63">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1E042FE3">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F2E9F09">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930425A">
            <w:pPr>
              <w:jc w:val="center"/>
              <w:rPr>
                <w:rFonts w:ascii="宋体" w:hAnsi="宋体"/>
                <w:color w:val="auto"/>
                <w:szCs w:val="21"/>
                <w:highlight w:val="none"/>
              </w:rPr>
            </w:pPr>
          </w:p>
        </w:tc>
      </w:tr>
      <w:tr w14:paraId="22BC0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43F360F0">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7F5058F">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365788F0">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8CCE9A">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342DB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651584">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DDC9F07">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3521D2E">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8879F3B">
            <w:pPr>
              <w:jc w:val="center"/>
              <w:rPr>
                <w:rFonts w:ascii="宋体" w:hAnsi="宋体"/>
                <w:color w:val="auto"/>
                <w:szCs w:val="21"/>
                <w:highlight w:val="none"/>
              </w:rPr>
            </w:pPr>
          </w:p>
        </w:tc>
      </w:tr>
      <w:tr w14:paraId="7F1FD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7598B4C1">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7D7E4DB">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7EE35C98">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09EC9FC">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BE3E0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32DDAF">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0D10500E">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2EEA1B5">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BC08674">
            <w:pPr>
              <w:jc w:val="center"/>
              <w:rPr>
                <w:rFonts w:ascii="宋体" w:hAnsi="宋体"/>
                <w:color w:val="auto"/>
                <w:szCs w:val="21"/>
                <w:highlight w:val="none"/>
              </w:rPr>
            </w:pPr>
          </w:p>
        </w:tc>
      </w:tr>
      <w:tr w14:paraId="6782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BB7779F">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2E778D8">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53EDA3D4">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54416B7">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EB46E39">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B520656">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5EB5AC63">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2A31C17B">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1620A30">
            <w:pPr>
              <w:jc w:val="center"/>
              <w:rPr>
                <w:rFonts w:ascii="宋体" w:hAnsi="宋体"/>
                <w:color w:val="auto"/>
                <w:szCs w:val="21"/>
                <w:highlight w:val="none"/>
              </w:rPr>
            </w:pPr>
          </w:p>
        </w:tc>
      </w:tr>
      <w:tr w14:paraId="53E3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63A6FC6D">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7DAC652">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7DCA829D">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C6BD486">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C3D79BA">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2CF525">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7F92A2CE">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4CD8025">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3B422B5">
            <w:pPr>
              <w:jc w:val="center"/>
              <w:rPr>
                <w:rFonts w:ascii="宋体" w:hAnsi="宋体"/>
                <w:color w:val="auto"/>
                <w:szCs w:val="21"/>
                <w:highlight w:val="none"/>
              </w:rPr>
            </w:pPr>
          </w:p>
        </w:tc>
      </w:tr>
      <w:tr w14:paraId="5CE78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3C24FDDE">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87C7380">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393C5A23">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822D42D">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803D89">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4F1672">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69637F6D">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FCF400C">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2C82C7A">
            <w:pPr>
              <w:jc w:val="center"/>
              <w:rPr>
                <w:rFonts w:ascii="宋体" w:hAnsi="宋体"/>
                <w:color w:val="auto"/>
                <w:szCs w:val="21"/>
                <w:highlight w:val="none"/>
              </w:rPr>
            </w:pPr>
          </w:p>
        </w:tc>
      </w:tr>
      <w:tr w14:paraId="4D8E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tcBorders>
              <w:top w:val="single" w:color="auto" w:sz="4" w:space="0"/>
              <w:left w:val="single" w:color="auto" w:sz="4" w:space="0"/>
              <w:bottom w:val="single" w:color="auto" w:sz="4" w:space="0"/>
              <w:right w:val="single" w:color="auto" w:sz="4" w:space="0"/>
            </w:tcBorders>
            <w:noWrap w:val="0"/>
            <w:vAlign w:val="center"/>
          </w:tcPr>
          <w:p w14:paraId="5A678C05">
            <w:pPr>
              <w:jc w:val="center"/>
              <w:rPr>
                <w:rFonts w:ascii="宋体" w:hAnsi="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DA5ECA8">
            <w:pPr>
              <w:jc w:val="center"/>
              <w:rPr>
                <w:rFonts w:ascii="宋体" w:hAnsi="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noWrap w:val="0"/>
            <w:vAlign w:val="center"/>
          </w:tcPr>
          <w:p w14:paraId="1486C27E">
            <w:pPr>
              <w:jc w:val="center"/>
              <w:rPr>
                <w:rFonts w:ascii="宋体" w:hAnsi="宋体"/>
                <w:color w:val="auto"/>
                <w:szCs w:val="21"/>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BE45B6B">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C5951EE">
            <w:pPr>
              <w:jc w:val="center"/>
              <w:rPr>
                <w:rFonts w:ascii="宋体" w:hAnsi="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2F86C8">
            <w:pPr>
              <w:jc w:val="center"/>
              <w:rPr>
                <w:rFonts w:ascii="宋体" w:hAnsi="宋体"/>
                <w:color w:val="auto"/>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4722C7E6">
            <w:pPr>
              <w:jc w:val="center"/>
              <w:rPr>
                <w:rFonts w:ascii="宋体" w:hAnsi="宋体"/>
                <w:color w:val="auto"/>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9271B42">
            <w:pPr>
              <w:jc w:val="center"/>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0BB8E7B">
            <w:pPr>
              <w:jc w:val="center"/>
              <w:rPr>
                <w:rFonts w:ascii="宋体" w:hAnsi="宋体"/>
                <w:color w:val="auto"/>
                <w:szCs w:val="21"/>
                <w:highlight w:val="none"/>
              </w:rPr>
            </w:pPr>
          </w:p>
        </w:tc>
      </w:tr>
    </w:tbl>
    <w:p w14:paraId="22552FD9">
      <w:pPr>
        <w:spacing w:line="420" w:lineRule="exact"/>
        <w:rPr>
          <w:rFonts w:hint="eastAsia" w:ascii="宋体" w:hAnsi="宋体"/>
          <w:color w:val="auto"/>
          <w:szCs w:val="21"/>
          <w:highlight w:val="none"/>
        </w:rPr>
      </w:pPr>
    </w:p>
    <w:p w14:paraId="147A4DA5">
      <w:pPr>
        <w:spacing w:line="420" w:lineRule="exact"/>
        <w:rPr>
          <w:rFonts w:hint="eastAsia" w:ascii="宋体" w:hAnsi="宋体"/>
          <w:color w:val="auto"/>
          <w:szCs w:val="21"/>
          <w:highlight w:val="none"/>
        </w:rPr>
      </w:pPr>
    </w:p>
    <w:p w14:paraId="15E048A3">
      <w:pPr>
        <w:spacing w:line="420" w:lineRule="exact"/>
        <w:rPr>
          <w:rFonts w:hint="eastAsia" w:ascii="宋体" w:hAnsi="宋体"/>
          <w:color w:val="auto"/>
          <w:szCs w:val="21"/>
          <w:highlight w:val="none"/>
        </w:rPr>
      </w:pPr>
    </w:p>
    <w:p w14:paraId="10A00848">
      <w:pPr>
        <w:spacing w:line="420" w:lineRule="exact"/>
        <w:rPr>
          <w:rFonts w:hint="eastAsia" w:ascii="宋体" w:hAnsi="宋体"/>
          <w:color w:val="auto"/>
          <w:szCs w:val="21"/>
          <w:highlight w:val="none"/>
        </w:rPr>
      </w:pPr>
    </w:p>
    <w:p w14:paraId="2B465576">
      <w:pPr>
        <w:spacing w:line="420" w:lineRule="exact"/>
        <w:rPr>
          <w:rFonts w:hint="eastAsia" w:ascii="宋体" w:hAnsi="宋体"/>
          <w:color w:val="auto"/>
          <w:szCs w:val="21"/>
          <w:highlight w:val="none"/>
        </w:rPr>
      </w:pPr>
    </w:p>
    <w:p w14:paraId="73931EFD">
      <w:pPr>
        <w:pStyle w:val="33"/>
        <w:rPr>
          <w:rFonts w:hint="eastAsia" w:ascii="黑体" w:hAnsi="宋体"/>
          <w:color w:val="auto"/>
          <w:highlight w:val="none"/>
        </w:rPr>
      </w:pPr>
      <w:bookmarkStart w:id="2528" w:name="_Toc11298"/>
      <w:bookmarkStart w:id="2529" w:name="_Toc28532420"/>
      <w:r>
        <w:rPr>
          <w:rFonts w:hint="eastAsia"/>
          <w:color w:val="auto"/>
          <w:szCs w:val="24"/>
          <w:highlight w:val="none"/>
        </w:rPr>
        <w:t>附表三：劳动力计划表</w:t>
      </w:r>
      <w:bookmarkEnd w:id="2528"/>
      <w:bookmarkEnd w:id="2529"/>
    </w:p>
    <w:p w14:paraId="7925B7B0">
      <w:pPr>
        <w:wordWrap w:val="0"/>
        <w:spacing w:line="420" w:lineRule="exact"/>
        <w:jc w:val="right"/>
        <w:rPr>
          <w:rFonts w:hint="eastAsia" w:ascii="黑体" w:hAnsi="宋体" w:eastAsia="黑体"/>
          <w:color w:val="auto"/>
          <w:szCs w:val="21"/>
          <w:highlight w:val="none"/>
        </w:rPr>
      </w:pPr>
      <w:r>
        <w:rPr>
          <w:rFonts w:hint="eastAsia" w:ascii="黑体" w:hAnsi="宋体" w:eastAsia="黑体"/>
          <w:color w:val="auto"/>
          <w:szCs w:val="21"/>
          <w:highlight w:val="none"/>
        </w:rPr>
        <w:t xml:space="preserve">单位：人   </w:t>
      </w: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18"/>
        <w:gridCol w:w="1063"/>
        <w:gridCol w:w="1063"/>
        <w:gridCol w:w="1063"/>
        <w:gridCol w:w="1063"/>
        <w:gridCol w:w="1063"/>
        <w:gridCol w:w="1063"/>
      </w:tblGrid>
      <w:tr w14:paraId="185D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0B2F21B">
            <w:pPr>
              <w:jc w:val="center"/>
              <w:rPr>
                <w:rFonts w:ascii="宋体" w:hAnsi="宋体"/>
                <w:color w:val="auto"/>
                <w:szCs w:val="21"/>
                <w:highlight w:val="none"/>
              </w:rPr>
            </w:pPr>
            <w:r>
              <w:rPr>
                <w:rFonts w:hint="eastAsia" w:ascii="宋体" w:hAnsi="宋体"/>
                <w:color w:val="auto"/>
                <w:szCs w:val="21"/>
                <w:highlight w:val="none"/>
              </w:rPr>
              <w:t>工种</w:t>
            </w:r>
          </w:p>
        </w:tc>
        <w:tc>
          <w:tcPr>
            <w:tcW w:w="7796" w:type="dxa"/>
            <w:gridSpan w:val="7"/>
            <w:tcBorders>
              <w:top w:val="single" w:color="auto" w:sz="4" w:space="0"/>
              <w:left w:val="single" w:color="auto" w:sz="4" w:space="0"/>
              <w:bottom w:val="single" w:color="auto" w:sz="4" w:space="0"/>
              <w:right w:val="single" w:color="auto" w:sz="4" w:space="0"/>
            </w:tcBorders>
            <w:noWrap w:val="0"/>
            <w:vAlign w:val="center"/>
          </w:tcPr>
          <w:p w14:paraId="675F9CDA">
            <w:pPr>
              <w:jc w:val="center"/>
              <w:rPr>
                <w:rFonts w:ascii="宋体" w:hAnsi="宋体"/>
                <w:color w:val="auto"/>
                <w:szCs w:val="21"/>
                <w:highlight w:val="none"/>
              </w:rPr>
            </w:pPr>
            <w:r>
              <w:rPr>
                <w:rFonts w:hint="eastAsia" w:ascii="宋体" w:hAnsi="宋体"/>
                <w:color w:val="auto"/>
                <w:szCs w:val="21"/>
                <w:highlight w:val="none"/>
              </w:rPr>
              <w:t>按工程施工阶段投入劳动力情况</w:t>
            </w:r>
          </w:p>
        </w:tc>
      </w:tr>
      <w:tr w14:paraId="5F3B6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0A20067">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812F7F5">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9B2B37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5B1D02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04C532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EF8C66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3A6E3F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555CB36">
            <w:pPr>
              <w:jc w:val="center"/>
              <w:rPr>
                <w:rFonts w:ascii="宋体" w:hAnsi="宋体"/>
                <w:color w:val="auto"/>
                <w:szCs w:val="21"/>
                <w:highlight w:val="none"/>
              </w:rPr>
            </w:pPr>
          </w:p>
        </w:tc>
      </w:tr>
      <w:tr w14:paraId="64CBC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B38088D">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727DF15">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BA97BEA">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90D63A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6B03D7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C9E1D5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6DEFC3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6322C15">
            <w:pPr>
              <w:jc w:val="center"/>
              <w:rPr>
                <w:rFonts w:ascii="宋体" w:hAnsi="宋体"/>
                <w:color w:val="auto"/>
                <w:szCs w:val="21"/>
                <w:highlight w:val="none"/>
              </w:rPr>
            </w:pPr>
          </w:p>
        </w:tc>
      </w:tr>
      <w:tr w14:paraId="47CD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B5E0AC7">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3D1477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C07113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6A9B7F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863519A">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E3937B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DB5E1B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1B51617">
            <w:pPr>
              <w:jc w:val="center"/>
              <w:rPr>
                <w:rFonts w:ascii="宋体" w:hAnsi="宋体"/>
                <w:color w:val="auto"/>
                <w:szCs w:val="21"/>
                <w:highlight w:val="none"/>
              </w:rPr>
            </w:pPr>
          </w:p>
        </w:tc>
      </w:tr>
      <w:tr w14:paraId="010A8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A679EE5">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F4FB30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0234DC5">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C8FE90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3F782A7">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4A6A95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C12274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501232E">
            <w:pPr>
              <w:jc w:val="center"/>
              <w:rPr>
                <w:rFonts w:ascii="宋体" w:hAnsi="宋体"/>
                <w:color w:val="auto"/>
                <w:szCs w:val="21"/>
                <w:highlight w:val="none"/>
              </w:rPr>
            </w:pPr>
          </w:p>
        </w:tc>
      </w:tr>
      <w:tr w14:paraId="0EE2E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48FD2BB">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8D7AE6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04B47C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A74B6C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F8A282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247671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259340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D591DED">
            <w:pPr>
              <w:jc w:val="center"/>
              <w:rPr>
                <w:rFonts w:ascii="宋体" w:hAnsi="宋体"/>
                <w:color w:val="auto"/>
                <w:szCs w:val="21"/>
                <w:highlight w:val="none"/>
              </w:rPr>
            </w:pPr>
          </w:p>
        </w:tc>
      </w:tr>
      <w:tr w14:paraId="6B94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EFBF829">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4C8B1B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F0AA094">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6C7579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92B2AA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2688AF4">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E54821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E389095">
            <w:pPr>
              <w:jc w:val="center"/>
              <w:rPr>
                <w:rFonts w:ascii="宋体" w:hAnsi="宋体"/>
                <w:color w:val="auto"/>
                <w:szCs w:val="21"/>
                <w:highlight w:val="none"/>
              </w:rPr>
            </w:pPr>
          </w:p>
        </w:tc>
      </w:tr>
      <w:tr w14:paraId="4DB5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B02A64E">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94B15A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1AAA1B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B2ADEA3">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51197C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E64425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AA71B87">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ADA0789">
            <w:pPr>
              <w:jc w:val="center"/>
              <w:rPr>
                <w:rFonts w:ascii="宋体" w:hAnsi="宋体"/>
                <w:color w:val="auto"/>
                <w:szCs w:val="21"/>
                <w:highlight w:val="none"/>
              </w:rPr>
            </w:pPr>
          </w:p>
        </w:tc>
      </w:tr>
      <w:tr w14:paraId="09F47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894040B">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97AA10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3A3A53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386863A">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67B57D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EFDC6E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B84B9F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7F9DD6D">
            <w:pPr>
              <w:jc w:val="center"/>
              <w:rPr>
                <w:rFonts w:ascii="宋体" w:hAnsi="宋体"/>
                <w:color w:val="auto"/>
                <w:szCs w:val="21"/>
                <w:highlight w:val="none"/>
              </w:rPr>
            </w:pPr>
          </w:p>
        </w:tc>
      </w:tr>
      <w:tr w14:paraId="1C16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4E121FD">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AD5706A">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EA0D3D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FE2AE3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84020A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69A144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FA6EBF5">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1025681">
            <w:pPr>
              <w:jc w:val="center"/>
              <w:rPr>
                <w:rFonts w:ascii="宋体" w:hAnsi="宋体"/>
                <w:color w:val="auto"/>
                <w:szCs w:val="21"/>
                <w:highlight w:val="none"/>
              </w:rPr>
            </w:pPr>
          </w:p>
        </w:tc>
      </w:tr>
      <w:tr w14:paraId="07BC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23FE49E">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34F766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DA1A30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D1E565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E71729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7098E0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ACAB9F5">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68B7883">
            <w:pPr>
              <w:jc w:val="center"/>
              <w:rPr>
                <w:rFonts w:ascii="宋体" w:hAnsi="宋体"/>
                <w:color w:val="auto"/>
                <w:szCs w:val="21"/>
                <w:highlight w:val="none"/>
              </w:rPr>
            </w:pPr>
          </w:p>
        </w:tc>
      </w:tr>
      <w:tr w14:paraId="6BDB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0B6C616">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5022B8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29CC20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1EF5E5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02C5B7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12789F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E3487F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81E0BBB">
            <w:pPr>
              <w:jc w:val="center"/>
              <w:rPr>
                <w:rFonts w:ascii="宋体" w:hAnsi="宋体"/>
                <w:color w:val="auto"/>
                <w:szCs w:val="21"/>
                <w:highlight w:val="none"/>
              </w:rPr>
            </w:pPr>
          </w:p>
        </w:tc>
      </w:tr>
      <w:tr w14:paraId="20E7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E0B723B">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865B34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BC1246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5C7822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16B807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A8C7A4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AD7765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213746D">
            <w:pPr>
              <w:jc w:val="center"/>
              <w:rPr>
                <w:rFonts w:ascii="宋体" w:hAnsi="宋体"/>
                <w:color w:val="auto"/>
                <w:szCs w:val="21"/>
                <w:highlight w:val="none"/>
              </w:rPr>
            </w:pPr>
          </w:p>
        </w:tc>
      </w:tr>
      <w:tr w14:paraId="616A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E0DC177">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B7F662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E7F925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04AE495">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04F9C9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F1D4FA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F690A3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A07611A">
            <w:pPr>
              <w:jc w:val="center"/>
              <w:rPr>
                <w:rFonts w:ascii="宋体" w:hAnsi="宋体"/>
                <w:color w:val="auto"/>
                <w:szCs w:val="21"/>
                <w:highlight w:val="none"/>
              </w:rPr>
            </w:pPr>
          </w:p>
        </w:tc>
      </w:tr>
      <w:tr w14:paraId="60F43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9CAD514">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C5A5B1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482B1D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1B5121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E21B0B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557DF2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BB3CB6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296A9CD">
            <w:pPr>
              <w:jc w:val="center"/>
              <w:rPr>
                <w:rFonts w:ascii="宋体" w:hAnsi="宋体"/>
                <w:color w:val="auto"/>
                <w:szCs w:val="21"/>
                <w:highlight w:val="none"/>
              </w:rPr>
            </w:pPr>
          </w:p>
        </w:tc>
      </w:tr>
      <w:tr w14:paraId="634F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3173C56">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DED53E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2ECEB5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9ADC09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9FA2C5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4D6DD0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D3EED94">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C180C17">
            <w:pPr>
              <w:jc w:val="center"/>
              <w:rPr>
                <w:rFonts w:ascii="宋体" w:hAnsi="宋体"/>
                <w:color w:val="auto"/>
                <w:szCs w:val="21"/>
                <w:highlight w:val="none"/>
              </w:rPr>
            </w:pPr>
          </w:p>
        </w:tc>
      </w:tr>
      <w:tr w14:paraId="07218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2865CDF">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15077A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65F5033">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B07C244">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939ADA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C1F265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A9DF9D4">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ED37EC2">
            <w:pPr>
              <w:jc w:val="center"/>
              <w:rPr>
                <w:rFonts w:ascii="宋体" w:hAnsi="宋体"/>
                <w:color w:val="auto"/>
                <w:szCs w:val="21"/>
                <w:highlight w:val="none"/>
              </w:rPr>
            </w:pPr>
          </w:p>
        </w:tc>
      </w:tr>
      <w:tr w14:paraId="614D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9785355">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D0FD25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214C047">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53CC713">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D3CA82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55CF4E3">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D68F60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B6CE429">
            <w:pPr>
              <w:jc w:val="center"/>
              <w:rPr>
                <w:rFonts w:ascii="宋体" w:hAnsi="宋体"/>
                <w:color w:val="auto"/>
                <w:szCs w:val="21"/>
                <w:highlight w:val="none"/>
              </w:rPr>
            </w:pPr>
          </w:p>
        </w:tc>
      </w:tr>
      <w:tr w14:paraId="7FB4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0CF319E">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3022668">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EFF9E4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9346B8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415E40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54E46E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D0660B7">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8586D58">
            <w:pPr>
              <w:jc w:val="center"/>
              <w:rPr>
                <w:rFonts w:ascii="宋体" w:hAnsi="宋体"/>
                <w:color w:val="auto"/>
                <w:szCs w:val="21"/>
                <w:highlight w:val="none"/>
              </w:rPr>
            </w:pPr>
          </w:p>
        </w:tc>
      </w:tr>
      <w:tr w14:paraId="5A4FD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BA3D065">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6D3AC8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DE091C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96D182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583F9F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5AC231A">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A34246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C99F538">
            <w:pPr>
              <w:jc w:val="center"/>
              <w:rPr>
                <w:rFonts w:ascii="宋体" w:hAnsi="宋体"/>
                <w:color w:val="auto"/>
                <w:szCs w:val="21"/>
                <w:highlight w:val="none"/>
              </w:rPr>
            </w:pPr>
          </w:p>
        </w:tc>
      </w:tr>
      <w:tr w14:paraId="1DC6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E544A43">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7D8789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5FD735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D56A4F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44D0CE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02F2AB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C4630BA">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71FFE8D">
            <w:pPr>
              <w:jc w:val="center"/>
              <w:rPr>
                <w:rFonts w:ascii="宋体" w:hAnsi="宋体"/>
                <w:color w:val="auto"/>
                <w:szCs w:val="21"/>
                <w:highlight w:val="none"/>
              </w:rPr>
            </w:pPr>
          </w:p>
        </w:tc>
      </w:tr>
      <w:tr w14:paraId="7D05C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0097F78">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41C6DB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67D65C5">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8D77DCA">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919C18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3AA556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359440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EB739DA">
            <w:pPr>
              <w:jc w:val="center"/>
              <w:rPr>
                <w:rFonts w:ascii="宋体" w:hAnsi="宋体"/>
                <w:color w:val="auto"/>
                <w:szCs w:val="21"/>
                <w:highlight w:val="none"/>
              </w:rPr>
            </w:pPr>
          </w:p>
        </w:tc>
      </w:tr>
      <w:tr w14:paraId="51447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E20C71D">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917A53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E0D308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B5041F3">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354352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947B8D2">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38FDF2C">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88C6641">
            <w:pPr>
              <w:jc w:val="center"/>
              <w:rPr>
                <w:rFonts w:ascii="宋体" w:hAnsi="宋体"/>
                <w:color w:val="auto"/>
                <w:szCs w:val="21"/>
                <w:highlight w:val="none"/>
              </w:rPr>
            </w:pPr>
          </w:p>
        </w:tc>
      </w:tr>
      <w:tr w14:paraId="50D4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8648A49">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6E5319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0CD64944">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3CCF227">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A794531">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EE2C943">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BFA185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37C059B">
            <w:pPr>
              <w:jc w:val="center"/>
              <w:rPr>
                <w:rFonts w:ascii="宋体" w:hAnsi="宋体"/>
                <w:color w:val="auto"/>
                <w:szCs w:val="21"/>
                <w:highlight w:val="none"/>
              </w:rPr>
            </w:pPr>
          </w:p>
        </w:tc>
      </w:tr>
      <w:tr w14:paraId="18B2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D79309F">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A907E7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ECEB20F">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E0C699B">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F40BB96">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3324A1E">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C4F544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0651716">
            <w:pPr>
              <w:jc w:val="center"/>
              <w:rPr>
                <w:rFonts w:ascii="宋体" w:hAnsi="宋体"/>
                <w:color w:val="auto"/>
                <w:szCs w:val="21"/>
                <w:highlight w:val="none"/>
              </w:rPr>
            </w:pPr>
          </w:p>
        </w:tc>
      </w:tr>
      <w:tr w14:paraId="32BB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7A1E7D7">
            <w:pPr>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F0037C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7595B4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7CB65BE4">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622AB8D">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089FC09">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E8B5B20">
            <w:pPr>
              <w:jc w:val="center"/>
              <w:rPr>
                <w:rFonts w:ascii="宋体" w:hAnsi="宋体"/>
                <w:color w:val="auto"/>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445FC92">
            <w:pPr>
              <w:jc w:val="center"/>
              <w:rPr>
                <w:rFonts w:ascii="宋体" w:hAnsi="宋体"/>
                <w:color w:val="auto"/>
                <w:szCs w:val="21"/>
                <w:highlight w:val="none"/>
              </w:rPr>
            </w:pPr>
          </w:p>
        </w:tc>
      </w:tr>
    </w:tbl>
    <w:p w14:paraId="35548AA6">
      <w:pPr>
        <w:spacing w:line="420" w:lineRule="exact"/>
        <w:rPr>
          <w:rFonts w:hint="eastAsia" w:ascii="宋体" w:hAnsi="宋体"/>
          <w:color w:val="auto"/>
          <w:szCs w:val="21"/>
          <w:highlight w:val="none"/>
        </w:rPr>
      </w:pPr>
    </w:p>
    <w:p w14:paraId="5704647B">
      <w:pPr>
        <w:spacing w:line="420" w:lineRule="exact"/>
        <w:rPr>
          <w:rFonts w:hint="eastAsia" w:ascii="宋体" w:hAnsi="宋体"/>
          <w:color w:val="auto"/>
          <w:szCs w:val="21"/>
          <w:highlight w:val="none"/>
        </w:rPr>
      </w:pPr>
    </w:p>
    <w:p w14:paraId="12BC8728">
      <w:pPr>
        <w:pStyle w:val="33"/>
        <w:rPr>
          <w:rFonts w:hint="eastAsia" w:ascii="黑体" w:hAnsi="宋体"/>
          <w:color w:val="auto"/>
          <w:highlight w:val="none"/>
        </w:rPr>
      </w:pPr>
      <w:bookmarkStart w:id="2530" w:name="_Toc9137"/>
      <w:bookmarkStart w:id="2531" w:name="_Toc28532421"/>
      <w:r>
        <w:rPr>
          <w:rFonts w:hint="eastAsia"/>
          <w:color w:val="auto"/>
          <w:szCs w:val="24"/>
          <w:highlight w:val="none"/>
        </w:rPr>
        <w:t>附表四：计划开、竣工日期和施工进度网络图</w:t>
      </w:r>
      <w:bookmarkEnd w:id="2530"/>
      <w:bookmarkEnd w:id="2531"/>
    </w:p>
    <w:p w14:paraId="15F87995">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1．投标人应递交施工进度网络图或施工进度表，说明按招标文件要求的计划工期进行施工的各个关键日期。</w:t>
      </w:r>
    </w:p>
    <w:p w14:paraId="70CD7668">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2．施工进度表可采用网络图和（或）横道图表示。</w:t>
      </w:r>
    </w:p>
    <w:p w14:paraId="4E665631">
      <w:pPr>
        <w:spacing w:line="420" w:lineRule="exact"/>
        <w:ind w:firstLine="420" w:firstLineChars="200"/>
        <w:rPr>
          <w:rFonts w:hint="eastAsia" w:ascii="宋体" w:hAnsi="宋体"/>
          <w:color w:val="auto"/>
          <w:szCs w:val="21"/>
          <w:highlight w:val="none"/>
        </w:rPr>
      </w:pPr>
    </w:p>
    <w:p w14:paraId="0B5452FE">
      <w:pPr>
        <w:spacing w:line="420" w:lineRule="exact"/>
        <w:ind w:firstLine="420" w:firstLineChars="200"/>
        <w:rPr>
          <w:rFonts w:hint="eastAsia" w:ascii="宋体" w:hAnsi="宋体"/>
          <w:color w:val="auto"/>
          <w:szCs w:val="21"/>
          <w:highlight w:val="none"/>
        </w:rPr>
      </w:pPr>
    </w:p>
    <w:p w14:paraId="4A1F2949">
      <w:pPr>
        <w:spacing w:line="420" w:lineRule="exact"/>
        <w:ind w:firstLine="420" w:firstLineChars="200"/>
        <w:rPr>
          <w:rFonts w:hint="eastAsia" w:ascii="宋体" w:hAnsi="宋体"/>
          <w:color w:val="auto"/>
          <w:szCs w:val="21"/>
          <w:highlight w:val="none"/>
        </w:rPr>
      </w:pPr>
    </w:p>
    <w:p w14:paraId="22CB7CC4">
      <w:pPr>
        <w:spacing w:line="420" w:lineRule="exact"/>
        <w:ind w:firstLine="420" w:firstLineChars="200"/>
        <w:rPr>
          <w:rFonts w:hint="eastAsia" w:ascii="宋体" w:hAnsi="宋体"/>
          <w:color w:val="auto"/>
          <w:szCs w:val="21"/>
          <w:highlight w:val="none"/>
        </w:rPr>
      </w:pPr>
    </w:p>
    <w:p w14:paraId="5C40590F">
      <w:pPr>
        <w:spacing w:line="420" w:lineRule="exact"/>
        <w:ind w:firstLine="420" w:firstLineChars="200"/>
        <w:rPr>
          <w:rFonts w:hint="eastAsia" w:ascii="宋体" w:hAnsi="宋体"/>
          <w:color w:val="auto"/>
          <w:szCs w:val="21"/>
          <w:highlight w:val="none"/>
        </w:rPr>
      </w:pPr>
    </w:p>
    <w:p w14:paraId="10A9ACB8">
      <w:pPr>
        <w:spacing w:line="420" w:lineRule="exact"/>
        <w:ind w:firstLine="420" w:firstLineChars="200"/>
        <w:rPr>
          <w:rFonts w:hint="eastAsia" w:ascii="宋体" w:hAnsi="宋体"/>
          <w:color w:val="auto"/>
          <w:szCs w:val="21"/>
          <w:highlight w:val="none"/>
        </w:rPr>
      </w:pPr>
    </w:p>
    <w:p w14:paraId="0FCFE046">
      <w:pPr>
        <w:spacing w:line="420" w:lineRule="exact"/>
        <w:ind w:firstLine="420" w:firstLineChars="200"/>
        <w:rPr>
          <w:rFonts w:hint="eastAsia" w:ascii="宋体" w:hAnsi="宋体"/>
          <w:color w:val="auto"/>
          <w:szCs w:val="21"/>
          <w:highlight w:val="none"/>
        </w:rPr>
      </w:pPr>
    </w:p>
    <w:p w14:paraId="55EEA6C2">
      <w:pPr>
        <w:spacing w:line="420" w:lineRule="exact"/>
        <w:ind w:firstLine="420" w:firstLineChars="200"/>
        <w:rPr>
          <w:rFonts w:hint="eastAsia" w:ascii="宋体" w:hAnsi="宋体"/>
          <w:color w:val="auto"/>
          <w:szCs w:val="21"/>
          <w:highlight w:val="none"/>
        </w:rPr>
      </w:pPr>
    </w:p>
    <w:p w14:paraId="104B2047">
      <w:pPr>
        <w:spacing w:line="420" w:lineRule="exact"/>
        <w:ind w:firstLine="420" w:firstLineChars="200"/>
        <w:rPr>
          <w:rFonts w:hint="eastAsia" w:ascii="宋体" w:hAnsi="宋体"/>
          <w:color w:val="auto"/>
          <w:szCs w:val="21"/>
          <w:highlight w:val="none"/>
        </w:rPr>
      </w:pPr>
    </w:p>
    <w:p w14:paraId="6CC1FCFD">
      <w:pPr>
        <w:spacing w:line="420" w:lineRule="exact"/>
        <w:ind w:firstLine="420" w:firstLineChars="200"/>
        <w:rPr>
          <w:rFonts w:hint="eastAsia" w:ascii="宋体" w:hAnsi="宋体"/>
          <w:color w:val="auto"/>
          <w:szCs w:val="21"/>
          <w:highlight w:val="none"/>
        </w:rPr>
      </w:pPr>
    </w:p>
    <w:p w14:paraId="5C721C71">
      <w:pPr>
        <w:spacing w:line="420" w:lineRule="exact"/>
        <w:ind w:firstLine="420" w:firstLineChars="200"/>
        <w:rPr>
          <w:rFonts w:hint="eastAsia" w:ascii="宋体" w:hAnsi="宋体"/>
          <w:color w:val="auto"/>
          <w:szCs w:val="21"/>
          <w:highlight w:val="none"/>
        </w:rPr>
      </w:pPr>
    </w:p>
    <w:p w14:paraId="5E72951F">
      <w:pPr>
        <w:spacing w:line="420" w:lineRule="exact"/>
        <w:ind w:firstLine="420" w:firstLineChars="200"/>
        <w:rPr>
          <w:rFonts w:hint="eastAsia" w:ascii="宋体" w:hAnsi="宋体"/>
          <w:color w:val="auto"/>
          <w:szCs w:val="21"/>
          <w:highlight w:val="none"/>
        </w:rPr>
      </w:pPr>
    </w:p>
    <w:p w14:paraId="2C275BFB">
      <w:pPr>
        <w:spacing w:line="420" w:lineRule="exact"/>
        <w:ind w:firstLine="420" w:firstLineChars="200"/>
        <w:rPr>
          <w:rFonts w:hint="eastAsia" w:ascii="宋体" w:hAnsi="宋体"/>
          <w:color w:val="auto"/>
          <w:szCs w:val="21"/>
          <w:highlight w:val="none"/>
        </w:rPr>
      </w:pPr>
    </w:p>
    <w:p w14:paraId="3488B308">
      <w:pPr>
        <w:spacing w:line="420" w:lineRule="exact"/>
        <w:ind w:firstLine="420" w:firstLineChars="200"/>
        <w:rPr>
          <w:rFonts w:hint="eastAsia" w:ascii="宋体" w:hAnsi="宋体"/>
          <w:color w:val="auto"/>
          <w:szCs w:val="21"/>
          <w:highlight w:val="none"/>
        </w:rPr>
      </w:pPr>
    </w:p>
    <w:p w14:paraId="073BF5FB">
      <w:pPr>
        <w:spacing w:line="420" w:lineRule="exact"/>
        <w:ind w:firstLine="420" w:firstLineChars="200"/>
        <w:rPr>
          <w:rFonts w:hint="eastAsia" w:ascii="宋体" w:hAnsi="宋体"/>
          <w:color w:val="auto"/>
          <w:szCs w:val="21"/>
          <w:highlight w:val="none"/>
        </w:rPr>
      </w:pPr>
    </w:p>
    <w:p w14:paraId="1ACE6FBD">
      <w:pPr>
        <w:spacing w:line="420" w:lineRule="exact"/>
        <w:ind w:firstLine="420" w:firstLineChars="200"/>
        <w:rPr>
          <w:rFonts w:hint="eastAsia" w:ascii="宋体" w:hAnsi="宋体"/>
          <w:color w:val="auto"/>
          <w:szCs w:val="21"/>
          <w:highlight w:val="none"/>
        </w:rPr>
      </w:pPr>
    </w:p>
    <w:p w14:paraId="5599D1C3">
      <w:pPr>
        <w:spacing w:line="420" w:lineRule="exact"/>
        <w:ind w:firstLine="420" w:firstLineChars="200"/>
        <w:rPr>
          <w:rFonts w:hint="eastAsia" w:ascii="宋体" w:hAnsi="宋体"/>
          <w:color w:val="auto"/>
          <w:szCs w:val="21"/>
          <w:highlight w:val="none"/>
        </w:rPr>
      </w:pPr>
    </w:p>
    <w:p w14:paraId="07635262">
      <w:pPr>
        <w:spacing w:line="420" w:lineRule="exact"/>
        <w:ind w:firstLine="420" w:firstLineChars="200"/>
        <w:rPr>
          <w:rFonts w:hint="eastAsia" w:ascii="宋体" w:hAnsi="宋体"/>
          <w:color w:val="auto"/>
          <w:szCs w:val="21"/>
          <w:highlight w:val="none"/>
        </w:rPr>
      </w:pPr>
    </w:p>
    <w:p w14:paraId="1126E55F">
      <w:pPr>
        <w:spacing w:line="420" w:lineRule="exact"/>
        <w:ind w:firstLine="420" w:firstLineChars="200"/>
        <w:rPr>
          <w:rFonts w:hint="eastAsia" w:ascii="宋体" w:hAnsi="宋体"/>
          <w:color w:val="auto"/>
          <w:szCs w:val="21"/>
          <w:highlight w:val="none"/>
        </w:rPr>
      </w:pPr>
    </w:p>
    <w:p w14:paraId="5B902251">
      <w:pPr>
        <w:spacing w:line="420" w:lineRule="exact"/>
        <w:ind w:firstLine="420" w:firstLineChars="200"/>
        <w:rPr>
          <w:rFonts w:hint="eastAsia" w:ascii="宋体" w:hAnsi="宋体"/>
          <w:color w:val="auto"/>
          <w:szCs w:val="21"/>
          <w:highlight w:val="none"/>
        </w:rPr>
      </w:pPr>
    </w:p>
    <w:p w14:paraId="52CF6534">
      <w:pPr>
        <w:spacing w:line="420" w:lineRule="exact"/>
        <w:ind w:firstLine="420" w:firstLineChars="200"/>
        <w:rPr>
          <w:rFonts w:hint="eastAsia" w:ascii="宋体" w:hAnsi="宋体"/>
          <w:color w:val="auto"/>
          <w:szCs w:val="21"/>
          <w:highlight w:val="none"/>
        </w:rPr>
      </w:pPr>
    </w:p>
    <w:p w14:paraId="605B35E0">
      <w:pPr>
        <w:spacing w:line="420" w:lineRule="exact"/>
        <w:ind w:firstLine="420" w:firstLineChars="200"/>
        <w:rPr>
          <w:rFonts w:hint="eastAsia" w:ascii="宋体" w:hAnsi="宋体"/>
          <w:color w:val="auto"/>
          <w:szCs w:val="21"/>
          <w:highlight w:val="none"/>
        </w:rPr>
      </w:pPr>
    </w:p>
    <w:p w14:paraId="1406940F">
      <w:pPr>
        <w:spacing w:line="420" w:lineRule="exact"/>
        <w:ind w:firstLine="420" w:firstLineChars="200"/>
        <w:rPr>
          <w:rFonts w:hint="eastAsia" w:ascii="宋体" w:hAnsi="宋体"/>
          <w:color w:val="auto"/>
          <w:szCs w:val="21"/>
          <w:highlight w:val="none"/>
        </w:rPr>
      </w:pPr>
    </w:p>
    <w:p w14:paraId="2E7B02AD">
      <w:pPr>
        <w:spacing w:line="420" w:lineRule="exact"/>
        <w:ind w:firstLine="420" w:firstLineChars="200"/>
        <w:rPr>
          <w:rFonts w:hint="eastAsia" w:ascii="宋体" w:hAnsi="宋体"/>
          <w:color w:val="auto"/>
          <w:szCs w:val="21"/>
          <w:highlight w:val="none"/>
        </w:rPr>
      </w:pPr>
    </w:p>
    <w:p w14:paraId="56A1E986">
      <w:pPr>
        <w:spacing w:line="420" w:lineRule="exact"/>
        <w:ind w:firstLine="420" w:firstLineChars="200"/>
        <w:rPr>
          <w:rFonts w:hint="eastAsia" w:ascii="宋体" w:hAnsi="宋体"/>
          <w:color w:val="auto"/>
          <w:szCs w:val="21"/>
          <w:highlight w:val="none"/>
        </w:rPr>
      </w:pPr>
    </w:p>
    <w:p w14:paraId="026DE5CF">
      <w:pPr>
        <w:spacing w:line="420" w:lineRule="exact"/>
        <w:ind w:firstLine="420" w:firstLineChars="200"/>
        <w:rPr>
          <w:rFonts w:hint="eastAsia" w:ascii="宋体" w:hAnsi="宋体"/>
          <w:color w:val="auto"/>
          <w:szCs w:val="21"/>
          <w:highlight w:val="none"/>
        </w:rPr>
      </w:pPr>
    </w:p>
    <w:p w14:paraId="44303C1B">
      <w:pPr>
        <w:spacing w:line="420" w:lineRule="exact"/>
        <w:ind w:firstLine="420" w:firstLineChars="200"/>
        <w:rPr>
          <w:rFonts w:hint="eastAsia" w:ascii="宋体" w:hAnsi="宋体"/>
          <w:color w:val="auto"/>
          <w:szCs w:val="21"/>
          <w:highlight w:val="none"/>
        </w:rPr>
      </w:pPr>
    </w:p>
    <w:p w14:paraId="7B2B3D78">
      <w:pPr>
        <w:spacing w:line="420" w:lineRule="exact"/>
        <w:ind w:firstLine="420" w:firstLineChars="200"/>
        <w:rPr>
          <w:rFonts w:hint="eastAsia" w:ascii="宋体" w:hAnsi="宋体"/>
          <w:color w:val="auto"/>
          <w:szCs w:val="21"/>
          <w:highlight w:val="none"/>
        </w:rPr>
      </w:pPr>
    </w:p>
    <w:p w14:paraId="1B02E635">
      <w:pPr>
        <w:pStyle w:val="33"/>
        <w:rPr>
          <w:rFonts w:hint="eastAsia" w:ascii="宋体" w:hAnsi="宋体"/>
          <w:color w:val="auto"/>
          <w:szCs w:val="21"/>
          <w:highlight w:val="none"/>
        </w:rPr>
      </w:pPr>
      <w:bookmarkStart w:id="2532" w:name="_Toc26382"/>
      <w:bookmarkStart w:id="2533" w:name="_Toc28532422"/>
      <w:r>
        <w:rPr>
          <w:rFonts w:hint="eastAsia"/>
          <w:color w:val="auto"/>
          <w:szCs w:val="24"/>
          <w:highlight w:val="none"/>
        </w:rPr>
        <w:t>附表五：施工总平面图</w:t>
      </w:r>
      <w:bookmarkEnd w:id="2532"/>
      <w:bookmarkEnd w:id="2533"/>
    </w:p>
    <w:p w14:paraId="7B4C60D5">
      <w:pPr>
        <w:spacing w:line="4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投标人应递交一份施工总平面图，绘出现场临时设施布置图表并附文字说明，说明临时设施、加工车间、现场办公、设备及仓储、供电、供水、卫生、生活、道路、消防等设施的情况和布置。</w:t>
      </w:r>
    </w:p>
    <w:p w14:paraId="03BE769A">
      <w:pPr>
        <w:spacing w:line="420" w:lineRule="exact"/>
        <w:ind w:firstLine="420" w:firstLineChars="200"/>
        <w:rPr>
          <w:rFonts w:hint="eastAsia" w:ascii="宋体" w:hAnsi="宋体"/>
          <w:color w:val="auto"/>
          <w:szCs w:val="21"/>
          <w:highlight w:val="none"/>
        </w:rPr>
      </w:pPr>
    </w:p>
    <w:p w14:paraId="56C0FAF0">
      <w:pPr>
        <w:spacing w:line="420" w:lineRule="exact"/>
        <w:ind w:firstLine="420" w:firstLineChars="200"/>
        <w:rPr>
          <w:rFonts w:hint="eastAsia" w:ascii="宋体" w:hAnsi="宋体"/>
          <w:color w:val="auto"/>
          <w:szCs w:val="21"/>
          <w:highlight w:val="none"/>
        </w:rPr>
      </w:pPr>
    </w:p>
    <w:p w14:paraId="1E2A6E1B">
      <w:pPr>
        <w:spacing w:line="420" w:lineRule="exact"/>
        <w:ind w:firstLine="420" w:firstLineChars="200"/>
        <w:rPr>
          <w:rFonts w:hint="eastAsia" w:ascii="宋体" w:hAnsi="宋体"/>
          <w:color w:val="auto"/>
          <w:szCs w:val="21"/>
          <w:highlight w:val="none"/>
        </w:rPr>
      </w:pPr>
    </w:p>
    <w:p w14:paraId="1BBD8541">
      <w:pPr>
        <w:spacing w:line="420" w:lineRule="exact"/>
        <w:ind w:firstLine="420" w:firstLineChars="200"/>
        <w:rPr>
          <w:rFonts w:hint="eastAsia" w:ascii="宋体" w:hAnsi="宋体"/>
          <w:color w:val="auto"/>
          <w:szCs w:val="21"/>
          <w:highlight w:val="none"/>
        </w:rPr>
      </w:pPr>
    </w:p>
    <w:p w14:paraId="66618DB7">
      <w:pPr>
        <w:spacing w:line="420" w:lineRule="exact"/>
        <w:ind w:firstLine="420" w:firstLineChars="200"/>
        <w:rPr>
          <w:rFonts w:hint="eastAsia" w:ascii="宋体" w:hAnsi="宋体"/>
          <w:color w:val="auto"/>
          <w:szCs w:val="21"/>
          <w:highlight w:val="none"/>
        </w:rPr>
      </w:pPr>
    </w:p>
    <w:p w14:paraId="03537BBA">
      <w:pPr>
        <w:spacing w:line="420" w:lineRule="exact"/>
        <w:ind w:firstLine="420" w:firstLineChars="200"/>
        <w:rPr>
          <w:rFonts w:hint="eastAsia" w:ascii="宋体" w:hAnsi="宋体"/>
          <w:color w:val="auto"/>
          <w:szCs w:val="21"/>
          <w:highlight w:val="none"/>
        </w:rPr>
      </w:pPr>
    </w:p>
    <w:p w14:paraId="087F5913">
      <w:pPr>
        <w:spacing w:line="420" w:lineRule="exact"/>
        <w:ind w:firstLine="420" w:firstLineChars="200"/>
        <w:rPr>
          <w:rFonts w:hint="eastAsia" w:ascii="宋体" w:hAnsi="宋体"/>
          <w:color w:val="auto"/>
          <w:szCs w:val="21"/>
          <w:highlight w:val="none"/>
        </w:rPr>
      </w:pPr>
    </w:p>
    <w:p w14:paraId="3565E6D8">
      <w:pPr>
        <w:spacing w:line="420" w:lineRule="exact"/>
        <w:ind w:firstLine="420" w:firstLineChars="200"/>
        <w:rPr>
          <w:rFonts w:hint="eastAsia" w:ascii="宋体" w:hAnsi="宋体"/>
          <w:color w:val="auto"/>
          <w:szCs w:val="21"/>
          <w:highlight w:val="none"/>
        </w:rPr>
      </w:pPr>
    </w:p>
    <w:p w14:paraId="5C3F565B">
      <w:pPr>
        <w:spacing w:line="420" w:lineRule="exact"/>
        <w:ind w:firstLine="420" w:firstLineChars="200"/>
        <w:rPr>
          <w:rFonts w:hint="eastAsia" w:ascii="宋体" w:hAnsi="宋体"/>
          <w:color w:val="auto"/>
          <w:szCs w:val="21"/>
          <w:highlight w:val="none"/>
        </w:rPr>
      </w:pPr>
    </w:p>
    <w:p w14:paraId="05145E40">
      <w:pPr>
        <w:spacing w:line="420" w:lineRule="exact"/>
        <w:ind w:firstLine="420" w:firstLineChars="200"/>
        <w:rPr>
          <w:rFonts w:hint="eastAsia" w:ascii="宋体" w:hAnsi="宋体"/>
          <w:color w:val="auto"/>
          <w:szCs w:val="21"/>
          <w:highlight w:val="none"/>
        </w:rPr>
      </w:pPr>
    </w:p>
    <w:p w14:paraId="57A56D24">
      <w:pPr>
        <w:spacing w:line="420" w:lineRule="exact"/>
        <w:ind w:firstLine="420" w:firstLineChars="200"/>
        <w:rPr>
          <w:rFonts w:hint="eastAsia" w:ascii="宋体" w:hAnsi="宋体"/>
          <w:color w:val="auto"/>
          <w:szCs w:val="21"/>
          <w:highlight w:val="none"/>
        </w:rPr>
      </w:pPr>
    </w:p>
    <w:p w14:paraId="0CA818C6">
      <w:pPr>
        <w:spacing w:line="420" w:lineRule="exact"/>
        <w:ind w:firstLine="420" w:firstLineChars="200"/>
        <w:rPr>
          <w:rFonts w:hint="eastAsia" w:ascii="宋体" w:hAnsi="宋体"/>
          <w:color w:val="auto"/>
          <w:szCs w:val="21"/>
          <w:highlight w:val="none"/>
        </w:rPr>
      </w:pPr>
    </w:p>
    <w:p w14:paraId="6F25E91E">
      <w:pPr>
        <w:spacing w:line="420" w:lineRule="exact"/>
        <w:ind w:firstLine="420" w:firstLineChars="200"/>
        <w:rPr>
          <w:rFonts w:hint="eastAsia" w:ascii="宋体" w:hAnsi="宋体"/>
          <w:color w:val="auto"/>
          <w:szCs w:val="21"/>
          <w:highlight w:val="none"/>
        </w:rPr>
      </w:pPr>
    </w:p>
    <w:p w14:paraId="1FCA280D">
      <w:pPr>
        <w:spacing w:line="420" w:lineRule="exact"/>
        <w:ind w:firstLine="420" w:firstLineChars="200"/>
        <w:rPr>
          <w:rFonts w:hint="eastAsia" w:ascii="宋体" w:hAnsi="宋体"/>
          <w:color w:val="auto"/>
          <w:szCs w:val="21"/>
          <w:highlight w:val="none"/>
        </w:rPr>
      </w:pPr>
    </w:p>
    <w:p w14:paraId="5A780064">
      <w:pPr>
        <w:spacing w:line="420" w:lineRule="exact"/>
        <w:ind w:firstLine="420" w:firstLineChars="200"/>
        <w:rPr>
          <w:rFonts w:hint="eastAsia" w:ascii="宋体" w:hAnsi="宋体"/>
          <w:color w:val="auto"/>
          <w:szCs w:val="21"/>
          <w:highlight w:val="none"/>
        </w:rPr>
      </w:pPr>
    </w:p>
    <w:p w14:paraId="1B5F876D">
      <w:pPr>
        <w:spacing w:line="420" w:lineRule="exact"/>
        <w:ind w:firstLine="420" w:firstLineChars="200"/>
        <w:rPr>
          <w:rFonts w:hint="eastAsia" w:ascii="宋体" w:hAnsi="宋体"/>
          <w:color w:val="auto"/>
          <w:szCs w:val="21"/>
          <w:highlight w:val="none"/>
        </w:rPr>
      </w:pPr>
    </w:p>
    <w:p w14:paraId="5659C0BE">
      <w:pPr>
        <w:spacing w:line="420" w:lineRule="exact"/>
        <w:ind w:firstLine="420" w:firstLineChars="200"/>
        <w:rPr>
          <w:rFonts w:hint="eastAsia" w:ascii="宋体" w:hAnsi="宋体"/>
          <w:color w:val="auto"/>
          <w:szCs w:val="21"/>
          <w:highlight w:val="none"/>
        </w:rPr>
      </w:pPr>
    </w:p>
    <w:p w14:paraId="01A9704E">
      <w:pPr>
        <w:spacing w:line="420" w:lineRule="exact"/>
        <w:ind w:firstLine="420" w:firstLineChars="200"/>
        <w:rPr>
          <w:rFonts w:hint="eastAsia" w:ascii="宋体" w:hAnsi="宋体"/>
          <w:color w:val="auto"/>
          <w:szCs w:val="21"/>
          <w:highlight w:val="none"/>
        </w:rPr>
      </w:pPr>
    </w:p>
    <w:p w14:paraId="30568EC7">
      <w:pPr>
        <w:spacing w:line="420" w:lineRule="exact"/>
        <w:ind w:firstLine="420" w:firstLineChars="200"/>
        <w:rPr>
          <w:rFonts w:hint="eastAsia" w:ascii="宋体" w:hAnsi="宋体"/>
          <w:color w:val="auto"/>
          <w:szCs w:val="21"/>
          <w:highlight w:val="none"/>
        </w:rPr>
      </w:pPr>
    </w:p>
    <w:p w14:paraId="0C12728C">
      <w:pPr>
        <w:spacing w:line="420" w:lineRule="exact"/>
        <w:ind w:firstLine="420" w:firstLineChars="200"/>
        <w:rPr>
          <w:rFonts w:hint="eastAsia" w:ascii="宋体" w:hAnsi="宋体"/>
          <w:color w:val="auto"/>
          <w:szCs w:val="21"/>
          <w:highlight w:val="none"/>
        </w:rPr>
      </w:pPr>
    </w:p>
    <w:p w14:paraId="706718D1">
      <w:pPr>
        <w:spacing w:line="420" w:lineRule="exact"/>
        <w:ind w:firstLine="420" w:firstLineChars="200"/>
        <w:rPr>
          <w:rFonts w:hint="eastAsia" w:ascii="宋体" w:hAnsi="宋体"/>
          <w:color w:val="auto"/>
          <w:szCs w:val="21"/>
          <w:highlight w:val="none"/>
        </w:rPr>
      </w:pPr>
    </w:p>
    <w:p w14:paraId="7DE7DD2F">
      <w:pPr>
        <w:spacing w:line="420" w:lineRule="exact"/>
        <w:ind w:firstLine="420" w:firstLineChars="200"/>
        <w:rPr>
          <w:rFonts w:hint="eastAsia" w:ascii="宋体" w:hAnsi="宋体"/>
          <w:color w:val="auto"/>
          <w:szCs w:val="21"/>
          <w:highlight w:val="none"/>
        </w:rPr>
      </w:pPr>
    </w:p>
    <w:p w14:paraId="503AD9EB">
      <w:pPr>
        <w:spacing w:line="420" w:lineRule="exact"/>
        <w:ind w:firstLine="420" w:firstLineChars="200"/>
        <w:rPr>
          <w:rFonts w:hint="eastAsia" w:ascii="宋体" w:hAnsi="宋体"/>
          <w:color w:val="auto"/>
          <w:szCs w:val="21"/>
          <w:highlight w:val="none"/>
        </w:rPr>
      </w:pPr>
    </w:p>
    <w:p w14:paraId="4B877789">
      <w:pPr>
        <w:spacing w:line="420" w:lineRule="exact"/>
        <w:ind w:firstLine="420" w:firstLineChars="200"/>
        <w:rPr>
          <w:rFonts w:hint="eastAsia" w:ascii="宋体" w:hAnsi="宋体"/>
          <w:color w:val="auto"/>
          <w:szCs w:val="21"/>
          <w:highlight w:val="none"/>
        </w:rPr>
      </w:pPr>
    </w:p>
    <w:p w14:paraId="64E04B7B">
      <w:pPr>
        <w:spacing w:line="420" w:lineRule="exact"/>
        <w:ind w:firstLine="420" w:firstLineChars="200"/>
        <w:rPr>
          <w:rFonts w:hint="eastAsia" w:ascii="宋体" w:hAnsi="宋体"/>
          <w:color w:val="auto"/>
          <w:szCs w:val="21"/>
          <w:highlight w:val="none"/>
        </w:rPr>
      </w:pPr>
    </w:p>
    <w:p w14:paraId="31B4E018">
      <w:pPr>
        <w:spacing w:line="420" w:lineRule="exact"/>
        <w:ind w:firstLine="420" w:firstLineChars="200"/>
        <w:rPr>
          <w:rFonts w:hint="eastAsia" w:ascii="宋体" w:hAnsi="宋体"/>
          <w:color w:val="auto"/>
          <w:szCs w:val="21"/>
          <w:highlight w:val="none"/>
        </w:rPr>
      </w:pPr>
    </w:p>
    <w:p w14:paraId="407AC17E">
      <w:pPr>
        <w:spacing w:line="420" w:lineRule="exact"/>
        <w:ind w:firstLine="420" w:firstLineChars="200"/>
        <w:rPr>
          <w:rFonts w:hint="eastAsia" w:ascii="宋体" w:hAnsi="宋体"/>
          <w:color w:val="auto"/>
          <w:szCs w:val="21"/>
          <w:highlight w:val="none"/>
        </w:rPr>
      </w:pPr>
    </w:p>
    <w:p w14:paraId="43E2406B">
      <w:pPr>
        <w:spacing w:line="420" w:lineRule="exact"/>
        <w:ind w:firstLine="420" w:firstLineChars="200"/>
        <w:rPr>
          <w:rFonts w:hint="eastAsia" w:ascii="宋体" w:hAnsi="宋体"/>
          <w:color w:val="auto"/>
          <w:szCs w:val="21"/>
          <w:highlight w:val="none"/>
        </w:rPr>
      </w:pPr>
    </w:p>
    <w:p w14:paraId="2D503620">
      <w:pPr>
        <w:spacing w:line="420" w:lineRule="exact"/>
        <w:ind w:firstLine="420" w:firstLineChars="200"/>
        <w:rPr>
          <w:rFonts w:hint="eastAsia" w:ascii="宋体" w:hAnsi="宋体"/>
          <w:color w:val="auto"/>
          <w:szCs w:val="21"/>
          <w:highlight w:val="none"/>
        </w:rPr>
      </w:pPr>
    </w:p>
    <w:p w14:paraId="39C9CC61">
      <w:pPr>
        <w:pStyle w:val="33"/>
        <w:rPr>
          <w:rFonts w:hint="eastAsia" w:ascii="黑体" w:hAnsi="宋体"/>
          <w:color w:val="auto"/>
          <w:highlight w:val="none"/>
        </w:rPr>
      </w:pPr>
      <w:bookmarkStart w:id="2534" w:name="_Toc28532423"/>
      <w:bookmarkStart w:id="2535" w:name="_Toc23440"/>
      <w:r>
        <w:rPr>
          <w:rFonts w:hint="eastAsia"/>
          <w:color w:val="auto"/>
          <w:szCs w:val="24"/>
          <w:highlight w:val="none"/>
        </w:rPr>
        <w:t>附表六：临时用地表</w:t>
      </w:r>
      <w:bookmarkEnd w:id="2534"/>
      <w:bookmarkEnd w:id="2535"/>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2079"/>
        <w:gridCol w:w="2079"/>
        <w:gridCol w:w="2079"/>
      </w:tblGrid>
      <w:tr w14:paraId="38D17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74D9DD31">
            <w:pPr>
              <w:jc w:val="center"/>
              <w:rPr>
                <w:rFonts w:ascii="宋体" w:hAnsi="宋体"/>
                <w:color w:val="auto"/>
                <w:szCs w:val="21"/>
                <w:highlight w:val="none"/>
              </w:rPr>
            </w:pPr>
            <w:r>
              <w:rPr>
                <w:rFonts w:hint="eastAsia" w:ascii="宋体" w:hAnsi="宋体"/>
                <w:color w:val="auto"/>
                <w:szCs w:val="21"/>
                <w:highlight w:val="none"/>
              </w:rPr>
              <w:t>用  途</w:t>
            </w:r>
          </w:p>
        </w:tc>
        <w:tc>
          <w:tcPr>
            <w:tcW w:w="2079" w:type="dxa"/>
            <w:tcBorders>
              <w:top w:val="single" w:color="auto" w:sz="4" w:space="0"/>
              <w:left w:val="single" w:color="auto" w:sz="4" w:space="0"/>
              <w:bottom w:val="single" w:color="auto" w:sz="4" w:space="0"/>
              <w:right w:val="single" w:color="auto" w:sz="4" w:space="0"/>
            </w:tcBorders>
            <w:noWrap w:val="0"/>
            <w:vAlign w:val="center"/>
          </w:tcPr>
          <w:p w14:paraId="7C880B15">
            <w:pPr>
              <w:jc w:val="center"/>
              <w:rPr>
                <w:rFonts w:ascii="宋体" w:hAnsi="宋体"/>
                <w:color w:val="auto"/>
                <w:szCs w:val="21"/>
                <w:highlight w:val="none"/>
              </w:rPr>
            </w:pPr>
            <w:r>
              <w:rPr>
                <w:rFonts w:hint="eastAsia" w:ascii="宋体" w:hAnsi="宋体"/>
                <w:color w:val="auto"/>
                <w:szCs w:val="21"/>
                <w:highlight w:val="none"/>
              </w:rPr>
              <w:t>面 积（平方米）</w:t>
            </w:r>
          </w:p>
        </w:tc>
        <w:tc>
          <w:tcPr>
            <w:tcW w:w="2079" w:type="dxa"/>
            <w:tcBorders>
              <w:top w:val="single" w:color="auto" w:sz="4" w:space="0"/>
              <w:left w:val="single" w:color="auto" w:sz="4" w:space="0"/>
              <w:bottom w:val="single" w:color="auto" w:sz="4" w:space="0"/>
              <w:right w:val="single" w:color="auto" w:sz="4" w:space="0"/>
            </w:tcBorders>
            <w:noWrap w:val="0"/>
            <w:vAlign w:val="center"/>
          </w:tcPr>
          <w:p w14:paraId="039A2817">
            <w:pPr>
              <w:jc w:val="center"/>
              <w:rPr>
                <w:rFonts w:ascii="宋体" w:hAnsi="宋体"/>
                <w:color w:val="auto"/>
                <w:szCs w:val="21"/>
                <w:highlight w:val="none"/>
              </w:rPr>
            </w:pPr>
            <w:r>
              <w:rPr>
                <w:rFonts w:hint="eastAsia" w:ascii="宋体" w:hAnsi="宋体"/>
                <w:color w:val="auto"/>
                <w:szCs w:val="21"/>
                <w:highlight w:val="none"/>
              </w:rPr>
              <w:t>位  置</w:t>
            </w:r>
          </w:p>
        </w:tc>
        <w:tc>
          <w:tcPr>
            <w:tcW w:w="2079" w:type="dxa"/>
            <w:tcBorders>
              <w:top w:val="single" w:color="auto" w:sz="4" w:space="0"/>
              <w:left w:val="single" w:color="auto" w:sz="4" w:space="0"/>
              <w:bottom w:val="single" w:color="auto" w:sz="4" w:space="0"/>
              <w:right w:val="single" w:color="auto" w:sz="4" w:space="0"/>
            </w:tcBorders>
            <w:noWrap w:val="0"/>
            <w:vAlign w:val="center"/>
          </w:tcPr>
          <w:p w14:paraId="4672A174">
            <w:pPr>
              <w:jc w:val="center"/>
              <w:rPr>
                <w:rFonts w:ascii="宋体" w:hAnsi="宋体"/>
                <w:color w:val="auto"/>
                <w:szCs w:val="21"/>
                <w:highlight w:val="none"/>
              </w:rPr>
            </w:pPr>
            <w:r>
              <w:rPr>
                <w:rFonts w:hint="eastAsia" w:ascii="宋体" w:hAnsi="宋体"/>
                <w:color w:val="auto"/>
                <w:szCs w:val="21"/>
                <w:highlight w:val="none"/>
              </w:rPr>
              <w:t>需用时间</w:t>
            </w:r>
          </w:p>
        </w:tc>
      </w:tr>
      <w:tr w14:paraId="584C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55D9D91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85520B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4E09F3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6FD45B8">
            <w:pPr>
              <w:rPr>
                <w:rFonts w:ascii="宋体" w:hAnsi="宋体"/>
                <w:color w:val="auto"/>
                <w:szCs w:val="21"/>
                <w:highlight w:val="none"/>
              </w:rPr>
            </w:pPr>
          </w:p>
        </w:tc>
      </w:tr>
      <w:tr w14:paraId="4163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7D5F323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5BB1E7A">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15BFC0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D0EBD89">
            <w:pPr>
              <w:rPr>
                <w:rFonts w:ascii="宋体" w:hAnsi="宋体"/>
                <w:color w:val="auto"/>
                <w:szCs w:val="21"/>
                <w:highlight w:val="none"/>
              </w:rPr>
            </w:pPr>
          </w:p>
        </w:tc>
      </w:tr>
      <w:tr w14:paraId="0082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B37287C">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26AA2E7">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87CEFB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2158697">
            <w:pPr>
              <w:rPr>
                <w:rFonts w:ascii="宋体" w:hAnsi="宋体"/>
                <w:color w:val="auto"/>
                <w:szCs w:val="21"/>
                <w:highlight w:val="none"/>
              </w:rPr>
            </w:pPr>
          </w:p>
        </w:tc>
      </w:tr>
      <w:tr w14:paraId="0C7F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084BAD6">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262EE840">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95C519C">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D306082">
            <w:pPr>
              <w:rPr>
                <w:rFonts w:ascii="宋体" w:hAnsi="宋体"/>
                <w:color w:val="auto"/>
                <w:szCs w:val="21"/>
                <w:highlight w:val="none"/>
              </w:rPr>
            </w:pPr>
          </w:p>
        </w:tc>
      </w:tr>
      <w:tr w14:paraId="78079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37F35AF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CA62C0F">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1801DC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BCBE797">
            <w:pPr>
              <w:rPr>
                <w:rFonts w:ascii="宋体" w:hAnsi="宋体"/>
                <w:color w:val="auto"/>
                <w:szCs w:val="21"/>
                <w:highlight w:val="none"/>
              </w:rPr>
            </w:pPr>
          </w:p>
        </w:tc>
      </w:tr>
      <w:tr w14:paraId="7B9C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7999112B">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DF263D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211AB2C">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347B3E5">
            <w:pPr>
              <w:rPr>
                <w:rFonts w:ascii="宋体" w:hAnsi="宋体"/>
                <w:color w:val="auto"/>
                <w:szCs w:val="21"/>
                <w:highlight w:val="none"/>
              </w:rPr>
            </w:pPr>
          </w:p>
        </w:tc>
      </w:tr>
      <w:tr w14:paraId="3A92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422C1024">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9B19F4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EFDF372">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EC93001">
            <w:pPr>
              <w:rPr>
                <w:rFonts w:ascii="宋体" w:hAnsi="宋体"/>
                <w:color w:val="auto"/>
                <w:szCs w:val="21"/>
                <w:highlight w:val="none"/>
              </w:rPr>
            </w:pPr>
          </w:p>
        </w:tc>
      </w:tr>
      <w:tr w14:paraId="010F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3699B7C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D655674">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59E57EA">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3FFE29F">
            <w:pPr>
              <w:rPr>
                <w:rFonts w:ascii="宋体" w:hAnsi="宋体"/>
                <w:color w:val="auto"/>
                <w:szCs w:val="21"/>
                <w:highlight w:val="none"/>
              </w:rPr>
            </w:pPr>
          </w:p>
        </w:tc>
      </w:tr>
      <w:tr w14:paraId="6F5F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73EAF2E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079DA01">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23AB68BC">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21801E42">
            <w:pPr>
              <w:rPr>
                <w:rFonts w:ascii="宋体" w:hAnsi="宋体"/>
                <w:color w:val="auto"/>
                <w:szCs w:val="21"/>
                <w:highlight w:val="none"/>
              </w:rPr>
            </w:pPr>
          </w:p>
        </w:tc>
      </w:tr>
      <w:tr w14:paraId="5B9C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22B93B57">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22C02E62">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703BD21">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59222B1">
            <w:pPr>
              <w:rPr>
                <w:rFonts w:ascii="宋体" w:hAnsi="宋体"/>
                <w:color w:val="auto"/>
                <w:szCs w:val="21"/>
                <w:highlight w:val="none"/>
              </w:rPr>
            </w:pPr>
          </w:p>
        </w:tc>
      </w:tr>
      <w:tr w14:paraId="74C2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525B3805">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44B115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F157E42">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CD048B8">
            <w:pPr>
              <w:rPr>
                <w:rFonts w:ascii="宋体" w:hAnsi="宋体"/>
                <w:color w:val="auto"/>
                <w:szCs w:val="21"/>
                <w:highlight w:val="none"/>
              </w:rPr>
            </w:pPr>
          </w:p>
        </w:tc>
      </w:tr>
      <w:tr w14:paraId="51DC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1632CBF">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086774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F1E47D2">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23D4CB3">
            <w:pPr>
              <w:rPr>
                <w:rFonts w:ascii="宋体" w:hAnsi="宋体"/>
                <w:color w:val="auto"/>
                <w:szCs w:val="21"/>
                <w:highlight w:val="none"/>
              </w:rPr>
            </w:pPr>
          </w:p>
        </w:tc>
      </w:tr>
      <w:tr w14:paraId="56F5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1A2F5995">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2D4EFF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BC22CF0">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4C7D36D">
            <w:pPr>
              <w:rPr>
                <w:rFonts w:ascii="宋体" w:hAnsi="宋体"/>
                <w:color w:val="auto"/>
                <w:szCs w:val="21"/>
                <w:highlight w:val="none"/>
              </w:rPr>
            </w:pPr>
          </w:p>
        </w:tc>
      </w:tr>
      <w:tr w14:paraId="37CD2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1D7325B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F4A4E7C">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94307EC">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402FF70">
            <w:pPr>
              <w:rPr>
                <w:rFonts w:ascii="宋体" w:hAnsi="宋体"/>
                <w:color w:val="auto"/>
                <w:szCs w:val="21"/>
                <w:highlight w:val="none"/>
              </w:rPr>
            </w:pPr>
          </w:p>
        </w:tc>
      </w:tr>
      <w:tr w14:paraId="0C1A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77AC0BDA">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AC98A7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4A225D1">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749799B">
            <w:pPr>
              <w:rPr>
                <w:rFonts w:ascii="宋体" w:hAnsi="宋体"/>
                <w:color w:val="auto"/>
                <w:szCs w:val="21"/>
                <w:highlight w:val="none"/>
              </w:rPr>
            </w:pPr>
          </w:p>
        </w:tc>
      </w:tr>
      <w:tr w14:paraId="734E1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5D32782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43D6E99">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C91569C">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9ECA5AA">
            <w:pPr>
              <w:rPr>
                <w:rFonts w:ascii="宋体" w:hAnsi="宋体"/>
                <w:color w:val="auto"/>
                <w:szCs w:val="21"/>
                <w:highlight w:val="none"/>
              </w:rPr>
            </w:pPr>
          </w:p>
        </w:tc>
      </w:tr>
      <w:tr w14:paraId="1550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372D77B1">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49B9A81">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7FDB77F">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9E21982">
            <w:pPr>
              <w:rPr>
                <w:rFonts w:ascii="宋体" w:hAnsi="宋体"/>
                <w:color w:val="auto"/>
                <w:szCs w:val="21"/>
                <w:highlight w:val="none"/>
              </w:rPr>
            </w:pPr>
          </w:p>
        </w:tc>
      </w:tr>
      <w:tr w14:paraId="31CF8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95F72A1">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CF1CA10">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CAD0F29">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0A7B8B7">
            <w:pPr>
              <w:rPr>
                <w:rFonts w:ascii="宋体" w:hAnsi="宋体"/>
                <w:color w:val="auto"/>
                <w:szCs w:val="21"/>
                <w:highlight w:val="none"/>
              </w:rPr>
            </w:pPr>
          </w:p>
        </w:tc>
      </w:tr>
      <w:tr w14:paraId="7DDC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7048C290">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5AC64D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2403E075">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BBC326D">
            <w:pPr>
              <w:rPr>
                <w:rFonts w:ascii="宋体" w:hAnsi="宋体"/>
                <w:color w:val="auto"/>
                <w:szCs w:val="21"/>
                <w:highlight w:val="none"/>
              </w:rPr>
            </w:pPr>
          </w:p>
        </w:tc>
      </w:tr>
      <w:tr w14:paraId="2F8B1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27F2C6C3">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E455133">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671D9E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1FCB6DE">
            <w:pPr>
              <w:rPr>
                <w:rFonts w:ascii="宋体" w:hAnsi="宋体"/>
                <w:color w:val="auto"/>
                <w:szCs w:val="21"/>
                <w:highlight w:val="none"/>
              </w:rPr>
            </w:pPr>
          </w:p>
        </w:tc>
      </w:tr>
      <w:tr w14:paraId="448DC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73AF6B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B5E7636">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F20D64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208F4FC">
            <w:pPr>
              <w:rPr>
                <w:rFonts w:ascii="宋体" w:hAnsi="宋体"/>
                <w:color w:val="auto"/>
                <w:szCs w:val="21"/>
                <w:highlight w:val="none"/>
              </w:rPr>
            </w:pPr>
          </w:p>
        </w:tc>
      </w:tr>
      <w:tr w14:paraId="40D1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28D0A56">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E20557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2172E867">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C288766">
            <w:pPr>
              <w:rPr>
                <w:rFonts w:ascii="宋体" w:hAnsi="宋体"/>
                <w:color w:val="auto"/>
                <w:szCs w:val="21"/>
                <w:highlight w:val="none"/>
              </w:rPr>
            </w:pPr>
          </w:p>
        </w:tc>
      </w:tr>
      <w:tr w14:paraId="2E6E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71EBD5F">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08BAE88">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26EC57B">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516B6EC">
            <w:pPr>
              <w:rPr>
                <w:rFonts w:ascii="宋体" w:hAnsi="宋体"/>
                <w:color w:val="auto"/>
                <w:szCs w:val="21"/>
                <w:highlight w:val="none"/>
              </w:rPr>
            </w:pPr>
          </w:p>
        </w:tc>
      </w:tr>
      <w:tr w14:paraId="2684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41A73B87">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0BFC4D0">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D922DA7">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8C85D54">
            <w:pPr>
              <w:rPr>
                <w:rFonts w:ascii="宋体" w:hAnsi="宋体"/>
                <w:color w:val="auto"/>
                <w:szCs w:val="21"/>
                <w:highlight w:val="none"/>
              </w:rPr>
            </w:pPr>
          </w:p>
        </w:tc>
      </w:tr>
      <w:tr w14:paraId="4975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3ACDEAA">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98F291E">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16315073">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57C19097">
            <w:pPr>
              <w:rPr>
                <w:rFonts w:ascii="宋体" w:hAnsi="宋体"/>
                <w:color w:val="auto"/>
                <w:szCs w:val="21"/>
                <w:highlight w:val="none"/>
              </w:rPr>
            </w:pPr>
          </w:p>
        </w:tc>
      </w:tr>
      <w:tr w14:paraId="1570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30504B4F">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256A894">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608FE679">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35C22EB">
            <w:pPr>
              <w:rPr>
                <w:rFonts w:ascii="宋体" w:hAnsi="宋体"/>
                <w:color w:val="auto"/>
                <w:szCs w:val="21"/>
                <w:highlight w:val="none"/>
              </w:rPr>
            </w:pPr>
          </w:p>
        </w:tc>
      </w:tr>
      <w:tr w14:paraId="47B8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5DC4BDC3">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701ACDBD">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04B346DA">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137A660">
            <w:pPr>
              <w:rPr>
                <w:rFonts w:ascii="宋体" w:hAnsi="宋体"/>
                <w:color w:val="auto"/>
                <w:szCs w:val="21"/>
                <w:highlight w:val="none"/>
              </w:rPr>
            </w:pPr>
          </w:p>
        </w:tc>
      </w:tr>
      <w:tr w14:paraId="7FA8A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FCB151F">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2A2EEC2">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406E1832">
            <w:pPr>
              <w:rPr>
                <w:rFonts w:ascii="宋体" w:hAnsi="宋体"/>
                <w:color w:val="auto"/>
                <w:szCs w:val="21"/>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top"/>
          </w:tcPr>
          <w:p w14:paraId="3C52AFE3">
            <w:pPr>
              <w:rPr>
                <w:rFonts w:ascii="宋体" w:hAnsi="宋体"/>
                <w:color w:val="auto"/>
                <w:szCs w:val="21"/>
                <w:highlight w:val="none"/>
              </w:rPr>
            </w:pPr>
          </w:p>
        </w:tc>
      </w:tr>
    </w:tbl>
    <w:p w14:paraId="7AB99472">
      <w:pPr>
        <w:spacing w:line="420" w:lineRule="exact"/>
        <w:rPr>
          <w:rFonts w:hint="eastAsia" w:ascii="宋体" w:hAnsi="宋体"/>
          <w:color w:val="auto"/>
          <w:szCs w:val="21"/>
          <w:highlight w:val="none"/>
        </w:rPr>
      </w:pPr>
    </w:p>
    <w:p w14:paraId="432C1570">
      <w:pPr>
        <w:spacing w:line="420" w:lineRule="exact"/>
        <w:rPr>
          <w:rFonts w:hint="eastAsia" w:ascii="宋体" w:hAnsi="宋体"/>
          <w:color w:val="auto"/>
          <w:szCs w:val="21"/>
          <w:highlight w:val="none"/>
        </w:rPr>
      </w:pPr>
    </w:p>
    <w:p w14:paraId="5E02A655">
      <w:pPr>
        <w:widowControl/>
        <w:jc w:val="left"/>
        <w:rPr>
          <w:rFonts w:ascii="宋体" w:hAnsi="宋体"/>
          <w:color w:val="auto"/>
          <w:szCs w:val="21"/>
          <w:highlight w:val="none"/>
        </w:rPr>
        <w:sectPr>
          <w:pgSz w:w="11907" w:h="16840"/>
          <w:pgMar w:top="1701" w:right="1531" w:bottom="1588" w:left="1474" w:header="851" w:footer="992" w:gutter="0"/>
          <w:pgNumType w:fmt="decimal"/>
          <w:cols w:space="720" w:num="1"/>
        </w:sectPr>
      </w:pPr>
    </w:p>
    <w:p w14:paraId="7A028123">
      <w:pPr>
        <w:pStyle w:val="31"/>
        <w:jc w:val="center"/>
        <w:rPr>
          <w:color w:val="auto"/>
          <w:highlight w:val="none"/>
        </w:rPr>
      </w:pPr>
      <w:bookmarkStart w:id="2536" w:name="_Toc521075741"/>
      <w:bookmarkStart w:id="2537" w:name="_Toc19499"/>
      <w:bookmarkStart w:id="2538" w:name="_Toc521075316"/>
      <w:r>
        <w:rPr>
          <w:rFonts w:hint="eastAsia"/>
          <w:color w:val="auto"/>
          <w:highlight w:val="none"/>
        </w:rPr>
        <w:t>十一、其他材料</w:t>
      </w:r>
      <w:bookmarkEnd w:id="2536"/>
      <w:bookmarkEnd w:id="2537"/>
      <w:bookmarkEnd w:id="2538"/>
    </w:p>
    <w:p w14:paraId="623B76ED">
      <w:pPr>
        <w:pStyle w:val="34"/>
        <w:rPr>
          <w:rFonts w:hint="eastAsia"/>
          <w:color w:val="auto"/>
          <w:highlight w:val="none"/>
        </w:rPr>
      </w:pPr>
      <w:r>
        <w:rPr>
          <w:rFonts w:hint="eastAsia" w:ascii="Calibri" w:hAnsi="Calibri" w:eastAsia="宋体"/>
          <w:color w:val="auto"/>
          <w:sz w:val="21"/>
          <w:szCs w:val="22"/>
          <w:highlight w:val="none"/>
        </w:rPr>
        <w:t>传到其他材料的内容将会在评标结果公示时作为公示附件公示在外网，请谨慎上传。</w:t>
      </w:r>
      <w:r>
        <w:rPr>
          <w:color w:val="auto"/>
          <w:highlight w:val="none"/>
        </w:rPr>
        <w:br w:type="page"/>
      </w:r>
      <w:r>
        <w:rPr>
          <w:rFonts w:hint="eastAsia"/>
          <w:color w:val="auto"/>
          <w:highlight w:val="none"/>
        </w:rPr>
        <w:t>十一、财务会计报表</w:t>
      </w:r>
    </w:p>
    <w:p w14:paraId="3754325B">
      <w:pPr>
        <w:rPr>
          <w:rFonts w:hint="eastAsia"/>
          <w:color w:val="auto"/>
          <w:sz w:val="24"/>
          <w:szCs w:val="24"/>
          <w:highlight w:val="none"/>
        </w:rPr>
      </w:pPr>
      <w:r>
        <w:rPr>
          <w:rFonts w:hint="eastAsia"/>
          <w:color w:val="auto"/>
          <w:sz w:val="24"/>
          <w:szCs w:val="24"/>
          <w:highlight w:val="none"/>
        </w:rPr>
        <w:t>此处上传财务状况内容中，不适合在外网公示的财务会计报表内容。</w:t>
      </w:r>
    </w:p>
    <w:p w14:paraId="0D9249C4"/>
    <w:sectPr>
      <w:footerReference r:id="rId6" w:type="default"/>
      <w:footerReference r:id="rId7" w:type="even"/>
      <w:pgSz w:w="11907" w:h="16840"/>
      <w:pgMar w:top="1701" w:right="1531" w:bottom="1588" w:left="1474"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7443D">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88616">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FF88616">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A9984">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B2B2DD">
                          <w:pPr>
                            <w:pStyle w:val="10"/>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8B2B2DD">
                    <w:pPr>
                      <w:pStyle w:val="10"/>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AA634">
    <w:pPr>
      <w:pStyle w:val="10"/>
      <w:framePr w:wrap="around" w:vAnchor="text" w:hAnchor="margin" w:xAlign="center" w:y="1"/>
      <w:rPr>
        <w:rStyle w:val="18"/>
      </w:rPr>
    </w:pPr>
    <w:r>
      <w:rPr>
        <w:rStyle w:val="18"/>
      </w:rPr>
      <w:fldChar w:fldCharType="begin"/>
    </w:r>
    <w:r>
      <w:rPr>
        <w:rStyle w:val="18"/>
        <w:highlight w:val="white"/>
      </w:rPr>
      <w:instrText xml:space="preserve">PAGE  </w:instrText>
    </w:r>
    <w:r>
      <w:rPr>
        <w:rStyle w:val="18"/>
      </w:rPr>
      <w:fldChar w:fldCharType="separate"/>
    </w:r>
    <w:r>
      <w:rPr>
        <w:rStyle w:val="18"/>
      </w:rPr>
      <w:fldChar w:fldCharType="end"/>
    </w:r>
  </w:p>
  <w:p w14:paraId="5A143BDD">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073DB">
    <w:pPr>
      <w:pStyle w:val="10"/>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991AA">
                          <w:pPr>
                            <w:pStyle w:val="10"/>
                          </w:pPr>
                          <w:r>
                            <w:fldChar w:fldCharType="begin"/>
                          </w:r>
                          <w:r>
                            <w:instrText xml:space="preserve"> PAGE  \* MERGEFORMAT </w:instrText>
                          </w:r>
                          <w:r>
                            <w:fldChar w:fldCharType="separate"/>
                          </w:r>
                          <w:r>
                            <w:t>314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41991AA">
                    <w:pPr>
                      <w:pStyle w:val="10"/>
                    </w:pPr>
                    <w:r>
                      <w:fldChar w:fldCharType="begin"/>
                    </w:r>
                    <w:r>
                      <w:instrText xml:space="preserve"> PAGE  \* MERGEFORMAT </w:instrText>
                    </w:r>
                    <w:r>
                      <w:fldChar w:fldCharType="separate"/>
                    </w:r>
                    <w:r>
                      <w:t>314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F636D">
    <w:pPr>
      <w:pStyle w:val="10"/>
      <w:framePr w:wrap="around" w:vAnchor="text" w:hAnchor="margin" w:xAlign="center" w:y="1"/>
      <w:rPr>
        <w:rStyle w:val="18"/>
      </w:rPr>
    </w:pPr>
    <w:r>
      <w:rPr>
        <w:rStyle w:val="18"/>
      </w:rPr>
      <w:fldChar w:fldCharType="begin"/>
    </w:r>
    <w:r>
      <w:rPr>
        <w:rStyle w:val="18"/>
        <w:highlight w:val="white"/>
      </w:rPr>
      <w:instrText xml:space="preserve">PAGE  </w:instrText>
    </w:r>
    <w:r>
      <w:rPr>
        <w:rStyle w:val="18"/>
      </w:rPr>
      <w:fldChar w:fldCharType="separate"/>
    </w:r>
    <w:r>
      <w:rPr>
        <w:rStyle w:val="18"/>
      </w:rPr>
      <w:fldChar w:fldCharType="end"/>
    </w:r>
  </w:p>
  <w:p w14:paraId="05C8CA7B">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846F08"/>
    <w:multiLevelType w:val="singleLevel"/>
    <w:tmpl w:val="A0846F08"/>
    <w:lvl w:ilvl="0" w:tentative="0">
      <w:start w:val="6"/>
      <w:numFmt w:val="chineseCounting"/>
      <w:suff w:val="nothing"/>
      <w:lvlText w:val="%1、"/>
      <w:lvlJc w:val="left"/>
      <w:pPr>
        <w:ind w:left="0" w:firstLine="0"/>
      </w:pPr>
    </w:lvl>
  </w:abstractNum>
  <w:abstractNum w:abstractNumId="1">
    <w:nsid w:val="DA83A850"/>
    <w:multiLevelType w:val="singleLevel"/>
    <w:tmpl w:val="DA83A850"/>
    <w:lvl w:ilvl="0" w:tentative="0">
      <w:start w:val="2026"/>
      <w:numFmt w:val="decimal"/>
      <w:suff w:val="space"/>
      <w:lvlText w:val="%1-"/>
      <w:lvlJc w:val="left"/>
      <w:pPr>
        <w:ind w:left="105" w:leftChars="0" w:firstLine="0" w:firstLineChars="0"/>
      </w:pPr>
    </w:lvl>
  </w:abstractNum>
  <w:abstractNum w:abstractNumId="2">
    <w:nsid w:val="E9BC4095"/>
    <w:multiLevelType w:val="singleLevel"/>
    <w:tmpl w:val="E9BC4095"/>
    <w:lvl w:ilvl="0" w:tentative="0">
      <w:start w:val="1"/>
      <w:numFmt w:val="decimal"/>
      <w:suff w:val="nothing"/>
      <w:lvlText w:val="%1）"/>
      <w:lvlJc w:val="left"/>
    </w:lvl>
  </w:abstractNum>
  <w:abstractNum w:abstractNumId="3">
    <w:nsid w:val="6330768A"/>
    <w:multiLevelType w:val="multilevel"/>
    <w:tmpl w:val="6330768A"/>
    <w:lvl w:ilvl="0" w:tentative="0">
      <w:start w:val="1"/>
      <w:numFmt w:val="decimal"/>
      <w:lvlText w:val="%1."/>
      <w:lvlJc w:val="left"/>
      <w:pPr>
        <w:ind w:left="360" w:hanging="360"/>
      </w:pPr>
      <w:rPr>
        <w:rFonts w:hint="default"/>
      </w:rPr>
    </w:lvl>
    <w:lvl w:ilvl="1" w:tentative="0">
      <w:start w:val="8"/>
      <w:numFmt w:val="decimal"/>
      <w:isLgl/>
      <w:lvlText w:val="%1.%2"/>
      <w:lvlJc w:val="left"/>
      <w:pPr>
        <w:ind w:left="362" w:hanging="360"/>
      </w:pPr>
      <w:rPr>
        <w:rFonts w:hint="default" w:ascii="黑体" w:hAnsi="宋体" w:eastAsia="黑体"/>
      </w:rPr>
    </w:lvl>
    <w:lvl w:ilvl="2" w:tentative="0">
      <w:start w:val="4"/>
      <w:numFmt w:val="decimal"/>
      <w:isLgl/>
      <w:lvlText w:val="%1.%2.%3"/>
      <w:lvlJc w:val="left"/>
      <w:pPr>
        <w:ind w:left="724" w:hanging="720"/>
      </w:pPr>
      <w:rPr>
        <w:rFonts w:hint="default" w:ascii="黑体" w:hAnsi="宋体" w:eastAsia="黑体"/>
      </w:rPr>
    </w:lvl>
    <w:lvl w:ilvl="3" w:tentative="0">
      <w:start w:val="1"/>
      <w:numFmt w:val="decimal"/>
      <w:isLgl/>
      <w:lvlText w:val="%1.%2.%3.%4"/>
      <w:lvlJc w:val="left"/>
      <w:pPr>
        <w:ind w:left="726" w:hanging="720"/>
      </w:pPr>
      <w:rPr>
        <w:rFonts w:hint="default" w:ascii="黑体" w:hAnsi="宋体" w:eastAsia="黑体"/>
      </w:rPr>
    </w:lvl>
    <w:lvl w:ilvl="4" w:tentative="0">
      <w:start w:val="1"/>
      <w:numFmt w:val="decimal"/>
      <w:isLgl/>
      <w:lvlText w:val="%1.%2.%3.%4.%5"/>
      <w:lvlJc w:val="left"/>
      <w:pPr>
        <w:ind w:left="1088" w:hanging="1080"/>
      </w:pPr>
      <w:rPr>
        <w:rFonts w:hint="default" w:ascii="黑体" w:hAnsi="宋体" w:eastAsia="黑体"/>
      </w:rPr>
    </w:lvl>
    <w:lvl w:ilvl="5" w:tentative="0">
      <w:start w:val="1"/>
      <w:numFmt w:val="decimal"/>
      <w:isLgl/>
      <w:lvlText w:val="%1.%2.%3.%4.%5.%6"/>
      <w:lvlJc w:val="left"/>
      <w:pPr>
        <w:ind w:left="1090" w:hanging="1080"/>
      </w:pPr>
      <w:rPr>
        <w:rFonts w:hint="default" w:ascii="黑体" w:hAnsi="宋体" w:eastAsia="黑体"/>
      </w:rPr>
    </w:lvl>
    <w:lvl w:ilvl="6" w:tentative="0">
      <w:start w:val="1"/>
      <w:numFmt w:val="decimal"/>
      <w:isLgl/>
      <w:lvlText w:val="%1.%2.%3.%4.%5.%6.%7"/>
      <w:lvlJc w:val="left"/>
      <w:pPr>
        <w:ind w:left="1092" w:hanging="1080"/>
      </w:pPr>
      <w:rPr>
        <w:rFonts w:hint="default" w:ascii="黑体" w:hAnsi="宋体" w:eastAsia="黑体"/>
      </w:rPr>
    </w:lvl>
    <w:lvl w:ilvl="7" w:tentative="0">
      <w:start w:val="1"/>
      <w:numFmt w:val="decimal"/>
      <w:isLgl/>
      <w:lvlText w:val="%1.%2.%3.%4.%5.%6.%7.%8"/>
      <w:lvlJc w:val="left"/>
      <w:pPr>
        <w:ind w:left="1454" w:hanging="1440"/>
      </w:pPr>
      <w:rPr>
        <w:rFonts w:hint="default" w:ascii="黑体" w:hAnsi="宋体" w:eastAsia="黑体"/>
      </w:rPr>
    </w:lvl>
    <w:lvl w:ilvl="8" w:tentative="0">
      <w:start w:val="1"/>
      <w:numFmt w:val="decimal"/>
      <w:isLgl/>
      <w:lvlText w:val="%1.%2.%3.%4.%5.%6.%7.%8.%9"/>
      <w:lvlJc w:val="left"/>
      <w:pPr>
        <w:ind w:left="1456" w:hanging="1440"/>
      </w:pPr>
      <w:rPr>
        <w:rFonts w:hint="default" w:ascii="黑体" w:hAnsi="宋体" w:eastAsia="黑体"/>
      </w:rPr>
    </w:lvl>
  </w:abstractNum>
  <w:num w:numId="1">
    <w:abstractNumId w:val="1"/>
  </w:num>
  <w:num w:numId="2">
    <w:abstractNumId w:val="2"/>
  </w:num>
  <w:num w:numId="3">
    <w:abstractNumId w:val="0"/>
    <w:lvlOverride w:ilvl="0">
      <w:startOverride w:val="6"/>
    </w:lvlOverride>
  </w:num>
  <w:num w:numId="4">
    <w:abstractNumId w:val="3"/>
    <w:lvlOverride w:ilvl="0">
      <w:startOverride w:val="1"/>
    </w:lvlOverride>
    <w:lvlOverride w:ilvl="1">
      <w:startOverride w:val="8"/>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9B0597"/>
    <w:rsid w:val="01637D56"/>
    <w:rsid w:val="046054DB"/>
    <w:rsid w:val="04CB41E8"/>
    <w:rsid w:val="085D0370"/>
    <w:rsid w:val="0C8A5A23"/>
    <w:rsid w:val="0CD94CDF"/>
    <w:rsid w:val="0EE83A87"/>
    <w:rsid w:val="11357C85"/>
    <w:rsid w:val="13115BD4"/>
    <w:rsid w:val="16A37E20"/>
    <w:rsid w:val="171728C5"/>
    <w:rsid w:val="192D4E57"/>
    <w:rsid w:val="1A152912"/>
    <w:rsid w:val="1BBC6153"/>
    <w:rsid w:val="1BC61905"/>
    <w:rsid w:val="1CD25D87"/>
    <w:rsid w:val="1D6B27BC"/>
    <w:rsid w:val="1D882ED8"/>
    <w:rsid w:val="1F9C6F41"/>
    <w:rsid w:val="211E0B2E"/>
    <w:rsid w:val="217B0643"/>
    <w:rsid w:val="22471972"/>
    <w:rsid w:val="22E2053C"/>
    <w:rsid w:val="248602BD"/>
    <w:rsid w:val="25B74631"/>
    <w:rsid w:val="27F76F67"/>
    <w:rsid w:val="28DB5463"/>
    <w:rsid w:val="2A2D3F97"/>
    <w:rsid w:val="2B030DE7"/>
    <w:rsid w:val="2B4B0D4A"/>
    <w:rsid w:val="2C640943"/>
    <w:rsid w:val="2CB90C8F"/>
    <w:rsid w:val="2DDB3B35"/>
    <w:rsid w:val="30DA673F"/>
    <w:rsid w:val="3260465F"/>
    <w:rsid w:val="32FF68A4"/>
    <w:rsid w:val="34A77D85"/>
    <w:rsid w:val="351D5A4E"/>
    <w:rsid w:val="35BA5965"/>
    <w:rsid w:val="368E5A3E"/>
    <w:rsid w:val="371E2025"/>
    <w:rsid w:val="37E45AA2"/>
    <w:rsid w:val="3A944A75"/>
    <w:rsid w:val="3CF53EE6"/>
    <w:rsid w:val="3D9B0597"/>
    <w:rsid w:val="3E872FC0"/>
    <w:rsid w:val="3E8C0E38"/>
    <w:rsid w:val="404C3770"/>
    <w:rsid w:val="4081373D"/>
    <w:rsid w:val="40D54F43"/>
    <w:rsid w:val="410260D1"/>
    <w:rsid w:val="411F7A6D"/>
    <w:rsid w:val="41206955"/>
    <w:rsid w:val="449F5992"/>
    <w:rsid w:val="460C58D4"/>
    <w:rsid w:val="46785842"/>
    <w:rsid w:val="48A01BC7"/>
    <w:rsid w:val="49353CB9"/>
    <w:rsid w:val="49F9388C"/>
    <w:rsid w:val="4B014375"/>
    <w:rsid w:val="4C50175E"/>
    <w:rsid w:val="4D8F77C9"/>
    <w:rsid w:val="4DC82688"/>
    <w:rsid w:val="4F0E302D"/>
    <w:rsid w:val="4F591FFC"/>
    <w:rsid w:val="4F8E742F"/>
    <w:rsid w:val="501D21D6"/>
    <w:rsid w:val="506F4ACA"/>
    <w:rsid w:val="513A5A0A"/>
    <w:rsid w:val="51B76E10"/>
    <w:rsid w:val="51C92E73"/>
    <w:rsid w:val="52612367"/>
    <w:rsid w:val="55415F16"/>
    <w:rsid w:val="559C0396"/>
    <w:rsid w:val="56251E50"/>
    <w:rsid w:val="56ED4729"/>
    <w:rsid w:val="56F03D99"/>
    <w:rsid w:val="580909F3"/>
    <w:rsid w:val="59124AD9"/>
    <w:rsid w:val="59925A8C"/>
    <w:rsid w:val="5A744438"/>
    <w:rsid w:val="5B554E80"/>
    <w:rsid w:val="5D123309"/>
    <w:rsid w:val="5E273AE4"/>
    <w:rsid w:val="5E9254B5"/>
    <w:rsid w:val="5F860B68"/>
    <w:rsid w:val="6192178D"/>
    <w:rsid w:val="634665B4"/>
    <w:rsid w:val="63D23E09"/>
    <w:rsid w:val="66AB0017"/>
    <w:rsid w:val="67B331D4"/>
    <w:rsid w:val="68C9490D"/>
    <w:rsid w:val="692C49BD"/>
    <w:rsid w:val="69E92115"/>
    <w:rsid w:val="6A4E3EA1"/>
    <w:rsid w:val="6BBB27BF"/>
    <w:rsid w:val="6D4B069E"/>
    <w:rsid w:val="6E113041"/>
    <w:rsid w:val="6F555349"/>
    <w:rsid w:val="7027364B"/>
    <w:rsid w:val="706E4251"/>
    <w:rsid w:val="71C03210"/>
    <w:rsid w:val="7283525D"/>
    <w:rsid w:val="72F35087"/>
    <w:rsid w:val="74913239"/>
    <w:rsid w:val="757102DF"/>
    <w:rsid w:val="75A01DA5"/>
    <w:rsid w:val="75E44CC4"/>
    <w:rsid w:val="7AE1082E"/>
    <w:rsid w:val="7B7556B6"/>
    <w:rsid w:val="7C330D3F"/>
    <w:rsid w:val="7CBE4AD3"/>
    <w:rsid w:val="7E663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pPr>
      <w:spacing w:after="120"/>
    </w:pPr>
  </w:style>
  <w:style w:type="paragraph" w:styleId="7">
    <w:name w:val="Body Text Indent"/>
    <w:basedOn w:val="1"/>
    <w:qFormat/>
    <w:uiPriority w:val="0"/>
    <w:pPr>
      <w:spacing w:after="120"/>
      <w:ind w:left="420" w:leftChars="200"/>
    </w:pPr>
  </w:style>
  <w:style w:type="paragraph" w:styleId="8">
    <w:name w:val="toc 3"/>
    <w:basedOn w:val="1"/>
    <w:next w:val="1"/>
    <w:qFormat/>
    <w:uiPriority w:val="39"/>
    <w:pPr>
      <w:ind w:left="840" w:leftChars="400"/>
    </w:pPr>
  </w:style>
  <w:style w:type="paragraph" w:styleId="9">
    <w:name w:val="Plain Text"/>
    <w:basedOn w:val="1"/>
    <w:qFormat/>
    <w:uiPriority w:val="0"/>
    <w:pPr>
      <w:spacing w:line="305" w:lineRule="auto"/>
      <w:ind w:firstLine="420"/>
    </w:pPr>
    <w:rPr>
      <w:rFonts w:ascii="宋体" w:hAnsi="Courier New" w:cs="Courier New"/>
      <w:szCs w:val="21"/>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39"/>
    <w:pPr>
      <w:tabs>
        <w:tab w:val="right" w:leader="dot" w:pos="8296"/>
      </w:tabs>
    </w:pPr>
    <w:rPr>
      <w:rFonts w:eastAsia="仿宋_GB2312"/>
      <w:szCs w:val="20"/>
    </w:rPr>
  </w:style>
  <w:style w:type="paragraph" w:styleId="13">
    <w:name w:val="toc 2"/>
    <w:basedOn w:val="1"/>
    <w:next w:val="1"/>
    <w:qFormat/>
    <w:uiPriority w:val="39"/>
    <w:pPr>
      <w:ind w:left="420" w:leftChars="200"/>
    </w:pPr>
    <w:rPr>
      <w:rFonts w:eastAsia="仿宋_GB2312"/>
      <w:sz w:val="24"/>
    </w:rPr>
  </w:style>
  <w:style w:type="paragraph" w:styleId="14">
    <w:name w:val="Normal (Web)"/>
    <w:basedOn w:val="1"/>
    <w:qFormat/>
    <w:uiPriority w:val="99"/>
    <w:pPr>
      <w:widowControl/>
      <w:spacing w:before="100" w:beforeAutospacing="1" w:after="100" w:afterAutospacing="1"/>
      <w:jc w:val="left"/>
    </w:pPr>
    <w:rPr>
      <w:rFonts w:ascii="宋体" w:hAnsi="宋体"/>
      <w:color w:val="000000"/>
      <w:kern w:val="0"/>
      <w:sz w:val="24"/>
    </w:rPr>
  </w:style>
  <w:style w:type="character" w:styleId="17">
    <w:name w:val="Strong"/>
    <w:basedOn w:val="16"/>
    <w:qFormat/>
    <w:uiPriority w:val="0"/>
  </w:style>
  <w:style w:type="character" w:styleId="18">
    <w:name w:val="page number"/>
    <w:qFormat/>
    <w:uiPriority w:val="0"/>
  </w:style>
  <w:style w:type="character" w:styleId="19">
    <w:name w:val="FollowedHyperlink"/>
    <w:basedOn w:val="16"/>
    <w:qFormat/>
    <w:uiPriority w:val="0"/>
    <w:rPr>
      <w:color w:val="800080"/>
      <w:u w:val="none"/>
    </w:rPr>
  </w:style>
  <w:style w:type="character" w:styleId="20">
    <w:name w:val="Emphasis"/>
    <w:basedOn w:val="16"/>
    <w:qFormat/>
    <w:uiPriority w:val="0"/>
  </w:style>
  <w:style w:type="character" w:styleId="21">
    <w:name w:val="HTML Definition"/>
    <w:basedOn w:val="16"/>
    <w:qFormat/>
    <w:uiPriority w:val="0"/>
  </w:style>
  <w:style w:type="character" w:styleId="22">
    <w:name w:val="HTML Typewriter"/>
    <w:basedOn w:val="16"/>
    <w:qFormat/>
    <w:uiPriority w:val="0"/>
    <w:rPr>
      <w:rFonts w:hint="default" w:ascii="monospace" w:hAnsi="monospace" w:eastAsia="monospace" w:cs="monospace"/>
      <w:sz w:val="20"/>
    </w:rPr>
  </w:style>
  <w:style w:type="character" w:styleId="23">
    <w:name w:val="HTML Acronym"/>
    <w:basedOn w:val="16"/>
    <w:qFormat/>
    <w:uiPriority w:val="0"/>
    <w:rPr>
      <w:bdr w:val="none" w:color="auto" w:sz="0" w:space="0"/>
    </w:rPr>
  </w:style>
  <w:style w:type="character" w:styleId="24">
    <w:name w:val="HTML Variable"/>
    <w:basedOn w:val="16"/>
    <w:qFormat/>
    <w:uiPriority w:val="0"/>
  </w:style>
  <w:style w:type="character" w:styleId="25">
    <w:name w:val="Hyperlink"/>
    <w:qFormat/>
    <w:uiPriority w:val="0"/>
    <w:rPr>
      <w:color w:val="0000FF"/>
      <w:u w:val="single"/>
    </w:rPr>
  </w:style>
  <w:style w:type="character" w:styleId="26">
    <w:name w:val="HTML Code"/>
    <w:basedOn w:val="16"/>
    <w:qFormat/>
    <w:uiPriority w:val="0"/>
    <w:rPr>
      <w:rFonts w:hint="default" w:ascii="monospace" w:hAnsi="monospace" w:eastAsia="monospace" w:cs="monospace"/>
      <w:sz w:val="20"/>
    </w:rPr>
  </w:style>
  <w:style w:type="character" w:styleId="27">
    <w:name w:val="HTML Cite"/>
    <w:basedOn w:val="16"/>
    <w:qFormat/>
    <w:uiPriority w:val="0"/>
  </w:style>
  <w:style w:type="character" w:styleId="28">
    <w:name w:val="HTML Keyboard"/>
    <w:basedOn w:val="16"/>
    <w:qFormat/>
    <w:uiPriority w:val="0"/>
    <w:rPr>
      <w:rFonts w:hint="default" w:ascii="monospace" w:hAnsi="monospace" w:eastAsia="monospace" w:cs="monospace"/>
      <w:sz w:val="20"/>
    </w:rPr>
  </w:style>
  <w:style w:type="character" w:styleId="29">
    <w:name w:val="HTML Sample"/>
    <w:basedOn w:val="16"/>
    <w:qFormat/>
    <w:uiPriority w:val="0"/>
    <w:rPr>
      <w:rFonts w:ascii="monospace" w:hAnsi="monospace" w:eastAsia="monospace" w:cs="monospace"/>
    </w:rPr>
  </w:style>
  <w:style w:type="paragraph" w:customStyle="1" w:styleId="30">
    <w:name w:val="_Style 6"/>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31">
    <w:name w:val="样式 标题 2 + Times New Roman 四号 非加粗 段前: 5 磅 段后: 0 磅 行距: 固定值 20..."/>
    <w:basedOn w:val="3"/>
    <w:qFormat/>
    <w:uiPriority w:val="99"/>
    <w:pPr>
      <w:spacing w:before="100" w:after="0" w:line="400" w:lineRule="exact"/>
    </w:pPr>
    <w:rPr>
      <w:rFonts w:ascii="Times New Roman" w:hAnsi="Times New Roman" w:cs="宋体"/>
      <w:b w:val="0"/>
      <w:bCs w:val="0"/>
      <w:sz w:val="28"/>
      <w:szCs w:val="20"/>
    </w:rPr>
  </w:style>
  <w:style w:type="paragraph" w:customStyle="1" w:styleId="32">
    <w:name w:val="图表a"/>
    <w:basedOn w:val="1"/>
    <w:qFormat/>
    <w:uiPriority w:val="0"/>
    <w:pPr>
      <w:jc w:val="center"/>
    </w:pPr>
    <w:rPr>
      <w:szCs w:val="21"/>
    </w:rPr>
  </w:style>
  <w:style w:type="paragraph" w:customStyle="1" w:styleId="3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styleId="34">
    <w:name w:val="No Spacing"/>
    <w:qFormat/>
    <w:uiPriority w:val="0"/>
    <w:pPr>
      <w:widowControl w:val="0"/>
      <w:jc w:val="center"/>
    </w:pPr>
    <w:rPr>
      <w:rFonts w:ascii="Times New Roman" w:hAnsi="Times New Roman" w:eastAsia="黑体" w:cs="Times New Roman"/>
      <w:kern w:val="2"/>
      <w:sz w:val="30"/>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319</Pages>
  <Words>5160</Words>
  <Characters>6214</Characters>
  <Lines>0</Lines>
  <Paragraphs>0</Paragraphs>
  <TotalTime>10</TotalTime>
  <ScaleCrop>false</ScaleCrop>
  <LinksUpToDate>false</LinksUpToDate>
  <CharactersWithSpaces>7030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2025-05-13T09:56:00Z</dcterms:created>
  <dc:creator>A0郭铭</dc:creator>
  <cp:lastModifiedBy>戴</cp:lastModifiedBy>
  <cp:lastPrinted>2026-09-17T08:57:00Z</cp:lastPrinted>
  <dcterms:modified xsi:type="dcterms:W3CDTF">2026-10-09T03:38:20Z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1F4238561602499FBA53D9BB97A96325_13</vt:lpwstr>
  </property>
  <property fmtid="{D5CDD505-2E9C-101B-9397-08002B2CF9AE}" pid="4" name="KSOTemplateDocerSaveRecord">
    <vt:lpwstr>eyJoZGlkIjoiNjUwNjE2MjZlODUzYzdlZjM2YzU2YzUwNjBlYTM1ZjkiLCJ1c2VySWQiOiI2Mzk3NzIzODIifQ==</vt:lpwstr>
  </property>
</Properties>
</file>